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98860498"/>
        <w:docPartObj>
          <w:docPartGallery w:val="Cover Pages"/>
          <w:docPartUnique/>
        </w:docPartObj>
      </w:sdtPr>
      <w:sdtEndPr/>
      <w:sdtContent>
        <w:p w14:paraId="345A5CEF" w14:textId="32AE40C3" w:rsidR="004D27A8" w:rsidRDefault="004D27A8"/>
        <w:p w14:paraId="52253155" w14:textId="7B5F5F2D" w:rsidR="00561692" w:rsidRPr="00E10B6E" w:rsidRDefault="00561692">
          <w:r w:rsidRPr="00E10B6E">
            <w:rPr>
              <w:noProof/>
            </w:rPr>
            <mc:AlternateContent>
              <mc:Choice Requires="wpg">
                <w:drawing>
                  <wp:anchor distT="0" distB="0" distL="114300" distR="114300" simplePos="0" relativeHeight="251658239" behindDoc="0" locked="0" layoutInCell="1" allowOverlap="1" wp14:anchorId="738095B4" wp14:editId="0F4F803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375A567" id="Group 149" o:spid="_x0000_s1026" style="position:absolute;margin-left:0;margin-top:0;width:8in;height:95.7pt;z-index:251658239;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B76B84" w:rsidRPr="00E10B6E">
            <w:rPr>
              <w:noProof/>
            </w:rPr>
            <w:drawing>
              <wp:anchor distT="0" distB="0" distL="114300" distR="114300" simplePos="0" relativeHeight="251665408" behindDoc="0" locked="0" layoutInCell="1" allowOverlap="1" wp14:anchorId="5B3C44C4" wp14:editId="7E0DA56D">
                <wp:simplePos x="0" y="0"/>
                <wp:positionH relativeFrom="margin">
                  <wp:posOffset>0</wp:posOffset>
                </wp:positionH>
                <wp:positionV relativeFrom="margin">
                  <wp:posOffset>7748905</wp:posOffset>
                </wp:positionV>
                <wp:extent cx="1799590" cy="5645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B84" w:rsidRPr="00E10B6E">
            <w:rPr>
              <w:noProof/>
            </w:rPr>
            <w:drawing>
              <wp:anchor distT="0" distB="0" distL="114300" distR="114300" simplePos="0" relativeHeight="251666432" behindDoc="0" locked="0" layoutInCell="1" allowOverlap="1" wp14:anchorId="2F1469CF" wp14:editId="4C636D83">
                <wp:simplePos x="0" y="0"/>
                <wp:positionH relativeFrom="margin">
                  <wp:align>left</wp:align>
                </wp:positionH>
                <wp:positionV relativeFrom="margin">
                  <wp:posOffset>8534400</wp:posOffset>
                </wp:positionV>
                <wp:extent cx="1656080" cy="52070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41"/>
                        <a:stretch/>
                      </pic:blipFill>
                      <pic:spPr bwMode="auto">
                        <a:xfrm>
                          <a:off x="0" y="0"/>
                          <a:ext cx="165608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110" w:rsidRPr="00E10B6E">
            <w:rPr>
              <w:noProof/>
            </w:rPr>
            <mc:AlternateContent>
              <mc:Choice Requires="wps">
                <w:drawing>
                  <wp:anchor distT="0" distB="0" distL="114300" distR="114300" simplePos="0" relativeHeight="251660288" behindDoc="0" locked="0" layoutInCell="1" allowOverlap="1" wp14:anchorId="2F4799F8" wp14:editId="0649D8E5">
                    <wp:simplePos x="0" y="0"/>
                    <wp:positionH relativeFrom="page">
                      <wp:posOffset>219075</wp:posOffset>
                    </wp:positionH>
                    <wp:positionV relativeFrom="page">
                      <wp:posOffset>8448676</wp:posOffset>
                    </wp:positionV>
                    <wp:extent cx="7315200" cy="15240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D1A63" w14:textId="5D156B38" w:rsidR="00983F73" w:rsidRPr="00DD2FE0" w:rsidRDefault="00983F73" w:rsidP="00B0204E">
                                <w:pPr>
                                  <w:pStyle w:val="NoSpacing"/>
                                  <w:jc w:val="right"/>
                                  <w:rPr>
                                    <w:color w:val="595959" w:themeColor="text1" w:themeTint="A6"/>
                                    <w:sz w:val="28"/>
                                    <w:szCs w:val="28"/>
                                    <w:lang w:val="en-GB"/>
                                  </w:rPr>
                                </w:pPr>
                                <w:r w:rsidRPr="00DD2FE0">
                                  <w:rPr>
                                    <w:color w:val="595959" w:themeColor="text1" w:themeTint="A6"/>
                                    <w:sz w:val="28"/>
                                    <w:szCs w:val="28"/>
                                    <w:lang w:val="en-GB"/>
                                  </w:rPr>
                                  <w:t>Aurelio Negri</w:t>
                                </w:r>
                              </w:p>
                              <w:p w14:paraId="4BD06F93" w14:textId="4FED3D92" w:rsidR="00983F73" w:rsidRPr="00D50FD3" w:rsidRDefault="00983F73" w:rsidP="00B0204E">
                                <w:pPr>
                                  <w:pStyle w:val="NoSpacing"/>
                                  <w:jc w:val="right"/>
                                  <w:rPr>
                                    <w:color w:val="595959" w:themeColor="text1" w:themeTint="A6"/>
                                    <w:sz w:val="18"/>
                                    <w:szCs w:val="18"/>
                                    <w:lang w:val="en-GB"/>
                                  </w:rPr>
                                </w:pPr>
                                <w:r>
                                  <w:rPr>
                                    <w:color w:val="595959" w:themeColor="text1" w:themeTint="A6"/>
                                    <w:sz w:val="18"/>
                                    <w:szCs w:val="18"/>
                                    <w:lang w:val="en-GB"/>
                                  </w:rPr>
                                  <w:t>MSc Sustainable Development, E&amp;M track</w:t>
                                </w:r>
                                <w:r w:rsidRPr="00D50FD3">
                                  <w:rPr>
                                    <w:color w:val="595959" w:themeColor="text1" w:themeTint="A6"/>
                                    <w:sz w:val="18"/>
                                    <w:szCs w:val="18"/>
                                    <w:lang w:val="en-GB"/>
                                  </w:rPr>
                                  <w:t xml:space="preserve">, </w:t>
                                </w:r>
                                <w:hyperlink r:id="rId13" w:history="1">
                                  <w:r w:rsidRPr="00F174CA">
                                    <w:rPr>
                                      <w:rStyle w:val="Hyperlink"/>
                                      <w:sz w:val="18"/>
                                      <w:szCs w:val="18"/>
                                      <w:lang w:val="en-GB"/>
                                    </w:rPr>
                                    <w:t>a.negri@students.uu.nl</w:t>
                                  </w:r>
                                </w:hyperlink>
                                <w:r>
                                  <w:rPr>
                                    <w:color w:val="595959" w:themeColor="text1" w:themeTint="A6"/>
                                    <w:sz w:val="18"/>
                                    <w:szCs w:val="18"/>
                                    <w:lang w:val="en-GB"/>
                                  </w:rPr>
                                  <w:br/>
                                </w:r>
                              </w:p>
                              <w:p w14:paraId="788800BB" w14:textId="4BCF7BDC" w:rsidR="00983F73" w:rsidRDefault="00983F73" w:rsidP="00E172A2">
                                <w:pPr>
                                  <w:pStyle w:val="NoSpacing"/>
                                  <w:jc w:val="right"/>
                                  <w:rPr>
                                    <w:color w:val="595959" w:themeColor="text1" w:themeTint="A6"/>
                                    <w:sz w:val="28"/>
                                    <w:szCs w:val="28"/>
                                    <w:lang w:val="en-GB"/>
                                  </w:rPr>
                                </w:pPr>
                                <w:r w:rsidRPr="00E172A2">
                                  <w:rPr>
                                    <w:color w:val="595959" w:themeColor="text1" w:themeTint="A6"/>
                                    <w:sz w:val="28"/>
                                    <w:szCs w:val="28"/>
                                    <w:lang w:val="en-GB"/>
                                  </w:rPr>
                                  <w:t xml:space="preserve">Prof. </w:t>
                                </w:r>
                                <w:r>
                                  <w:rPr>
                                    <w:color w:val="595959" w:themeColor="text1" w:themeTint="A6"/>
                                    <w:sz w:val="28"/>
                                    <w:szCs w:val="28"/>
                                    <w:lang w:val="en-GB"/>
                                  </w:rPr>
                                  <w:t>D</w:t>
                                </w:r>
                                <w:r w:rsidRPr="00E172A2">
                                  <w:rPr>
                                    <w:color w:val="595959" w:themeColor="text1" w:themeTint="A6"/>
                                    <w:sz w:val="28"/>
                                    <w:szCs w:val="28"/>
                                    <w:lang w:val="en-GB"/>
                                  </w:rPr>
                                  <w:t>r. Ernst Worrell</w:t>
                                </w:r>
                              </w:p>
                              <w:p w14:paraId="5E0CA16F" w14:textId="76ABBDFE" w:rsidR="00983F73" w:rsidRDefault="00983F73" w:rsidP="00E172A2">
                                <w:pPr>
                                  <w:pStyle w:val="NoSpacing"/>
                                  <w:jc w:val="right"/>
                                  <w:rPr>
                                    <w:color w:val="595959" w:themeColor="text1" w:themeTint="A6"/>
                                    <w:sz w:val="18"/>
                                    <w:szCs w:val="18"/>
                                    <w:lang w:val="en-GB"/>
                                  </w:rPr>
                                </w:pPr>
                                <w:r>
                                  <w:rPr>
                                    <w:color w:val="595959" w:themeColor="text1" w:themeTint="A6"/>
                                    <w:sz w:val="18"/>
                                    <w:szCs w:val="18"/>
                                    <w:lang w:val="en-GB"/>
                                  </w:rPr>
                                  <w:t xml:space="preserve">Thesis supervisor at Copernicus Institute, </w:t>
                                </w:r>
                                <w:hyperlink r:id="rId14" w:history="1">
                                  <w:r w:rsidRPr="00F174CA">
                                    <w:rPr>
                                      <w:rStyle w:val="Hyperlink"/>
                                      <w:sz w:val="18"/>
                                      <w:szCs w:val="18"/>
                                      <w:lang w:val="en-GB"/>
                                    </w:rPr>
                                    <w:t>e.worrell@uu.nl</w:t>
                                  </w:r>
                                </w:hyperlink>
                                <w:r>
                                  <w:rPr>
                                    <w:color w:val="595959" w:themeColor="text1" w:themeTint="A6"/>
                                    <w:sz w:val="18"/>
                                    <w:szCs w:val="18"/>
                                    <w:lang w:val="en-GB"/>
                                  </w:rPr>
                                  <w:br/>
                                </w:r>
                              </w:p>
                              <w:p w14:paraId="259A0ED2" w14:textId="1BA7F289" w:rsidR="00983F73" w:rsidRPr="002B0161" w:rsidRDefault="00983F73" w:rsidP="00E172A2">
                                <w:pPr>
                                  <w:pStyle w:val="NoSpacing"/>
                                  <w:jc w:val="right"/>
                                  <w:rPr>
                                    <w:color w:val="595959" w:themeColor="text1" w:themeTint="A6"/>
                                    <w:sz w:val="28"/>
                                    <w:szCs w:val="28"/>
                                    <w:lang w:val="en-GB"/>
                                  </w:rPr>
                                </w:pPr>
                                <w:r>
                                  <w:rPr>
                                    <w:color w:val="595959" w:themeColor="text1" w:themeTint="A6"/>
                                    <w:sz w:val="28"/>
                                    <w:szCs w:val="28"/>
                                    <w:lang w:val="en-GB"/>
                                  </w:rPr>
                                  <w:t xml:space="preserve">Dr. </w:t>
                                </w:r>
                                <w:r w:rsidRPr="002B0161">
                                  <w:rPr>
                                    <w:color w:val="595959" w:themeColor="text1" w:themeTint="A6"/>
                                    <w:sz w:val="28"/>
                                    <w:szCs w:val="28"/>
                                    <w:lang w:val="en-GB"/>
                                  </w:rPr>
                                  <w:t>To</w:t>
                                </w:r>
                                <w:r>
                                  <w:rPr>
                                    <w:color w:val="595959" w:themeColor="text1" w:themeTint="A6"/>
                                    <w:sz w:val="28"/>
                                    <w:szCs w:val="28"/>
                                    <w:lang w:val="en-GB"/>
                                  </w:rPr>
                                  <w:t>m Ligthart</w:t>
                                </w:r>
                              </w:p>
                              <w:p w14:paraId="5FF5249E" w14:textId="0218B556" w:rsidR="00983F73" w:rsidRPr="00D50FD3" w:rsidRDefault="00983F73">
                                <w:pPr>
                                  <w:pStyle w:val="NoSpacing"/>
                                  <w:jc w:val="right"/>
                                  <w:rPr>
                                    <w:color w:val="595959" w:themeColor="text1" w:themeTint="A6"/>
                                    <w:sz w:val="18"/>
                                    <w:szCs w:val="18"/>
                                    <w:lang w:val="en-GB"/>
                                  </w:rPr>
                                </w:pPr>
                                <w:r w:rsidRPr="00D50FD3">
                                  <w:rPr>
                                    <w:color w:val="595959" w:themeColor="text1" w:themeTint="A6"/>
                                    <w:sz w:val="18"/>
                                    <w:szCs w:val="18"/>
                                    <w:lang w:val="en-GB"/>
                                  </w:rPr>
                                  <w:t xml:space="preserve">Internship supervisor </w:t>
                                </w:r>
                                <w:r>
                                  <w:rPr>
                                    <w:color w:val="595959" w:themeColor="text1" w:themeTint="A6"/>
                                    <w:sz w:val="18"/>
                                    <w:szCs w:val="18"/>
                                    <w:lang w:val="en-GB"/>
                                  </w:rPr>
                                  <w:t xml:space="preserve">at </w:t>
                                </w:r>
                                <w:r w:rsidRPr="00D50FD3">
                                  <w:rPr>
                                    <w:color w:val="595959" w:themeColor="text1" w:themeTint="A6"/>
                                    <w:sz w:val="18"/>
                                    <w:szCs w:val="18"/>
                                    <w:lang w:val="en-GB"/>
                                  </w:rPr>
                                  <w:t xml:space="preserve">TNO Utrecht, </w:t>
                                </w:r>
                                <w:hyperlink r:id="rId15" w:history="1">
                                  <w:r w:rsidRPr="00F174CA">
                                    <w:rPr>
                                      <w:rStyle w:val="Hyperlink"/>
                                      <w:sz w:val="18"/>
                                      <w:szCs w:val="18"/>
                                      <w:lang w:val="en-GB"/>
                                    </w:rPr>
                                    <w:t>tom.ligthart@tno.nl</w:t>
                                  </w:r>
                                </w:hyperlink>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F4799F8" id="_x0000_t202" coordsize="21600,21600" o:spt="202" path="m,l,21600r21600,l21600,xe">
                    <v:stroke joinstyle="miter"/>
                    <v:path gradientshapeok="t" o:connecttype="rect"/>
                  </v:shapetype>
                  <v:shape id="Text Box 152" o:spid="_x0000_s1026" type="#_x0000_t202" style="position:absolute;margin-left:17.25pt;margin-top:665.25pt;width:8in;height:120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" filled="f" stroked="f" strokeweight=".5pt">
                    <v:textbox inset="126pt,0,54pt,0">
                      <w:txbxContent>
                        <w:p w14:paraId="45AD1A63" w14:textId="5D156B38" w:rsidR="00983F73" w:rsidRPr="00DD2FE0" w:rsidRDefault="00983F73" w:rsidP="00B0204E">
                          <w:pPr>
                            <w:pStyle w:val="NoSpacing"/>
                            <w:jc w:val="right"/>
                            <w:rPr>
                              <w:color w:val="595959" w:themeColor="text1" w:themeTint="A6"/>
                              <w:sz w:val="28"/>
                              <w:szCs w:val="28"/>
                              <w:lang w:val="en-GB"/>
                            </w:rPr>
                          </w:pPr>
                          <w:r w:rsidRPr="00DD2FE0">
                            <w:rPr>
                              <w:color w:val="595959" w:themeColor="text1" w:themeTint="A6"/>
                              <w:sz w:val="28"/>
                              <w:szCs w:val="28"/>
                              <w:lang w:val="en-GB"/>
                            </w:rPr>
                            <w:t>Aurelio Negri</w:t>
                          </w:r>
                        </w:p>
                        <w:p w14:paraId="4BD06F93" w14:textId="4FED3D92" w:rsidR="00983F73" w:rsidRPr="00D50FD3" w:rsidRDefault="00983F73" w:rsidP="00B0204E">
                          <w:pPr>
                            <w:pStyle w:val="NoSpacing"/>
                            <w:jc w:val="right"/>
                            <w:rPr>
                              <w:color w:val="595959" w:themeColor="text1" w:themeTint="A6"/>
                              <w:sz w:val="18"/>
                              <w:szCs w:val="18"/>
                              <w:lang w:val="en-GB"/>
                            </w:rPr>
                          </w:pPr>
                          <w:r>
                            <w:rPr>
                              <w:color w:val="595959" w:themeColor="text1" w:themeTint="A6"/>
                              <w:sz w:val="18"/>
                              <w:szCs w:val="18"/>
                              <w:lang w:val="en-GB"/>
                            </w:rPr>
                            <w:t>MSc Sustainable Development, E&amp;M track</w:t>
                          </w:r>
                          <w:r w:rsidRPr="00D50FD3">
                            <w:rPr>
                              <w:color w:val="595959" w:themeColor="text1" w:themeTint="A6"/>
                              <w:sz w:val="18"/>
                              <w:szCs w:val="18"/>
                              <w:lang w:val="en-GB"/>
                            </w:rPr>
                            <w:t xml:space="preserve">, </w:t>
                          </w:r>
                          <w:hyperlink r:id="rId16" w:history="1">
                            <w:r w:rsidRPr="00F174CA">
                              <w:rPr>
                                <w:rStyle w:val="Hyperlink"/>
                                <w:sz w:val="18"/>
                                <w:szCs w:val="18"/>
                                <w:lang w:val="en-GB"/>
                              </w:rPr>
                              <w:t>a.negri@students.uu.nl</w:t>
                            </w:r>
                          </w:hyperlink>
                          <w:r>
                            <w:rPr>
                              <w:color w:val="595959" w:themeColor="text1" w:themeTint="A6"/>
                              <w:sz w:val="18"/>
                              <w:szCs w:val="18"/>
                              <w:lang w:val="en-GB"/>
                            </w:rPr>
                            <w:br/>
                          </w:r>
                        </w:p>
                        <w:p w14:paraId="788800BB" w14:textId="4BCF7BDC" w:rsidR="00983F73" w:rsidRDefault="00983F73" w:rsidP="00E172A2">
                          <w:pPr>
                            <w:pStyle w:val="NoSpacing"/>
                            <w:jc w:val="right"/>
                            <w:rPr>
                              <w:color w:val="595959" w:themeColor="text1" w:themeTint="A6"/>
                              <w:sz w:val="28"/>
                              <w:szCs w:val="28"/>
                              <w:lang w:val="en-GB"/>
                            </w:rPr>
                          </w:pPr>
                          <w:r w:rsidRPr="00E172A2">
                            <w:rPr>
                              <w:color w:val="595959" w:themeColor="text1" w:themeTint="A6"/>
                              <w:sz w:val="28"/>
                              <w:szCs w:val="28"/>
                              <w:lang w:val="en-GB"/>
                            </w:rPr>
                            <w:t xml:space="preserve">Prof. </w:t>
                          </w:r>
                          <w:r>
                            <w:rPr>
                              <w:color w:val="595959" w:themeColor="text1" w:themeTint="A6"/>
                              <w:sz w:val="28"/>
                              <w:szCs w:val="28"/>
                              <w:lang w:val="en-GB"/>
                            </w:rPr>
                            <w:t>D</w:t>
                          </w:r>
                          <w:r w:rsidRPr="00E172A2">
                            <w:rPr>
                              <w:color w:val="595959" w:themeColor="text1" w:themeTint="A6"/>
                              <w:sz w:val="28"/>
                              <w:szCs w:val="28"/>
                              <w:lang w:val="en-GB"/>
                            </w:rPr>
                            <w:t>r. Ernst Worrell</w:t>
                          </w:r>
                        </w:p>
                        <w:p w14:paraId="5E0CA16F" w14:textId="76ABBDFE" w:rsidR="00983F73" w:rsidRDefault="00983F73" w:rsidP="00E172A2">
                          <w:pPr>
                            <w:pStyle w:val="NoSpacing"/>
                            <w:jc w:val="right"/>
                            <w:rPr>
                              <w:color w:val="595959" w:themeColor="text1" w:themeTint="A6"/>
                              <w:sz w:val="18"/>
                              <w:szCs w:val="18"/>
                              <w:lang w:val="en-GB"/>
                            </w:rPr>
                          </w:pPr>
                          <w:r>
                            <w:rPr>
                              <w:color w:val="595959" w:themeColor="text1" w:themeTint="A6"/>
                              <w:sz w:val="18"/>
                              <w:szCs w:val="18"/>
                              <w:lang w:val="en-GB"/>
                            </w:rPr>
                            <w:t xml:space="preserve">Thesis supervisor at Copernicus Institute, </w:t>
                          </w:r>
                          <w:hyperlink r:id="rId17" w:history="1">
                            <w:r w:rsidRPr="00F174CA">
                              <w:rPr>
                                <w:rStyle w:val="Hyperlink"/>
                                <w:sz w:val="18"/>
                                <w:szCs w:val="18"/>
                                <w:lang w:val="en-GB"/>
                              </w:rPr>
                              <w:t>e.worrell@uu.nl</w:t>
                            </w:r>
                          </w:hyperlink>
                          <w:r>
                            <w:rPr>
                              <w:color w:val="595959" w:themeColor="text1" w:themeTint="A6"/>
                              <w:sz w:val="18"/>
                              <w:szCs w:val="18"/>
                              <w:lang w:val="en-GB"/>
                            </w:rPr>
                            <w:br/>
                          </w:r>
                        </w:p>
                        <w:p w14:paraId="259A0ED2" w14:textId="1BA7F289" w:rsidR="00983F73" w:rsidRPr="002B0161" w:rsidRDefault="00983F73" w:rsidP="00E172A2">
                          <w:pPr>
                            <w:pStyle w:val="NoSpacing"/>
                            <w:jc w:val="right"/>
                            <w:rPr>
                              <w:color w:val="595959" w:themeColor="text1" w:themeTint="A6"/>
                              <w:sz w:val="28"/>
                              <w:szCs w:val="28"/>
                              <w:lang w:val="en-GB"/>
                            </w:rPr>
                          </w:pPr>
                          <w:r>
                            <w:rPr>
                              <w:color w:val="595959" w:themeColor="text1" w:themeTint="A6"/>
                              <w:sz w:val="28"/>
                              <w:szCs w:val="28"/>
                              <w:lang w:val="en-GB"/>
                            </w:rPr>
                            <w:t xml:space="preserve">Dr. </w:t>
                          </w:r>
                          <w:r w:rsidRPr="002B0161">
                            <w:rPr>
                              <w:color w:val="595959" w:themeColor="text1" w:themeTint="A6"/>
                              <w:sz w:val="28"/>
                              <w:szCs w:val="28"/>
                              <w:lang w:val="en-GB"/>
                            </w:rPr>
                            <w:t>To</w:t>
                          </w:r>
                          <w:r>
                            <w:rPr>
                              <w:color w:val="595959" w:themeColor="text1" w:themeTint="A6"/>
                              <w:sz w:val="28"/>
                              <w:szCs w:val="28"/>
                              <w:lang w:val="en-GB"/>
                            </w:rPr>
                            <w:t>m Ligthart</w:t>
                          </w:r>
                        </w:p>
                        <w:p w14:paraId="5FF5249E" w14:textId="0218B556" w:rsidR="00983F73" w:rsidRPr="00D50FD3" w:rsidRDefault="00983F73">
                          <w:pPr>
                            <w:pStyle w:val="NoSpacing"/>
                            <w:jc w:val="right"/>
                            <w:rPr>
                              <w:color w:val="595959" w:themeColor="text1" w:themeTint="A6"/>
                              <w:sz w:val="18"/>
                              <w:szCs w:val="18"/>
                              <w:lang w:val="en-GB"/>
                            </w:rPr>
                          </w:pPr>
                          <w:r w:rsidRPr="00D50FD3">
                            <w:rPr>
                              <w:color w:val="595959" w:themeColor="text1" w:themeTint="A6"/>
                              <w:sz w:val="18"/>
                              <w:szCs w:val="18"/>
                              <w:lang w:val="en-GB"/>
                            </w:rPr>
                            <w:t xml:space="preserve">Internship supervisor </w:t>
                          </w:r>
                          <w:r>
                            <w:rPr>
                              <w:color w:val="595959" w:themeColor="text1" w:themeTint="A6"/>
                              <w:sz w:val="18"/>
                              <w:szCs w:val="18"/>
                              <w:lang w:val="en-GB"/>
                            </w:rPr>
                            <w:t xml:space="preserve">at </w:t>
                          </w:r>
                          <w:r w:rsidRPr="00D50FD3">
                            <w:rPr>
                              <w:color w:val="595959" w:themeColor="text1" w:themeTint="A6"/>
                              <w:sz w:val="18"/>
                              <w:szCs w:val="18"/>
                              <w:lang w:val="en-GB"/>
                            </w:rPr>
                            <w:t xml:space="preserve">TNO Utrecht, </w:t>
                          </w:r>
                          <w:hyperlink r:id="rId18" w:history="1">
                            <w:r w:rsidRPr="00F174CA">
                              <w:rPr>
                                <w:rStyle w:val="Hyperlink"/>
                                <w:sz w:val="18"/>
                                <w:szCs w:val="18"/>
                                <w:lang w:val="en-GB"/>
                              </w:rPr>
                              <w:t>tom.ligthart@tno.nl</w:t>
                            </w:r>
                          </w:hyperlink>
                        </w:p>
                      </w:txbxContent>
                    </v:textbox>
                    <w10:wrap type="square" anchorx="page" anchory="page"/>
                  </v:shape>
                </w:pict>
              </mc:Fallback>
            </mc:AlternateContent>
          </w:r>
        </w:p>
      </w:sdtContent>
    </w:sdt>
    <w:p w14:paraId="277E857F" w14:textId="21A262D1" w:rsidR="004D27A8" w:rsidRDefault="004D27A8" w:rsidP="000B3756">
      <w:pPr>
        <w:shd w:val="clear" w:color="auto" w:fill="FFFFFF" w:themeFill="background1"/>
        <w:rPr>
          <w:color w:val="4472C4" w:themeColor="accent1"/>
          <w:sz w:val="26"/>
          <w:szCs w:val="26"/>
        </w:rPr>
      </w:pPr>
    </w:p>
    <w:p w14:paraId="52AC80EB" w14:textId="5FFBAA25" w:rsidR="004D27A8" w:rsidRDefault="004D27A8" w:rsidP="000B3756">
      <w:pPr>
        <w:shd w:val="clear" w:color="auto" w:fill="FFFFFF" w:themeFill="background1"/>
        <w:rPr>
          <w:color w:val="4472C4" w:themeColor="accent1"/>
          <w:sz w:val="26"/>
          <w:szCs w:val="26"/>
        </w:rPr>
      </w:pPr>
    </w:p>
    <w:p w14:paraId="652F11B0" w14:textId="0DC5F48D" w:rsidR="004D27A8" w:rsidRDefault="004D27A8" w:rsidP="000B3756">
      <w:pPr>
        <w:shd w:val="clear" w:color="auto" w:fill="FFFFFF" w:themeFill="background1"/>
        <w:rPr>
          <w:color w:val="4472C4" w:themeColor="accent1"/>
          <w:sz w:val="26"/>
          <w:szCs w:val="26"/>
        </w:rPr>
      </w:pPr>
    </w:p>
    <w:p w14:paraId="2EC2EB0A" w14:textId="77777777" w:rsidR="004D27A8" w:rsidRDefault="004D27A8" w:rsidP="000B3756">
      <w:pPr>
        <w:shd w:val="clear" w:color="auto" w:fill="FFFFFF" w:themeFill="background1"/>
        <w:rPr>
          <w:color w:val="4472C4" w:themeColor="accent1"/>
          <w:sz w:val="26"/>
          <w:szCs w:val="26"/>
        </w:rPr>
      </w:pPr>
    </w:p>
    <w:p w14:paraId="02180286" w14:textId="77777777" w:rsidR="004D27A8" w:rsidRDefault="004D27A8" w:rsidP="000B3756">
      <w:pPr>
        <w:shd w:val="clear" w:color="auto" w:fill="FFFFFF" w:themeFill="background1"/>
        <w:rPr>
          <w:color w:val="4472C4" w:themeColor="accent1"/>
          <w:sz w:val="26"/>
          <w:szCs w:val="26"/>
        </w:rPr>
      </w:pPr>
    </w:p>
    <w:p w14:paraId="3001EA14" w14:textId="2526B816" w:rsidR="004D27A8" w:rsidRDefault="004D27A8" w:rsidP="000B3756">
      <w:pPr>
        <w:shd w:val="clear" w:color="auto" w:fill="FFFFFF" w:themeFill="background1"/>
        <w:rPr>
          <w:color w:val="4472C4" w:themeColor="accent1"/>
          <w:sz w:val="26"/>
          <w:szCs w:val="26"/>
        </w:rPr>
      </w:pPr>
    </w:p>
    <w:p w14:paraId="53A3C7F6" w14:textId="6B82A050" w:rsidR="004D63D6" w:rsidRDefault="004D63D6">
      <w:pPr>
        <w:rPr>
          <w:color w:val="4472C4" w:themeColor="accent1"/>
          <w:sz w:val="26"/>
          <w:szCs w:val="26"/>
        </w:rPr>
      </w:pPr>
      <w:r w:rsidRPr="00E10B6E">
        <w:rPr>
          <w:noProof/>
        </w:rPr>
        <mc:AlternateContent>
          <mc:Choice Requires="wps">
            <w:drawing>
              <wp:anchor distT="0" distB="0" distL="114300" distR="114300" simplePos="0" relativeHeight="251659264" behindDoc="0" locked="0" layoutInCell="1" allowOverlap="1" wp14:anchorId="7BE2B9F1" wp14:editId="7D074B5D">
                <wp:simplePos x="0" y="0"/>
                <wp:positionH relativeFrom="margin">
                  <wp:posOffset>-681355</wp:posOffset>
                </wp:positionH>
                <wp:positionV relativeFrom="page">
                  <wp:posOffset>4238625</wp:posOffset>
                </wp:positionV>
                <wp:extent cx="7315200" cy="36195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A2BD4" w14:textId="02E46942" w:rsidR="00983F73" w:rsidRPr="00A310F9" w:rsidRDefault="00722F9A">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83F73" w:rsidRPr="00A310F9">
                                  <w:rPr>
                                    <w:caps/>
                                    <w:color w:val="4472C4" w:themeColor="accent1"/>
                                    <w:sz w:val="64"/>
                                    <w:szCs w:val="64"/>
                                  </w:rPr>
                                  <w:t>CUrrent state and decarbonisation OPTIONS for the dutch pOLYOLEFINS industry</w:t>
                                </w:r>
                              </w:sdtContent>
                            </w:sdt>
                          </w:p>
                          <w:p w14:paraId="4C90134C" w14:textId="601CCB72" w:rsidR="00983F73" w:rsidRPr="00A310F9" w:rsidRDefault="00983F73">
                            <w:pPr>
                              <w:jc w:val="right"/>
                              <w:rPr>
                                <w:smallCaps/>
                                <w:color w:val="404040" w:themeColor="text1" w:themeTint="BF"/>
                                <w:sz w:val="36"/>
                                <w:szCs w:val="36"/>
                              </w:rPr>
                            </w:pPr>
                            <w:r w:rsidRPr="00A310F9">
                              <w:rPr>
                                <w:color w:val="404040" w:themeColor="text1" w:themeTint="BF"/>
                                <w:sz w:val="36"/>
                                <w:szCs w:val="36"/>
                              </w:rPr>
                              <w:t xml:space="preserve">An overview on polyolefins production in the Netherlands, and what are the possibilities to reduce its impact on climate change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BE2B9F1" id="Text Box 154" o:spid="_x0000_s1027" type="#_x0000_t202" style="position:absolute;margin-left:-53.65pt;margin-top:333.75pt;width:8in;height:285pt;z-index:251659264;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" filled="f" stroked="f" strokeweight=".5pt">
                <v:textbox inset="126pt,0,54pt,0">
                  <w:txbxContent>
                    <w:p w14:paraId="039A2BD4" w14:textId="02E46942" w:rsidR="00983F73" w:rsidRPr="00A310F9" w:rsidRDefault="00722F9A">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83F73" w:rsidRPr="00A310F9">
                            <w:rPr>
                              <w:caps/>
                              <w:color w:val="4472C4" w:themeColor="accent1"/>
                              <w:sz w:val="64"/>
                              <w:szCs w:val="64"/>
                            </w:rPr>
                            <w:t>CUrrent state and decarbonisation OPTIONS for the dutch pOLYOLEFINS industry</w:t>
                          </w:r>
                        </w:sdtContent>
                      </w:sdt>
                    </w:p>
                    <w:p w14:paraId="4C90134C" w14:textId="601CCB72" w:rsidR="00983F73" w:rsidRPr="00A310F9" w:rsidRDefault="00983F73">
                      <w:pPr>
                        <w:jc w:val="right"/>
                        <w:rPr>
                          <w:smallCaps/>
                          <w:color w:val="404040" w:themeColor="text1" w:themeTint="BF"/>
                          <w:sz w:val="36"/>
                          <w:szCs w:val="36"/>
                        </w:rPr>
                      </w:pPr>
                      <w:r w:rsidRPr="00A310F9">
                        <w:rPr>
                          <w:color w:val="404040" w:themeColor="text1" w:themeTint="BF"/>
                          <w:sz w:val="36"/>
                          <w:szCs w:val="36"/>
                        </w:rPr>
                        <w:t xml:space="preserve">An overview on polyolefins production in the Netherlands, and what are the possibilities to reduce its impact on climate change </w:t>
                      </w:r>
                    </w:p>
                  </w:txbxContent>
                </v:textbox>
                <w10:wrap type="square" anchorx="margin" anchory="page"/>
              </v:shape>
            </w:pict>
          </mc:Fallback>
        </mc:AlternateContent>
      </w:r>
      <w:r>
        <w:rPr>
          <w:color w:val="4472C4" w:themeColor="accent1"/>
          <w:sz w:val="26"/>
          <w:szCs w:val="26"/>
        </w:rPr>
        <w:br w:type="page"/>
      </w:r>
    </w:p>
    <w:p w14:paraId="4F9042BC" w14:textId="5C163208" w:rsidR="004D27A8" w:rsidRPr="00E10B6E" w:rsidRDefault="004D27A8" w:rsidP="004D27A8">
      <w:pPr>
        <w:shd w:val="clear" w:color="auto" w:fill="FFFFFF" w:themeFill="background1"/>
        <w:rPr>
          <w:color w:val="4472C4" w:themeColor="accent1"/>
          <w:sz w:val="26"/>
          <w:szCs w:val="26"/>
        </w:rPr>
      </w:pPr>
      <w:r w:rsidRPr="00E10B6E">
        <w:rPr>
          <w:color w:val="4472C4" w:themeColor="accent1"/>
          <w:sz w:val="26"/>
          <w:szCs w:val="26"/>
        </w:rPr>
        <w:lastRenderedPageBreak/>
        <w:t>A</w:t>
      </w:r>
      <w:r>
        <w:rPr>
          <w:color w:val="4472C4" w:themeColor="accent1"/>
          <w:sz w:val="26"/>
          <w:szCs w:val="26"/>
        </w:rPr>
        <w:t>bstract</w:t>
      </w:r>
    </w:p>
    <w:p w14:paraId="51EAB035" w14:textId="13BF5829" w:rsidR="004D27A8" w:rsidRDefault="004D27A8" w:rsidP="004D27A8">
      <w:pPr>
        <w:jc w:val="both"/>
      </w:pPr>
      <w:r w:rsidRPr="004D27A8">
        <w:t>This master thesis deals with the decarbonisation options for the Dutch polyolefins industry. The main products (LDPE, LLDPE, HDPE, PP) are mostly used for packaging (6</w:t>
      </w:r>
      <w:r w:rsidR="00AC4B2E">
        <w:t>0%</w:t>
      </w:r>
      <w:r w:rsidRPr="004D27A8">
        <w:t>), construction (</w:t>
      </w:r>
      <w:r w:rsidR="005C33E3">
        <w:t>10%</w:t>
      </w:r>
      <w:r w:rsidRPr="004D27A8">
        <w:t>), and automotive (</w:t>
      </w:r>
      <w:r w:rsidR="005C33E3">
        <w:t>7%</w:t>
      </w:r>
      <w:r w:rsidRPr="004D27A8">
        <w:t>)</w:t>
      </w:r>
      <w:r w:rsidR="002E3350">
        <w:t>.</w:t>
      </w:r>
      <w:r w:rsidRPr="004D27A8">
        <w:t xml:space="preserve"> Three producers </w:t>
      </w:r>
      <w:r w:rsidR="002E3350">
        <w:t>have been</w:t>
      </w:r>
      <w:r w:rsidRPr="004D27A8">
        <w:t xml:space="preserve"> investigated: Dow (in Terneuzen, Zeeland), SABIC (in Geleen, Limburg), and Ducor (in Rozenburg, South-Holland). The</w:t>
      </w:r>
      <w:r w:rsidR="002E3350">
        <w:t>ir</w:t>
      </w:r>
      <w:r w:rsidRPr="004D27A8">
        <w:t xml:space="preserve"> aggregate production of polyolefins is 2,570 kt/y, which is 2.5 times higher than the Dutch demand and equal to 8.5% of the total European production. </w:t>
      </w:r>
      <w:r w:rsidR="00E212B3">
        <w:t>The</w:t>
      </w:r>
      <w:r w:rsidR="00D1397F">
        <w:t xml:space="preserve"> production sites</w:t>
      </w:r>
      <w:r w:rsidR="00BC1C53">
        <w:t xml:space="preserve"> consume 4,774 TJ/y of electricity and 644 TJ</w:t>
      </w:r>
      <w:r w:rsidR="00062E0C">
        <w:t>/</w:t>
      </w:r>
      <w:r w:rsidR="00BC1C53">
        <w:t>y of heat</w:t>
      </w:r>
      <w:r w:rsidR="00D1397F">
        <w:t xml:space="preserve"> in total</w:t>
      </w:r>
      <w:r w:rsidR="00332609">
        <w:t xml:space="preserve">, which are linked with the </w:t>
      </w:r>
      <w:r w:rsidR="003E5D59">
        <w:t xml:space="preserve">yearly </w:t>
      </w:r>
      <w:r w:rsidR="00332609">
        <w:t xml:space="preserve">emission of </w:t>
      </w:r>
      <w:r w:rsidR="0017426D">
        <w:t xml:space="preserve">around </w:t>
      </w:r>
      <w:r w:rsidR="00AC4B2E">
        <w:t>8</w:t>
      </w:r>
      <w:r w:rsidR="0017426D">
        <w:t>00</w:t>
      </w:r>
      <w:r w:rsidR="00332609">
        <w:t xml:space="preserve"> kt </w:t>
      </w:r>
      <w:r w:rsidR="00332609" w:rsidRPr="004D27A8">
        <w:t>CO</w:t>
      </w:r>
      <w:r w:rsidR="00332609" w:rsidRPr="00332609">
        <w:rPr>
          <w:vertAlign w:val="subscript"/>
        </w:rPr>
        <w:t>2</w:t>
      </w:r>
      <w:r w:rsidR="00332609" w:rsidRPr="004D27A8">
        <w:t>-eq</w:t>
      </w:r>
      <w:r w:rsidR="00332609">
        <w:t>.</w:t>
      </w:r>
      <w:r w:rsidR="00E212B3">
        <w:t xml:space="preserve"> </w:t>
      </w:r>
      <w:r w:rsidRPr="004D27A8">
        <w:t xml:space="preserve">The main polymerisation technologies are high-pressure, solution, slurry, and gas-phase, causing </w:t>
      </w:r>
      <w:r w:rsidR="00332609">
        <w:t xml:space="preserve">the </w:t>
      </w:r>
      <w:r w:rsidRPr="004D27A8">
        <w:t>emission of 0.20-0.32 kg CO</w:t>
      </w:r>
      <w:r w:rsidRPr="00332609">
        <w:rPr>
          <w:vertAlign w:val="subscript"/>
        </w:rPr>
        <w:t>2</w:t>
      </w:r>
      <w:r w:rsidRPr="004D27A8">
        <w:t>-eq/kg of product. As most of the GHG</w:t>
      </w:r>
      <w:r w:rsidR="00D1397F">
        <w:t>s</w:t>
      </w:r>
      <w:r w:rsidRPr="004D27A8">
        <w:t xml:space="preserve"> are emitted upstream and downstream the polymerisation phase, this study focuses on the decarbonisation options </w:t>
      </w:r>
      <w:r w:rsidR="00E212B3" w:rsidRPr="004D27A8">
        <w:t>associated</w:t>
      </w:r>
      <w:r w:rsidRPr="004D27A8">
        <w:t xml:space="preserve"> to the production of feedstock and the end-of-life treatments. Olefin monomers can be produced from bio-ethanol, which is obtained from the fermentation of sugar-rich crops (e.g. sugar beets). The carbon emissions are greatly reduced, but land and water use have to be considered, and the cost of the product is 60% higher than when using fossil-based feedstock. </w:t>
      </w:r>
      <w:r w:rsidR="009E2E56">
        <w:t>Another possible route is the</w:t>
      </w:r>
      <w:r w:rsidRPr="004D27A8">
        <w:t xml:space="preserve"> gasification of bio-waste (e.g. from agriculture, the paper industry and cooking oils) and plastic waste, although the process is technically complicated and not </w:t>
      </w:r>
      <w:r w:rsidR="009E2E56">
        <w:t xml:space="preserve">yet </w:t>
      </w:r>
      <w:r w:rsidRPr="004D27A8">
        <w:t xml:space="preserve">ready for large scale applications. Besides the already-adopted mechanical recycling, </w:t>
      </w:r>
      <w:r w:rsidR="001D0C7F">
        <w:t>potential</w:t>
      </w:r>
      <w:r w:rsidRPr="004D27A8">
        <w:t xml:space="preserve"> circular economy options are dissolution recycling and pyrolysis, a thermochemical process able to handle hard-to-recycle plastics and recover the olefin monomers. Both technologies are considered promising by the stakeholders, but they are still under development and is thus uncertain if they are the </w:t>
      </w:r>
      <w:r w:rsidR="00B13F9C">
        <w:t xml:space="preserve">best </w:t>
      </w:r>
      <w:r w:rsidR="001D0C7F">
        <w:t>choices</w:t>
      </w:r>
      <w:r w:rsidR="00B13F9C">
        <w:t xml:space="preserve"> to process the plastic waste. </w:t>
      </w:r>
      <w:r w:rsidR="001D0C7F">
        <w:t xml:space="preserve">In conclusion, </w:t>
      </w:r>
      <w:r w:rsidR="005F5686">
        <w:t xml:space="preserve">more economic incentives and more innovation </w:t>
      </w:r>
      <w:r w:rsidR="008B54AF">
        <w:t>are</w:t>
      </w:r>
      <w:r w:rsidR="00E15C53">
        <w:t xml:space="preserve"> needed to successfully decarbonise the Dutch polyolefins industry.</w:t>
      </w:r>
      <w:r>
        <w:br w:type="page"/>
      </w:r>
    </w:p>
    <w:p w14:paraId="2B404889" w14:textId="086CD316" w:rsidR="00D62573" w:rsidRPr="00E10B6E" w:rsidRDefault="00D62573" w:rsidP="000B3756">
      <w:pPr>
        <w:shd w:val="clear" w:color="auto" w:fill="FFFFFF" w:themeFill="background1"/>
        <w:rPr>
          <w:color w:val="4472C4" w:themeColor="accent1"/>
          <w:sz w:val="26"/>
          <w:szCs w:val="26"/>
        </w:rPr>
      </w:pPr>
      <w:r w:rsidRPr="00E10B6E">
        <w:rPr>
          <w:color w:val="4472C4" w:themeColor="accent1"/>
          <w:sz w:val="26"/>
          <w:szCs w:val="26"/>
        </w:rPr>
        <w:lastRenderedPageBreak/>
        <w:t>Acknowledg</w:t>
      </w:r>
      <w:r w:rsidR="00F52340" w:rsidRPr="00E10B6E">
        <w:rPr>
          <w:color w:val="4472C4" w:themeColor="accent1"/>
          <w:sz w:val="26"/>
          <w:szCs w:val="26"/>
        </w:rPr>
        <w:t>e</w:t>
      </w:r>
      <w:r w:rsidRPr="00E10B6E">
        <w:rPr>
          <w:color w:val="4472C4" w:themeColor="accent1"/>
          <w:sz w:val="26"/>
          <w:szCs w:val="26"/>
        </w:rPr>
        <w:t>ments</w:t>
      </w:r>
    </w:p>
    <w:p w14:paraId="55CEA219" w14:textId="45AE4BD5" w:rsidR="00DF1836" w:rsidRPr="00E10B6E" w:rsidRDefault="000B3756" w:rsidP="00DF1836">
      <w:pPr>
        <w:jc w:val="both"/>
      </w:pPr>
      <w:r w:rsidRPr="00E10B6E">
        <w:t>This thesis is dedicated to my family and friends</w:t>
      </w:r>
      <w:r w:rsidR="00D74426" w:rsidRPr="00E10B6E">
        <w:t>:</w:t>
      </w:r>
      <w:r w:rsidR="00D56925" w:rsidRPr="00E10B6E">
        <w:t xml:space="preserve"> the ones that were, the ones that are, and the ones that will be</w:t>
      </w:r>
      <w:r w:rsidRPr="00E10B6E">
        <w:t xml:space="preserve">. </w:t>
      </w:r>
      <w:r w:rsidR="00B5470A" w:rsidRPr="00E10B6E">
        <w:t xml:space="preserve">If it is true that </w:t>
      </w:r>
      <w:r w:rsidR="00C827B2" w:rsidRPr="00E10B6E">
        <w:t>“</w:t>
      </w:r>
      <w:r w:rsidR="00C827B2" w:rsidRPr="00E10B6E">
        <w:rPr>
          <w:i/>
          <w:iCs/>
        </w:rPr>
        <w:t>you are the sum of who you surround yourself with</w:t>
      </w:r>
      <w:r w:rsidR="00C827B2" w:rsidRPr="00E10B6E">
        <w:t>”, th</w:t>
      </w:r>
      <w:r w:rsidR="00F74502" w:rsidRPr="00E10B6E">
        <w:t>e</w:t>
      </w:r>
      <w:r w:rsidR="00C827B2" w:rsidRPr="00E10B6E">
        <w:t xml:space="preserve">n </w:t>
      </w:r>
      <w:r w:rsidR="00D74426" w:rsidRPr="00E10B6E">
        <w:t>it</w:t>
      </w:r>
      <w:r w:rsidR="00C827B2" w:rsidRPr="00E10B6E">
        <w:t xml:space="preserve"> is no surprise that I am a successful human being. </w:t>
      </w:r>
      <w:r w:rsidR="00F74502" w:rsidRPr="00E10B6E">
        <w:t xml:space="preserve">You </w:t>
      </w:r>
      <w:r w:rsidR="00EC6350" w:rsidRPr="00E10B6E">
        <w:t>are the people that make life worth living, t</w:t>
      </w:r>
      <w:r w:rsidR="00F74502" w:rsidRPr="00E10B6E">
        <w:t>hank you.</w:t>
      </w:r>
      <w:r w:rsidR="00D56925" w:rsidRPr="00E10B6E">
        <w:t xml:space="preserve"> </w:t>
      </w:r>
    </w:p>
    <w:p w14:paraId="5A15C5E1" w14:textId="7A4CCD4D" w:rsidR="00D62573" w:rsidRPr="00E10B6E" w:rsidRDefault="002A23B9" w:rsidP="00DF1836">
      <w:pPr>
        <w:jc w:val="both"/>
      </w:pPr>
      <w:r w:rsidRPr="00E10B6E">
        <w:t xml:space="preserve">This research would </w:t>
      </w:r>
      <w:r w:rsidR="00DF1836" w:rsidRPr="00E10B6E">
        <w:t xml:space="preserve">also </w:t>
      </w:r>
      <w:r w:rsidRPr="00E10B6E">
        <w:t xml:space="preserve">not have been possible without the </w:t>
      </w:r>
      <w:r w:rsidR="00F74502" w:rsidRPr="00E10B6E">
        <w:t xml:space="preserve">caring supervision </w:t>
      </w:r>
      <w:r w:rsidRPr="00E10B6E">
        <w:t>of</w:t>
      </w:r>
      <w:r w:rsidR="008207CE" w:rsidRPr="00E10B6E">
        <w:t xml:space="preserve"> </w:t>
      </w:r>
      <w:r w:rsidRPr="00E10B6E">
        <w:t xml:space="preserve">Tom Ligthart, </w:t>
      </w:r>
      <w:r w:rsidR="008207CE" w:rsidRPr="00E10B6E">
        <w:t>a true model of professionali</w:t>
      </w:r>
      <w:r w:rsidR="004D4F10" w:rsidRPr="00E10B6E">
        <w:t>sm</w:t>
      </w:r>
      <w:r w:rsidR="008207CE" w:rsidRPr="00E10B6E">
        <w:t xml:space="preserve"> and humanity. I will miss our walks around the botanic garden! </w:t>
      </w:r>
    </w:p>
    <w:p w14:paraId="4F098EA2" w14:textId="6B4F0DA2" w:rsidR="00E17349" w:rsidRPr="00E10B6E" w:rsidRDefault="00E17349" w:rsidP="00E17349">
      <w:pPr>
        <w:shd w:val="clear" w:color="auto" w:fill="FFFFFF" w:themeFill="background1"/>
        <w:rPr>
          <w:color w:val="4472C4" w:themeColor="accent1"/>
          <w:sz w:val="26"/>
          <w:szCs w:val="26"/>
        </w:rPr>
      </w:pPr>
      <w:r w:rsidRPr="00E10B6E">
        <w:rPr>
          <w:color w:val="4472C4" w:themeColor="accent1"/>
          <w:sz w:val="26"/>
          <w:szCs w:val="26"/>
        </w:rPr>
        <w:t>Structure of the thesis</w:t>
      </w:r>
    </w:p>
    <w:tbl>
      <w:tblPr>
        <w:tblStyle w:val="TableGrid"/>
        <w:tblW w:w="9071" w:type="dxa"/>
        <w:tblLook w:val="04A0" w:firstRow="1" w:lastRow="0" w:firstColumn="1" w:lastColumn="0" w:noHBand="0" w:noVBand="1"/>
      </w:tblPr>
      <w:tblGrid>
        <w:gridCol w:w="567"/>
        <w:gridCol w:w="2835"/>
        <w:gridCol w:w="5669"/>
      </w:tblGrid>
      <w:tr w:rsidR="00453F95" w:rsidRPr="00E10B6E" w14:paraId="3B30AD29" w14:textId="77777777" w:rsidTr="00861821">
        <w:trPr>
          <w:trHeight w:val="850"/>
        </w:trPr>
        <w:tc>
          <w:tcPr>
            <w:tcW w:w="567" w:type="dxa"/>
            <w:shd w:val="clear" w:color="auto" w:fill="4472C4" w:themeFill="accent1"/>
            <w:vAlign w:val="center"/>
          </w:tcPr>
          <w:p w14:paraId="418F60DE" w14:textId="555A0FC5" w:rsidR="00453F95" w:rsidRPr="00E10B6E" w:rsidRDefault="00453F95" w:rsidP="00181970">
            <w:pPr>
              <w:jc w:val="center"/>
              <w:rPr>
                <w:b/>
                <w:bCs/>
                <w:color w:val="FFFFFF" w:themeColor="background1"/>
              </w:rPr>
            </w:pPr>
            <w:r w:rsidRPr="00E10B6E">
              <w:rPr>
                <w:b/>
                <w:bCs/>
                <w:color w:val="FFFFFF" w:themeColor="background1"/>
              </w:rPr>
              <w:t>N°</w:t>
            </w:r>
          </w:p>
        </w:tc>
        <w:tc>
          <w:tcPr>
            <w:tcW w:w="2835" w:type="dxa"/>
            <w:shd w:val="clear" w:color="auto" w:fill="4472C4" w:themeFill="accent1"/>
            <w:vAlign w:val="center"/>
          </w:tcPr>
          <w:p w14:paraId="795A8079" w14:textId="430C1506" w:rsidR="00453F95" w:rsidRPr="00E10B6E" w:rsidRDefault="00453F95" w:rsidP="00861821">
            <w:pPr>
              <w:rPr>
                <w:b/>
                <w:bCs/>
                <w:color w:val="FFFFFF" w:themeColor="background1"/>
              </w:rPr>
            </w:pPr>
            <w:r w:rsidRPr="00E10B6E">
              <w:rPr>
                <w:b/>
                <w:bCs/>
                <w:color w:val="FFFFFF" w:themeColor="background1"/>
              </w:rPr>
              <w:t>Chapter</w:t>
            </w:r>
          </w:p>
        </w:tc>
        <w:tc>
          <w:tcPr>
            <w:tcW w:w="5669" w:type="dxa"/>
            <w:shd w:val="clear" w:color="auto" w:fill="4472C4" w:themeFill="accent1"/>
            <w:vAlign w:val="center"/>
          </w:tcPr>
          <w:p w14:paraId="2B00079C" w14:textId="016E8F56" w:rsidR="00453F95" w:rsidRPr="00E10B6E" w:rsidRDefault="00453F95" w:rsidP="00861821">
            <w:pPr>
              <w:rPr>
                <w:b/>
                <w:bCs/>
                <w:color w:val="FFFFFF" w:themeColor="background1"/>
              </w:rPr>
            </w:pPr>
            <w:r w:rsidRPr="00E10B6E">
              <w:rPr>
                <w:b/>
                <w:bCs/>
                <w:color w:val="FFFFFF" w:themeColor="background1"/>
              </w:rPr>
              <w:t>Description</w:t>
            </w:r>
          </w:p>
        </w:tc>
      </w:tr>
      <w:tr w:rsidR="00453F95" w:rsidRPr="00E10B6E" w14:paraId="624BD8B9" w14:textId="77777777" w:rsidTr="00181970">
        <w:trPr>
          <w:trHeight w:val="850"/>
        </w:trPr>
        <w:tc>
          <w:tcPr>
            <w:tcW w:w="567" w:type="dxa"/>
            <w:vAlign w:val="center"/>
          </w:tcPr>
          <w:p w14:paraId="49369705" w14:textId="7B1BEAC1" w:rsidR="00453F95" w:rsidRPr="00E10B6E" w:rsidRDefault="00453F95" w:rsidP="00181970">
            <w:pPr>
              <w:jc w:val="center"/>
            </w:pPr>
            <w:r w:rsidRPr="00E10B6E">
              <w:t>1</w:t>
            </w:r>
          </w:p>
        </w:tc>
        <w:tc>
          <w:tcPr>
            <w:tcW w:w="2835" w:type="dxa"/>
            <w:vAlign w:val="center"/>
          </w:tcPr>
          <w:p w14:paraId="556FCE4B" w14:textId="34840EBF" w:rsidR="00453F95" w:rsidRPr="00E10B6E" w:rsidRDefault="00453F95" w:rsidP="00181970">
            <w:r w:rsidRPr="00E10B6E">
              <w:t>Introduction</w:t>
            </w:r>
          </w:p>
        </w:tc>
        <w:tc>
          <w:tcPr>
            <w:tcW w:w="5669" w:type="dxa"/>
            <w:vAlign w:val="center"/>
          </w:tcPr>
          <w:p w14:paraId="57869D42" w14:textId="767D144B" w:rsidR="00453F95" w:rsidRPr="00E10B6E" w:rsidRDefault="002705D7" w:rsidP="00181970">
            <w:r w:rsidRPr="00E10B6E">
              <w:t xml:space="preserve">This chapter defines the problem and the knowledge gap that led </w:t>
            </w:r>
            <w:r w:rsidR="00F82645" w:rsidRPr="00E10B6E">
              <w:t>to the start of the research. Scope and objectives are then explicated in the form of research questions.</w:t>
            </w:r>
          </w:p>
        </w:tc>
      </w:tr>
      <w:tr w:rsidR="00453F95" w:rsidRPr="00E10B6E" w14:paraId="67F8C784" w14:textId="77777777" w:rsidTr="00181970">
        <w:trPr>
          <w:trHeight w:val="850"/>
        </w:trPr>
        <w:tc>
          <w:tcPr>
            <w:tcW w:w="567" w:type="dxa"/>
            <w:vAlign w:val="center"/>
          </w:tcPr>
          <w:p w14:paraId="6449D80A" w14:textId="7909E76B" w:rsidR="00453F95" w:rsidRPr="00E10B6E" w:rsidRDefault="00453F95" w:rsidP="00181970">
            <w:pPr>
              <w:jc w:val="center"/>
            </w:pPr>
            <w:r w:rsidRPr="00E10B6E">
              <w:t>2</w:t>
            </w:r>
          </w:p>
        </w:tc>
        <w:tc>
          <w:tcPr>
            <w:tcW w:w="2835" w:type="dxa"/>
            <w:vAlign w:val="center"/>
          </w:tcPr>
          <w:p w14:paraId="12C612B1" w14:textId="4E4C684B" w:rsidR="00453F95" w:rsidRPr="00E10B6E" w:rsidRDefault="00453F95" w:rsidP="00181970">
            <w:r w:rsidRPr="00E10B6E">
              <w:t>Background information</w:t>
            </w:r>
          </w:p>
        </w:tc>
        <w:tc>
          <w:tcPr>
            <w:tcW w:w="5669" w:type="dxa"/>
            <w:vAlign w:val="center"/>
          </w:tcPr>
          <w:p w14:paraId="337D4625" w14:textId="5952D613" w:rsidR="00453F95" w:rsidRPr="00E10B6E" w:rsidRDefault="00F82645" w:rsidP="00181970">
            <w:r w:rsidRPr="00E10B6E">
              <w:t xml:space="preserve">This chapter </w:t>
            </w:r>
            <w:r w:rsidR="008C6BEC" w:rsidRPr="00E10B6E">
              <w:t>presents</w:t>
            </w:r>
            <w:r w:rsidR="002B707F" w:rsidRPr="00E10B6E">
              <w:t xml:space="preserve"> background knowledge and definitions that, although </w:t>
            </w:r>
            <w:r w:rsidR="004E1FCC" w:rsidRPr="00E10B6E">
              <w:t>are not necessarily used in the research, are useful</w:t>
            </w:r>
            <w:r w:rsidR="002B707F" w:rsidRPr="00E10B6E">
              <w:t xml:space="preserve"> to increase the familiarity with </w:t>
            </w:r>
            <w:r w:rsidR="004E1FCC" w:rsidRPr="00E10B6E">
              <w:t>polyolefin plastics</w:t>
            </w:r>
            <w:r w:rsidR="002B707F" w:rsidRPr="00E10B6E">
              <w:t>.</w:t>
            </w:r>
          </w:p>
        </w:tc>
      </w:tr>
      <w:tr w:rsidR="00453F95" w:rsidRPr="00E10B6E" w14:paraId="5BD6AF8C" w14:textId="77777777" w:rsidTr="00181970">
        <w:trPr>
          <w:trHeight w:val="850"/>
        </w:trPr>
        <w:tc>
          <w:tcPr>
            <w:tcW w:w="567" w:type="dxa"/>
            <w:vAlign w:val="center"/>
          </w:tcPr>
          <w:p w14:paraId="7F17116C" w14:textId="0BFFF713" w:rsidR="00453F95" w:rsidRPr="00E10B6E" w:rsidRDefault="00453F95" w:rsidP="00181970">
            <w:pPr>
              <w:jc w:val="center"/>
            </w:pPr>
            <w:r w:rsidRPr="00E10B6E">
              <w:t>3</w:t>
            </w:r>
          </w:p>
        </w:tc>
        <w:tc>
          <w:tcPr>
            <w:tcW w:w="2835" w:type="dxa"/>
            <w:vAlign w:val="center"/>
          </w:tcPr>
          <w:p w14:paraId="4E0AF722" w14:textId="7FF1ECD1" w:rsidR="00453F95" w:rsidRPr="00E10B6E" w:rsidRDefault="00453F95" w:rsidP="00181970">
            <w:r w:rsidRPr="00E10B6E">
              <w:t>Methodology</w:t>
            </w:r>
          </w:p>
        </w:tc>
        <w:tc>
          <w:tcPr>
            <w:tcW w:w="5669" w:type="dxa"/>
            <w:vAlign w:val="center"/>
          </w:tcPr>
          <w:p w14:paraId="41A46C2C" w14:textId="64537E86" w:rsidR="00453F95" w:rsidRPr="00E10B6E" w:rsidRDefault="004E1FCC" w:rsidP="00181970">
            <w:r w:rsidRPr="00E10B6E">
              <w:t xml:space="preserve">This chapter </w:t>
            </w:r>
            <w:r w:rsidR="00D4224A" w:rsidRPr="00E10B6E">
              <w:t xml:space="preserve">offers an overview of the research methods used to answer all the research questions, listing the main sources, </w:t>
            </w:r>
            <w:r w:rsidR="00861821" w:rsidRPr="00E10B6E">
              <w:t>assumptions, and data processing steps.</w:t>
            </w:r>
          </w:p>
        </w:tc>
      </w:tr>
      <w:tr w:rsidR="00453F95" w:rsidRPr="00E10B6E" w14:paraId="7EDB7671" w14:textId="77777777" w:rsidTr="00181970">
        <w:trPr>
          <w:trHeight w:val="850"/>
        </w:trPr>
        <w:tc>
          <w:tcPr>
            <w:tcW w:w="567" w:type="dxa"/>
            <w:vAlign w:val="center"/>
          </w:tcPr>
          <w:p w14:paraId="481914EB" w14:textId="75B64979" w:rsidR="00453F95" w:rsidRPr="00E10B6E" w:rsidRDefault="00453F95" w:rsidP="00181970">
            <w:pPr>
              <w:jc w:val="center"/>
            </w:pPr>
            <w:r w:rsidRPr="00E10B6E">
              <w:t>4</w:t>
            </w:r>
          </w:p>
        </w:tc>
        <w:tc>
          <w:tcPr>
            <w:tcW w:w="2835" w:type="dxa"/>
            <w:vAlign w:val="center"/>
          </w:tcPr>
          <w:p w14:paraId="56196659" w14:textId="3304540C" w:rsidR="00453F95" w:rsidRPr="00E10B6E" w:rsidRDefault="00453F95" w:rsidP="00181970">
            <w:r w:rsidRPr="00E10B6E">
              <w:t>Results</w:t>
            </w:r>
          </w:p>
        </w:tc>
        <w:tc>
          <w:tcPr>
            <w:tcW w:w="5669" w:type="dxa"/>
            <w:vAlign w:val="center"/>
          </w:tcPr>
          <w:p w14:paraId="4DEFAD62" w14:textId="324F7C71" w:rsidR="00453F95" w:rsidRPr="00E10B6E" w:rsidRDefault="00861821" w:rsidP="00181970">
            <w:r w:rsidRPr="00E10B6E">
              <w:t xml:space="preserve">This chapter </w:t>
            </w:r>
            <w:r w:rsidR="00E907C2" w:rsidRPr="00E10B6E">
              <w:t>goes through the research questions one by one</w:t>
            </w:r>
            <w:r w:rsidR="00A509AB" w:rsidRPr="00E10B6E">
              <w:t xml:space="preserve"> according to the methodology</w:t>
            </w:r>
            <w:r w:rsidR="000842E5" w:rsidRPr="00E10B6E">
              <w:t>,</w:t>
            </w:r>
            <w:r w:rsidR="00E907C2" w:rsidRPr="00E10B6E">
              <w:t xml:space="preserve"> </w:t>
            </w:r>
            <w:r w:rsidR="00C46507" w:rsidRPr="00E10B6E">
              <w:t>present</w:t>
            </w:r>
            <w:r w:rsidR="000842E5" w:rsidRPr="00E10B6E">
              <w:t>ing</w:t>
            </w:r>
            <w:r w:rsidR="00C46507" w:rsidRPr="00E10B6E">
              <w:t xml:space="preserve"> </w:t>
            </w:r>
            <w:r w:rsidR="005B762C" w:rsidRPr="00E10B6E">
              <w:t>the findings</w:t>
            </w:r>
            <w:r w:rsidR="000842E5" w:rsidRPr="00E10B6E">
              <w:t xml:space="preserve"> in a combination of text, </w:t>
            </w:r>
            <w:r w:rsidR="00A509AB" w:rsidRPr="00E10B6E">
              <w:t>tables,</w:t>
            </w:r>
            <w:r w:rsidR="000842E5" w:rsidRPr="00E10B6E">
              <w:t xml:space="preserve"> and figures. </w:t>
            </w:r>
            <w:r w:rsidR="005B762C" w:rsidRPr="00E10B6E">
              <w:t xml:space="preserve"> </w:t>
            </w:r>
          </w:p>
        </w:tc>
      </w:tr>
      <w:tr w:rsidR="00453F95" w:rsidRPr="00E10B6E" w14:paraId="7651B436" w14:textId="77777777" w:rsidTr="00181970">
        <w:trPr>
          <w:trHeight w:val="850"/>
        </w:trPr>
        <w:tc>
          <w:tcPr>
            <w:tcW w:w="567" w:type="dxa"/>
            <w:vAlign w:val="center"/>
          </w:tcPr>
          <w:p w14:paraId="2AADDCF8" w14:textId="6D2DA249" w:rsidR="00453F95" w:rsidRPr="00E10B6E" w:rsidRDefault="00453F95" w:rsidP="00181970">
            <w:pPr>
              <w:jc w:val="center"/>
            </w:pPr>
            <w:r w:rsidRPr="00E10B6E">
              <w:t>5</w:t>
            </w:r>
          </w:p>
        </w:tc>
        <w:tc>
          <w:tcPr>
            <w:tcW w:w="2835" w:type="dxa"/>
            <w:vAlign w:val="center"/>
          </w:tcPr>
          <w:p w14:paraId="4550B04F" w14:textId="05445CEE" w:rsidR="00453F95" w:rsidRPr="00E10B6E" w:rsidRDefault="00453F95" w:rsidP="00181970">
            <w:r w:rsidRPr="00E10B6E">
              <w:t>Discussion</w:t>
            </w:r>
          </w:p>
        </w:tc>
        <w:tc>
          <w:tcPr>
            <w:tcW w:w="5669" w:type="dxa"/>
            <w:vAlign w:val="center"/>
          </w:tcPr>
          <w:p w14:paraId="6CD9B06A" w14:textId="749BA9C0" w:rsidR="00453F95" w:rsidRPr="00E10B6E" w:rsidRDefault="00DF62D6" w:rsidP="00181970">
            <w:bookmarkStart w:id="0" w:name="_Hlk53652165"/>
            <w:r w:rsidRPr="00E10B6E">
              <w:t>This chapter hosts the discussion about the limitations of the research</w:t>
            </w:r>
            <w:r w:rsidR="0078616A" w:rsidRPr="00E10B6E">
              <w:t>,</w:t>
            </w:r>
            <w:r w:rsidRPr="00E10B6E">
              <w:t xml:space="preserve"> and the societal impacts and scientific relevance of the results.</w:t>
            </w:r>
            <w:bookmarkEnd w:id="0"/>
          </w:p>
        </w:tc>
      </w:tr>
      <w:tr w:rsidR="00453F95" w:rsidRPr="00E10B6E" w14:paraId="4226F78A" w14:textId="77777777" w:rsidTr="00181970">
        <w:trPr>
          <w:trHeight w:val="850"/>
        </w:trPr>
        <w:tc>
          <w:tcPr>
            <w:tcW w:w="567" w:type="dxa"/>
            <w:vAlign w:val="center"/>
          </w:tcPr>
          <w:p w14:paraId="6A4B5A8A" w14:textId="0AB7CA20" w:rsidR="00453F95" w:rsidRPr="00E10B6E" w:rsidRDefault="00453F95" w:rsidP="00181970">
            <w:pPr>
              <w:jc w:val="center"/>
            </w:pPr>
            <w:r w:rsidRPr="00E10B6E">
              <w:t>6</w:t>
            </w:r>
          </w:p>
        </w:tc>
        <w:tc>
          <w:tcPr>
            <w:tcW w:w="2835" w:type="dxa"/>
            <w:vAlign w:val="center"/>
          </w:tcPr>
          <w:p w14:paraId="4B3891FE" w14:textId="6B02ED02" w:rsidR="00453F95" w:rsidRPr="00E10B6E" w:rsidRDefault="00453F95" w:rsidP="00181970">
            <w:r w:rsidRPr="00E10B6E">
              <w:t>Conclusion</w:t>
            </w:r>
          </w:p>
        </w:tc>
        <w:tc>
          <w:tcPr>
            <w:tcW w:w="5669" w:type="dxa"/>
            <w:vAlign w:val="center"/>
          </w:tcPr>
          <w:p w14:paraId="0E35D487" w14:textId="6F6D0891" w:rsidR="00453F95" w:rsidRPr="00E10B6E" w:rsidRDefault="0060259D" w:rsidP="00181970">
            <w:r w:rsidRPr="00E10B6E">
              <w:t xml:space="preserve">This chapter serves as </w:t>
            </w:r>
            <w:r w:rsidR="004D4F10" w:rsidRPr="00E10B6E">
              <w:t xml:space="preserve">the </w:t>
            </w:r>
            <w:r w:rsidRPr="00E10B6E">
              <w:t xml:space="preserve">culmination of the thesis, </w:t>
            </w:r>
            <w:r w:rsidR="005820E7" w:rsidRPr="00E10B6E">
              <w:t xml:space="preserve">summarizing together all the main findings and their societal and scientific relevance. </w:t>
            </w:r>
          </w:p>
        </w:tc>
      </w:tr>
    </w:tbl>
    <w:p w14:paraId="15C5F962" w14:textId="58B044C4" w:rsidR="007F1B23" w:rsidRPr="00E10B6E" w:rsidRDefault="007F1B23" w:rsidP="00DF1836">
      <w:pPr>
        <w:jc w:val="both"/>
      </w:pPr>
    </w:p>
    <w:p w14:paraId="7D4AF6DB" w14:textId="77777777" w:rsidR="007F1B23" w:rsidRPr="00E10B6E" w:rsidRDefault="007F1B23">
      <w:r w:rsidRPr="00E10B6E">
        <w:br w:type="page"/>
      </w:r>
    </w:p>
    <w:sdt>
      <w:sdtPr>
        <w:rPr>
          <w:rFonts w:asciiTheme="minorHAnsi" w:eastAsiaTheme="minorHAnsi" w:hAnsiTheme="minorHAnsi" w:cstheme="minorBidi"/>
          <w:color w:val="auto"/>
          <w:sz w:val="22"/>
          <w:szCs w:val="22"/>
          <w:lang w:val="en-GB"/>
        </w:rPr>
        <w:id w:val="904268321"/>
        <w:docPartObj>
          <w:docPartGallery w:val="Table of Contents"/>
          <w:docPartUnique/>
        </w:docPartObj>
      </w:sdtPr>
      <w:sdtEndPr>
        <w:rPr>
          <w:noProof/>
        </w:rPr>
      </w:sdtEndPr>
      <w:sdtContent>
        <w:p w14:paraId="45529F73" w14:textId="40F6E0AB" w:rsidR="00826FA5" w:rsidRPr="00E10B6E" w:rsidRDefault="00826FA5">
          <w:pPr>
            <w:pStyle w:val="TOCHeading"/>
            <w:rPr>
              <w:b/>
              <w:bCs/>
              <w:lang w:val="en-GB"/>
            </w:rPr>
          </w:pPr>
          <w:r w:rsidRPr="00E10B6E">
            <w:rPr>
              <w:b/>
              <w:bCs/>
              <w:lang w:val="en-GB"/>
            </w:rPr>
            <w:t>Table of Contents</w:t>
          </w:r>
        </w:p>
        <w:p w14:paraId="156C6264" w14:textId="66246566" w:rsidR="00983F73" w:rsidRDefault="00826FA5">
          <w:pPr>
            <w:pStyle w:val="TOC1"/>
            <w:tabs>
              <w:tab w:val="right" w:leader="dot" w:pos="9060"/>
            </w:tabs>
            <w:rPr>
              <w:rFonts w:eastAsiaTheme="minorEastAsia"/>
              <w:noProof/>
              <w:lang w:eastAsia="en-GB"/>
            </w:rPr>
          </w:pPr>
          <w:r w:rsidRPr="00E10B6E">
            <w:fldChar w:fldCharType="begin"/>
          </w:r>
          <w:r w:rsidRPr="00E10B6E">
            <w:instrText xml:space="preserve"> TOC \o "1-3" \h \z \u </w:instrText>
          </w:r>
          <w:r w:rsidRPr="00E10B6E">
            <w:fldChar w:fldCharType="separate"/>
          </w:r>
          <w:hyperlink w:anchor="_Toc54274773" w:history="1">
            <w:r w:rsidR="00983F73" w:rsidRPr="00671338">
              <w:rPr>
                <w:rStyle w:val="Hyperlink"/>
                <w:b/>
                <w:bCs/>
                <w:noProof/>
              </w:rPr>
              <w:t>List of abbreviations</w:t>
            </w:r>
            <w:r w:rsidR="00983F73">
              <w:rPr>
                <w:noProof/>
                <w:webHidden/>
              </w:rPr>
              <w:tab/>
            </w:r>
            <w:r w:rsidR="00983F73">
              <w:rPr>
                <w:noProof/>
                <w:webHidden/>
              </w:rPr>
              <w:fldChar w:fldCharType="begin"/>
            </w:r>
            <w:r w:rsidR="00983F73">
              <w:rPr>
                <w:noProof/>
                <w:webHidden/>
              </w:rPr>
              <w:instrText xml:space="preserve"> PAGEREF _Toc54274773 \h </w:instrText>
            </w:r>
            <w:r w:rsidR="00983F73">
              <w:rPr>
                <w:noProof/>
                <w:webHidden/>
              </w:rPr>
            </w:r>
            <w:r w:rsidR="00983F73">
              <w:rPr>
                <w:noProof/>
                <w:webHidden/>
              </w:rPr>
              <w:fldChar w:fldCharType="separate"/>
            </w:r>
            <w:r w:rsidR="00983F73">
              <w:rPr>
                <w:noProof/>
                <w:webHidden/>
              </w:rPr>
              <w:t>5</w:t>
            </w:r>
            <w:r w:rsidR="00983F73">
              <w:rPr>
                <w:noProof/>
                <w:webHidden/>
              </w:rPr>
              <w:fldChar w:fldCharType="end"/>
            </w:r>
          </w:hyperlink>
        </w:p>
        <w:p w14:paraId="7A076466" w14:textId="2E7437CF" w:rsidR="00983F73" w:rsidRDefault="00722F9A">
          <w:pPr>
            <w:pStyle w:val="TOC1"/>
            <w:tabs>
              <w:tab w:val="right" w:leader="dot" w:pos="9060"/>
            </w:tabs>
            <w:rPr>
              <w:rFonts w:eastAsiaTheme="minorEastAsia"/>
              <w:noProof/>
              <w:lang w:eastAsia="en-GB"/>
            </w:rPr>
          </w:pPr>
          <w:hyperlink w:anchor="_Toc54274774" w:history="1">
            <w:r w:rsidR="00983F73" w:rsidRPr="00671338">
              <w:rPr>
                <w:rStyle w:val="Hyperlink"/>
                <w:b/>
                <w:bCs/>
                <w:noProof/>
              </w:rPr>
              <w:t>1. INTRODUCTION</w:t>
            </w:r>
            <w:r w:rsidR="00983F73">
              <w:rPr>
                <w:noProof/>
                <w:webHidden/>
              </w:rPr>
              <w:tab/>
            </w:r>
            <w:r w:rsidR="00983F73">
              <w:rPr>
                <w:noProof/>
                <w:webHidden/>
              </w:rPr>
              <w:fldChar w:fldCharType="begin"/>
            </w:r>
            <w:r w:rsidR="00983F73">
              <w:rPr>
                <w:noProof/>
                <w:webHidden/>
              </w:rPr>
              <w:instrText xml:space="preserve"> PAGEREF _Toc54274774 \h </w:instrText>
            </w:r>
            <w:r w:rsidR="00983F73">
              <w:rPr>
                <w:noProof/>
                <w:webHidden/>
              </w:rPr>
            </w:r>
            <w:r w:rsidR="00983F73">
              <w:rPr>
                <w:noProof/>
                <w:webHidden/>
              </w:rPr>
              <w:fldChar w:fldCharType="separate"/>
            </w:r>
            <w:r w:rsidR="00983F73">
              <w:rPr>
                <w:noProof/>
                <w:webHidden/>
              </w:rPr>
              <w:t>6</w:t>
            </w:r>
            <w:r w:rsidR="00983F73">
              <w:rPr>
                <w:noProof/>
                <w:webHidden/>
              </w:rPr>
              <w:fldChar w:fldCharType="end"/>
            </w:r>
          </w:hyperlink>
        </w:p>
        <w:p w14:paraId="08A3A79A" w14:textId="79FA1151" w:rsidR="00983F73" w:rsidRDefault="00722F9A">
          <w:pPr>
            <w:pStyle w:val="TOC2"/>
            <w:tabs>
              <w:tab w:val="right" w:leader="dot" w:pos="9060"/>
            </w:tabs>
            <w:rPr>
              <w:rFonts w:eastAsiaTheme="minorEastAsia"/>
              <w:noProof/>
              <w:lang w:eastAsia="en-GB"/>
            </w:rPr>
          </w:pPr>
          <w:hyperlink w:anchor="_Toc54274775" w:history="1">
            <w:r w:rsidR="00983F73" w:rsidRPr="00671338">
              <w:rPr>
                <w:rStyle w:val="Hyperlink"/>
                <w:noProof/>
              </w:rPr>
              <w:t>1.1 Societal background and problem definition</w:t>
            </w:r>
            <w:r w:rsidR="00983F73">
              <w:rPr>
                <w:noProof/>
                <w:webHidden/>
              </w:rPr>
              <w:tab/>
            </w:r>
            <w:r w:rsidR="00983F73">
              <w:rPr>
                <w:noProof/>
                <w:webHidden/>
              </w:rPr>
              <w:fldChar w:fldCharType="begin"/>
            </w:r>
            <w:r w:rsidR="00983F73">
              <w:rPr>
                <w:noProof/>
                <w:webHidden/>
              </w:rPr>
              <w:instrText xml:space="preserve"> PAGEREF _Toc54274775 \h </w:instrText>
            </w:r>
            <w:r w:rsidR="00983F73">
              <w:rPr>
                <w:noProof/>
                <w:webHidden/>
              </w:rPr>
            </w:r>
            <w:r w:rsidR="00983F73">
              <w:rPr>
                <w:noProof/>
                <w:webHidden/>
              </w:rPr>
              <w:fldChar w:fldCharType="separate"/>
            </w:r>
            <w:r w:rsidR="00983F73">
              <w:rPr>
                <w:noProof/>
                <w:webHidden/>
              </w:rPr>
              <w:t>6</w:t>
            </w:r>
            <w:r w:rsidR="00983F73">
              <w:rPr>
                <w:noProof/>
                <w:webHidden/>
              </w:rPr>
              <w:fldChar w:fldCharType="end"/>
            </w:r>
          </w:hyperlink>
        </w:p>
        <w:p w14:paraId="09616CE1" w14:textId="1E62A31C" w:rsidR="00983F73" w:rsidRDefault="00722F9A">
          <w:pPr>
            <w:pStyle w:val="TOC2"/>
            <w:tabs>
              <w:tab w:val="right" w:leader="dot" w:pos="9060"/>
            </w:tabs>
            <w:rPr>
              <w:rFonts w:eastAsiaTheme="minorEastAsia"/>
              <w:noProof/>
              <w:lang w:eastAsia="en-GB"/>
            </w:rPr>
          </w:pPr>
          <w:hyperlink w:anchor="_Toc54274776" w:history="1">
            <w:r w:rsidR="00983F73" w:rsidRPr="00671338">
              <w:rPr>
                <w:rStyle w:val="Hyperlink"/>
                <w:noProof/>
              </w:rPr>
              <w:t>1.2 Scientific background and knowledge gap</w:t>
            </w:r>
            <w:r w:rsidR="00983F73">
              <w:rPr>
                <w:noProof/>
                <w:webHidden/>
              </w:rPr>
              <w:tab/>
            </w:r>
            <w:r w:rsidR="00983F73">
              <w:rPr>
                <w:noProof/>
                <w:webHidden/>
              </w:rPr>
              <w:fldChar w:fldCharType="begin"/>
            </w:r>
            <w:r w:rsidR="00983F73">
              <w:rPr>
                <w:noProof/>
                <w:webHidden/>
              </w:rPr>
              <w:instrText xml:space="preserve"> PAGEREF _Toc54274776 \h </w:instrText>
            </w:r>
            <w:r w:rsidR="00983F73">
              <w:rPr>
                <w:noProof/>
                <w:webHidden/>
              </w:rPr>
            </w:r>
            <w:r w:rsidR="00983F73">
              <w:rPr>
                <w:noProof/>
                <w:webHidden/>
              </w:rPr>
              <w:fldChar w:fldCharType="separate"/>
            </w:r>
            <w:r w:rsidR="00983F73">
              <w:rPr>
                <w:noProof/>
                <w:webHidden/>
              </w:rPr>
              <w:t>7</w:t>
            </w:r>
            <w:r w:rsidR="00983F73">
              <w:rPr>
                <w:noProof/>
                <w:webHidden/>
              </w:rPr>
              <w:fldChar w:fldCharType="end"/>
            </w:r>
          </w:hyperlink>
        </w:p>
        <w:p w14:paraId="799AB479" w14:textId="354470D3" w:rsidR="00983F73" w:rsidRDefault="00722F9A">
          <w:pPr>
            <w:pStyle w:val="TOC2"/>
            <w:tabs>
              <w:tab w:val="right" w:leader="dot" w:pos="9060"/>
            </w:tabs>
            <w:rPr>
              <w:rFonts w:eastAsiaTheme="minorEastAsia"/>
              <w:noProof/>
              <w:lang w:eastAsia="en-GB"/>
            </w:rPr>
          </w:pPr>
          <w:hyperlink w:anchor="_Toc54274777" w:history="1">
            <w:r w:rsidR="00983F73" w:rsidRPr="00671338">
              <w:rPr>
                <w:rStyle w:val="Hyperlink"/>
                <w:noProof/>
              </w:rPr>
              <w:t>1.3 Research scope, objective, and questions</w:t>
            </w:r>
            <w:r w:rsidR="00983F73">
              <w:rPr>
                <w:noProof/>
                <w:webHidden/>
              </w:rPr>
              <w:tab/>
            </w:r>
            <w:r w:rsidR="00983F73">
              <w:rPr>
                <w:noProof/>
                <w:webHidden/>
              </w:rPr>
              <w:fldChar w:fldCharType="begin"/>
            </w:r>
            <w:r w:rsidR="00983F73">
              <w:rPr>
                <w:noProof/>
                <w:webHidden/>
              </w:rPr>
              <w:instrText xml:space="preserve"> PAGEREF _Toc54274777 \h </w:instrText>
            </w:r>
            <w:r w:rsidR="00983F73">
              <w:rPr>
                <w:noProof/>
                <w:webHidden/>
              </w:rPr>
            </w:r>
            <w:r w:rsidR="00983F73">
              <w:rPr>
                <w:noProof/>
                <w:webHidden/>
              </w:rPr>
              <w:fldChar w:fldCharType="separate"/>
            </w:r>
            <w:r w:rsidR="00983F73">
              <w:rPr>
                <w:noProof/>
                <w:webHidden/>
              </w:rPr>
              <w:t>7</w:t>
            </w:r>
            <w:r w:rsidR="00983F73">
              <w:rPr>
                <w:noProof/>
                <w:webHidden/>
              </w:rPr>
              <w:fldChar w:fldCharType="end"/>
            </w:r>
          </w:hyperlink>
        </w:p>
        <w:p w14:paraId="3F0A83C3" w14:textId="480E4FA3" w:rsidR="00983F73" w:rsidRDefault="00722F9A">
          <w:pPr>
            <w:pStyle w:val="TOC2"/>
            <w:tabs>
              <w:tab w:val="right" w:leader="dot" w:pos="9060"/>
            </w:tabs>
            <w:rPr>
              <w:rFonts w:eastAsiaTheme="minorEastAsia"/>
              <w:noProof/>
              <w:lang w:eastAsia="en-GB"/>
            </w:rPr>
          </w:pPr>
          <w:hyperlink w:anchor="_Toc54274778" w:history="1">
            <w:r w:rsidR="00983F73" w:rsidRPr="00671338">
              <w:rPr>
                <w:rStyle w:val="Hyperlink"/>
                <w:noProof/>
              </w:rPr>
              <w:t>1.4 Societal and scientific relevance</w:t>
            </w:r>
            <w:r w:rsidR="00983F73">
              <w:rPr>
                <w:noProof/>
                <w:webHidden/>
              </w:rPr>
              <w:tab/>
            </w:r>
            <w:r w:rsidR="00983F73">
              <w:rPr>
                <w:noProof/>
                <w:webHidden/>
              </w:rPr>
              <w:fldChar w:fldCharType="begin"/>
            </w:r>
            <w:r w:rsidR="00983F73">
              <w:rPr>
                <w:noProof/>
                <w:webHidden/>
              </w:rPr>
              <w:instrText xml:space="preserve"> PAGEREF _Toc54274778 \h </w:instrText>
            </w:r>
            <w:r w:rsidR="00983F73">
              <w:rPr>
                <w:noProof/>
                <w:webHidden/>
              </w:rPr>
            </w:r>
            <w:r w:rsidR="00983F73">
              <w:rPr>
                <w:noProof/>
                <w:webHidden/>
              </w:rPr>
              <w:fldChar w:fldCharType="separate"/>
            </w:r>
            <w:r w:rsidR="00983F73">
              <w:rPr>
                <w:noProof/>
                <w:webHidden/>
              </w:rPr>
              <w:t>8</w:t>
            </w:r>
            <w:r w:rsidR="00983F73">
              <w:rPr>
                <w:noProof/>
                <w:webHidden/>
              </w:rPr>
              <w:fldChar w:fldCharType="end"/>
            </w:r>
          </w:hyperlink>
        </w:p>
        <w:p w14:paraId="116DA8C8" w14:textId="01C06BA1" w:rsidR="00983F73" w:rsidRDefault="00722F9A">
          <w:pPr>
            <w:pStyle w:val="TOC1"/>
            <w:tabs>
              <w:tab w:val="right" w:leader="dot" w:pos="9060"/>
            </w:tabs>
            <w:rPr>
              <w:rFonts w:eastAsiaTheme="minorEastAsia"/>
              <w:noProof/>
              <w:lang w:eastAsia="en-GB"/>
            </w:rPr>
          </w:pPr>
          <w:hyperlink w:anchor="_Toc54274779" w:history="1">
            <w:r w:rsidR="00983F73" w:rsidRPr="00671338">
              <w:rPr>
                <w:rStyle w:val="Hyperlink"/>
                <w:b/>
                <w:bCs/>
                <w:noProof/>
              </w:rPr>
              <w:t>2. BACKGROUND INFORMATION</w:t>
            </w:r>
            <w:r w:rsidR="00983F73">
              <w:rPr>
                <w:noProof/>
                <w:webHidden/>
              </w:rPr>
              <w:tab/>
            </w:r>
            <w:r w:rsidR="00983F73">
              <w:rPr>
                <w:noProof/>
                <w:webHidden/>
              </w:rPr>
              <w:fldChar w:fldCharType="begin"/>
            </w:r>
            <w:r w:rsidR="00983F73">
              <w:rPr>
                <w:noProof/>
                <w:webHidden/>
              </w:rPr>
              <w:instrText xml:space="preserve"> PAGEREF _Toc54274779 \h </w:instrText>
            </w:r>
            <w:r w:rsidR="00983F73">
              <w:rPr>
                <w:noProof/>
                <w:webHidden/>
              </w:rPr>
            </w:r>
            <w:r w:rsidR="00983F73">
              <w:rPr>
                <w:noProof/>
                <w:webHidden/>
              </w:rPr>
              <w:fldChar w:fldCharType="separate"/>
            </w:r>
            <w:r w:rsidR="00983F73">
              <w:rPr>
                <w:noProof/>
                <w:webHidden/>
              </w:rPr>
              <w:t>9</w:t>
            </w:r>
            <w:r w:rsidR="00983F73">
              <w:rPr>
                <w:noProof/>
                <w:webHidden/>
              </w:rPr>
              <w:fldChar w:fldCharType="end"/>
            </w:r>
          </w:hyperlink>
        </w:p>
        <w:p w14:paraId="36F0CB70" w14:textId="32F845EA" w:rsidR="00983F73" w:rsidRDefault="00722F9A">
          <w:pPr>
            <w:pStyle w:val="TOC2"/>
            <w:tabs>
              <w:tab w:val="right" w:leader="dot" w:pos="9060"/>
            </w:tabs>
            <w:rPr>
              <w:rFonts w:eastAsiaTheme="minorEastAsia"/>
              <w:noProof/>
              <w:lang w:eastAsia="en-GB"/>
            </w:rPr>
          </w:pPr>
          <w:hyperlink w:anchor="_Toc54274780" w:history="1">
            <w:r w:rsidR="00983F73" w:rsidRPr="00671338">
              <w:rPr>
                <w:rStyle w:val="Hyperlink"/>
                <w:noProof/>
              </w:rPr>
              <w:t>2.1 Plastics types</w:t>
            </w:r>
            <w:r w:rsidR="00983F73">
              <w:rPr>
                <w:noProof/>
                <w:webHidden/>
              </w:rPr>
              <w:tab/>
            </w:r>
            <w:r w:rsidR="00983F73">
              <w:rPr>
                <w:noProof/>
                <w:webHidden/>
              </w:rPr>
              <w:fldChar w:fldCharType="begin"/>
            </w:r>
            <w:r w:rsidR="00983F73">
              <w:rPr>
                <w:noProof/>
                <w:webHidden/>
              </w:rPr>
              <w:instrText xml:space="preserve"> PAGEREF _Toc54274780 \h </w:instrText>
            </w:r>
            <w:r w:rsidR="00983F73">
              <w:rPr>
                <w:noProof/>
                <w:webHidden/>
              </w:rPr>
            </w:r>
            <w:r w:rsidR="00983F73">
              <w:rPr>
                <w:noProof/>
                <w:webHidden/>
              </w:rPr>
              <w:fldChar w:fldCharType="separate"/>
            </w:r>
            <w:r w:rsidR="00983F73">
              <w:rPr>
                <w:noProof/>
                <w:webHidden/>
              </w:rPr>
              <w:t>9</w:t>
            </w:r>
            <w:r w:rsidR="00983F73">
              <w:rPr>
                <w:noProof/>
                <w:webHidden/>
              </w:rPr>
              <w:fldChar w:fldCharType="end"/>
            </w:r>
          </w:hyperlink>
        </w:p>
        <w:p w14:paraId="4EB945CD" w14:textId="7694E80E" w:rsidR="00983F73" w:rsidRDefault="00722F9A">
          <w:pPr>
            <w:pStyle w:val="TOC2"/>
            <w:tabs>
              <w:tab w:val="right" w:leader="dot" w:pos="9060"/>
            </w:tabs>
            <w:rPr>
              <w:rFonts w:eastAsiaTheme="minorEastAsia"/>
              <w:noProof/>
              <w:lang w:eastAsia="en-GB"/>
            </w:rPr>
          </w:pPr>
          <w:hyperlink w:anchor="_Toc54274781" w:history="1">
            <w:r w:rsidR="00983F73" w:rsidRPr="00671338">
              <w:rPr>
                <w:rStyle w:val="Hyperlink"/>
                <w:noProof/>
              </w:rPr>
              <w:t>2.2 European plastics market</w:t>
            </w:r>
            <w:r w:rsidR="00983F73">
              <w:rPr>
                <w:noProof/>
                <w:webHidden/>
              </w:rPr>
              <w:tab/>
            </w:r>
            <w:r w:rsidR="00983F73">
              <w:rPr>
                <w:noProof/>
                <w:webHidden/>
              </w:rPr>
              <w:fldChar w:fldCharType="begin"/>
            </w:r>
            <w:r w:rsidR="00983F73">
              <w:rPr>
                <w:noProof/>
                <w:webHidden/>
              </w:rPr>
              <w:instrText xml:space="preserve"> PAGEREF _Toc54274781 \h </w:instrText>
            </w:r>
            <w:r w:rsidR="00983F73">
              <w:rPr>
                <w:noProof/>
                <w:webHidden/>
              </w:rPr>
            </w:r>
            <w:r w:rsidR="00983F73">
              <w:rPr>
                <w:noProof/>
                <w:webHidden/>
              </w:rPr>
              <w:fldChar w:fldCharType="separate"/>
            </w:r>
            <w:r w:rsidR="00983F73">
              <w:rPr>
                <w:noProof/>
                <w:webHidden/>
              </w:rPr>
              <w:t>10</w:t>
            </w:r>
            <w:r w:rsidR="00983F73">
              <w:rPr>
                <w:noProof/>
                <w:webHidden/>
              </w:rPr>
              <w:fldChar w:fldCharType="end"/>
            </w:r>
          </w:hyperlink>
        </w:p>
        <w:p w14:paraId="34B7B991" w14:textId="35DF194E" w:rsidR="00983F73" w:rsidRDefault="00722F9A">
          <w:pPr>
            <w:pStyle w:val="TOC2"/>
            <w:tabs>
              <w:tab w:val="right" w:leader="dot" w:pos="9060"/>
            </w:tabs>
            <w:rPr>
              <w:rFonts w:eastAsiaTheme="minorEastAsia"/>
              <w:noProof/>
              <w:lang w:eastAsia="en-GB"/>
            </w:rPr>
          </w:pPr>
          <w:hyperlink w:anchor="_Toc54274782" w:history="1">
            <w:r w:rsidR="00983F73" w:rsidRPr="00671338">
              <w:rPr>
                <w:rStyle w:val="Hyperlink"/>
                <w:noProof/>
              </w:rPr>
              <w:t>2.3 Development history of polyethylene (PE)</w:t>
            </w:r>
            <w:r w:rsidR="00983F73">
              <w:rPr>
                <w:noProof/>
                <w:webHidden/>
              </w:rPr>
              <w:tab/>
            </w:r>
            <w:r w:rsidR="00983F73">
              <w:rPr>
                <w:noProof/>
                <w:webHidden/>
              </w:rPr>
              <w:fldChar w:fldCharType="begin"/>
            </w:r>
            <w:r w:rsidR="00983F73">
              <w:rPr>
                <w:noProof/>
                <w:webHidden/>
              </w:rPr>
              <w:instrText xml:space="preserve"> PAGEREF _Toc54274782 \h </w:instrText>
            </w:r>
            <w:r w:rsidR="00983F73">
              <w:rPr>
                <w:noProof/>
                <w:webHidden/>
              </w:rPr>
            </w:r>
            <w:r w:rsidR="00983F73">
              <w:rPr>
                <w:noProof/>
                <w:webHidden/>
              </w:rPr>
              <w:fldChar w:fldCharType="separate"/>
            </w:r>
            <w:r w:rsidR="00983F73">
              <w:rPr>
                <w:noProof/>
                <w:webHidden/>
              </w:rPr>
              <w:t>10</w:t>
            </w:r>
            <w:r w:rsidR="00983F73">
              <w:rPr>
                <w:noProof/>
                <w:webHidden/>
              </w:rPr>
              <w:fldChar w:fldCharType="end"/>
            </w:r>
          </w:hyperlink>
        </w:p>
        <w:p w14:paraId="0756BF54" w14:textId="026051B8" w:rsidR="00983F73" w:rsidRDefault="00722F9A">
          <w:pPr>
            <w:pStyle w:val="TOC2"/>
            <w:tabs>
              <w:tab w:val="right" w:leader="dot" w:pos="9060"/>
            </w:tabs>
            <w:rPr>
              <w:rFonts w:eastAsiaTheme="minorEastAsia"/>
              <w:noProof/>
              <w:lang w:eastAsia="en-GB"/>
            </w:rPr>
          </w:pPr>
          <w:hyperlink w:anchor="_Toc54274783" w:history="1">
            <w:r w:rsidR="00983F73" w:rsidRPr="00671338">
              <w:rPr>
                <w:rStyle w:val="Hyperlink"/>
                <w:noProof/>
              </w:rPr>
              <w:t>2.4 Development history of polypropylene (PP)</w:t>
            </w:r>
            <w:r w:rsidR="00983F73">
              <w:rPr>
                <w:noProof/>
                <w:webHidden/>
              </w:rPr>
              <w:tab/>
            </w:r>
            <w:r w:rsidR="00983F73">
              <w:rPr>
                <w:noProof/>
                <w:webHidden/>
              </w:rPr>
              <w:fldChar w:fldCharType="begin"/>
            </w:r>
            <w:r w:rsidR="00983F73">
              <w:rPr>
                <w:noProof/>
                <w:webHidden/>
              </w:rPr>
              <w:instrText xml:space="preserve"> PAGEREF _Toc54274783 \h </w:instrText>
            </w:r>
            <w:r w:rsidR="00983F73">
              <w:rPr>
                <w:noProof/>
                <w:webHidden/>
              </w:rPr>
            </w:r>
            <w:r w:rsidR="00983F73">
              <w:rPr>
                <w:noProof/>
                <w:webHidden/>
              </w:rPr>
              <w:fldChar w:fldCharType="separate"/>
            </w:r>
            <w:r w:rsidR="00983F73">
              <w:rPr>
                <w:noProof/>
                <w:webHidden/>
              </w:rPr>
              <w:t>11</w:t>
            </w:r>
            <w:r w:rsidR="00983F73">
              <w:rPr>
                <w:noProof/>
                <w:webHidden/>
              </w:rPr>
              <w:fldChar w:fldCharType="end"/>
            </w:r>
          </w:hyperlink>
        </w:p>
        <w:p w14:paraId="25F6B037" w14:textId="5B297280" w:rsidR="00983F73" w:rsidRDefault="00722F9A">
          <w:pPr>
            <w:pStyle w:val="TOC1"/>
            <w:tabs>
              <w:tab w:val="right" w:leader="dot" w:pos="9060"/>
            </w:tabs>
            <w:rPr>
              <w:rFonts w:eastAsiaTheme="minorEastAsia"/>
              <w:noProof/>
              <w:lang w:eastAsia="en-GB"/>
            </w:rPr>
          </w:pPr>
          <w:hyperlink w:anchor="_Toc54274784" w:history="1">
            <w:r w:rsidR="00983F73" w:rsidRPr="00671338">
              <w:rPr>
                <w:rStyle w:val="Hyperlink"/>
                <w:b/>
                <w:bCs/>
                <w:noProof/>
              </w:rPr>
              <w:t>3. METHODOLOGY</w:t>
            </w:r>
            <w:r w:rsidR="00983F73">
              <w:rPr>
                <w:noProof/>
                <w:webHidden/>
              </w:rPr>
              <w:tab/>
            </w:r>
            <w:r w:rsidR="00983F73">
              <w:rPr>
                <w:noProof/>
                <w:webHidden/>
              </w:rPr>
              <w:fldChar w:fldCharType="begin"/>
            </w:r>
            <w:r w:rsidR="00983F73">
              <w:rPr>
                <w:noProof/>
                <w:webHidden/>
              </w:rPr>
              <w:instrText xml:space="preserve"> PAGEREF _Toc54274784 \h </w:instrText>
            </w:r>
            <w:r w:rsidR="00983F73">
              <w:rPr>
                <w:noProof/>
                <w:webHidden/>
              </w:rPr>
            </w:r>
            <w:r w:rsidR="00983F73">
              <w:rPr>
                <w:noProof/>
                <w:webHidden/>
              </w:rPr>
              <w:fldChar w:fldCharType="separate"/>
            </w:r>
            <w:r w:rsidR="00983F73">
              <w:rPr>
                <w:noProof/>
                <w:webHidden/>
              </w:rPr>
              <w:t>13</w:t>
            </w:r>
            <w:r w:rsidR="00983F73">
              <w:rPr>
                <w:noProof/>
                <w:webHidden/>
              </w:rPr>
              <w:fldChar w:fldCharType="end"/>
            </w:r>
          </w:hyperlink>
        </w:p>
        <w:p w14:paraId="03D2F863" w14:textId="542F809E" w:rsidR="00983F73" w:rsidRDefault="00722F9A">
          <w:pPr>
            <w:pStyle w:val="TOC2"/>
            <w:tabs>
              <w:tab w:val="right" w:leader="dot" w:pos="9060"/>
            </w:tabs>
            <w:rPr>
              <w:rFonts w:eastAsiaTheme="minorEastAsia"/>
              <w:noProof/>
              <w:lang w:eastAsia="en-GB"/>
            </w:rPr>
          </w:pPr>
          <w:hyperlink w:anchor="_Toc54274785" w:history="1">
            <w:r w:rsidR="00983F73" w:rsidRPr="00671338">
              <w:rPr>
                <w:rStyle w:val="Hyperlink"/>
                <w:noProof/>
              </w:rPr>
              <w:t>3.1 Market analysis of Polyolefin products and applications</w:t>
            </w:r>
            <w:r w:rsidR="00983F73">
              <w:rPr>
                <w:noProof/>
                <w:webHidden/>
              </w:rPr>
              <w:tab/>
            </w:r>
            <w:r w:rsidR="00983F73">
              <w:rPr>
                <w:noProof/>
                <w:webHidden/>
              </w:rPr>
              <w:fldChar w:fldCharType="begin"/>
            </w:r>
            <w:r w:rsidR="00983F73">
              <w:rPr>
                <w:noProof/>
                <w:webHidden/>
              </w:rPr>
              <w:instrText xml:space="preserve"> PAGEREF _Toc54274785 \h </w:instrText>
            </w:r>
            <w:r w:rsidR="00983F73">
              <w:rPr>
                <w:noProof/>
                <w:webHidden/>
              </w:rPr>
            </w:r>
            <w:r w:rsidR="00983F73">
              <w:rPr>
                <w:noProof/>
                <w:webHidden/>
              </w:rPr>
              <w:fldChar w:fldCharType="separate"/>
            </w:r>
            <w:r w:rsidR="00983F73">
              <w:rPr>
                <w:noProof/>
                <w:webHidden/>
              </w:rPr>
              <w:t>14</w:t>
            </w:r>
            <w:r w:rsidR="00983F73">
              <w:rPr>
                <w:noProof/>
                <w:webHidden/>
              </w:rPr>
              <w:fldChar w:fldCharType="end"/>
            </w:r>
          </w:hyperlink>
        </w:p>
        <w:p w14:paraId="4F8FAF9A" w14:textId="269DEB61" w:rsidR="00983F73" w:rsidRDefault="00722F9A">
          <w:pPr>
            <w:pStyle w:val="TOC2"/>
            <w:tabs>
              <w:tab w:val="right" w:leader="dot" w:pos="9060"/>
            </w:tabs>
            <w:rPr>
              <w:rFonts w:eastAsiaTheme="minorEastAsia"/>
              <w:noProof/>
              <w:lang w:eastAsia="en-GB"/>
            </w:rPr>
          </w:pPr>
          <w:hyperlink w:anchor="_Toc54274786" w:history="1">
            <w:r w:rsidR="00983F73" w:rsidRPr="00671338">
              <w:rPr>
                <w:rStyle w:val="Hyperlink"/>
                <w:noProof/>
              </w:rPr>
              <w:t>3.2 Investigation of Polyolefin producers in the Netherlands</w:t>
            </w:r>
            <w:r w:rsidR="00983F73">
              <w:rPr>
                <w:noProof/>
                <w:webHidden/>
              </w:rPr>
              <w:tab/>
            </w:r>
            <w:r w:rsidR="00983F73">
              <w:rPr>
                <w:noProof/>
                <w:webHidden/>
              </w:rPr>
              <w:fldChar w:fldCharType="begin"/>
            </w:r>
            <w:r w:rsidR="00983F73">
              <w:rPr>
                <w:noProof/>
                <w:webHidden/>
              </w:rPr>
              <w:instrText xml:space="preserve"> PAGEREF _Toc54274786 \h </w:instrText>
            </w:r>
            <w:r w:rsidR="00983F73">
              <w:rPr>
                <w:noProof/>
                <w:webHidden/>
              </w:rPr>
            </w:r>
            <w:r w:rsidR="00983F73">
              <w:rPr>
                <w:noProof/>
                <w:webHidden/>
              </w:rPr>
              <w:fldChar w:fldCharType="separate"/>
            </w:r>
            <w:r w:rsidR="00983F73">
              <w:rPr>
                <w:noProof/>
                <w:webHidden/>
              </w:rPr>
              <w:t>16</w:t>
            </w:r>
            <w:r w:rsidR="00983F73">
              <w:rPr>
                <w:noProof/>
                <w:webHidden/>
              </w:rPr>
              <w:fldChar w:fldCharType="end"/>
            </w:r>
          </w:hyperlink>
        </w:p>
        <w:p w14:paraId="56508547" w14:textId="3ED69B03" w:rsidR="00983F73" w:rsidRDefault="00722F9A">
          <w:pPr>
            <w:pStyle w:val="TOC2"/>
            <w:tabs>
              <w:tab w:val="right" w:leader="dot" w:pos="9060"/>
            </w:tabs>
            <w:rPr>
              <w:rFonts w:eastAsiaTheme="minorEastAsia"/>
              <w:noProof/>
              <w:lang w:eastAsia="en-GB"/>
            </w:rPr>
          </w:pPr>
          <w:hyperlink w:anchor="_Toc54274787" w:history="1">
            <w:r w:rsidR="00983F73" w:rsidRPr="00671338">
              <w:rPr>
                <w:rStyle w:val="Hyperlink"/>
                <w:noProof/>
              </w:rPr>
              <w:t>3.3 Techno-environmental analysis of Polymerisation processes</w:t>
            </w:r>
            <w:r w:rsidR="00983F73">
              <w:rPr>
                <w:noProof/>
                <w:webHidden/>
              </w:rPr>
              <w:tab/>
            </w:r>
            <w:r w:rsidR="00983F73">
              <w:rPr>
                <w:noProof/>
                <w:webHidden/>
              </w:rPr>
              <w:fldChar w:fldCharType="begin"/>
            </w:r>
            <w:r w:rsidR="00983F73">
              <w:rPr>
                <w:noProof/>
                <w:webHidden/>
              </w:rPr>
              <w:instrText xml:space="preserve"> PAGEREF _Toc54274787 \h </w:instrText>
            </w:r>
            <w:r w:rsidR="00983F73">
              <w:rPr>
                <w:noProof/>
                <w:webHidden/>
              </w:rPr>
            </w:r>
            <w:r w:rsidR="00983F73">
              <w:rPr>
                <w:noProof/>
                <w:webHidden/>
              </w:rPr>
              <w:fldChar w:fldCharType="separate"/>
            </w:r>
            <w:r w:rsidR="00983F73">
              <w:rPr>
                <w:noProof/>
                <w:webHidden/>
              </w:rPr>
              <w:t>18</w:t>
            </w:r>
            <w:r w:rsidR="00983F73">
              <w:rPr>
                <w:noProof/>
                <w:webHidden/>
              </w:rPr>
              <w:fldChar w:fldCharType="end"/>
            </w:r>
          </w:hyperlink>
        </w:p>
        <w:p w14:paraId="6A15E8EE" w14:textId="49FB4D8D" w:rsidR="00983F73" w:rsidRDefault="00722F9A">
          <w:pPr>
            <w:pStyle w:val="TOC2"/>
            <w:tabs>
              <w:tab w:val="right" w:leader="dot" w:pos="9060"/>
            </w:tabs>
            <w:rPr>
              <w:rFonts w:eastAsiaTheme="minorEastAsia"/>
              <w:noProof/>
              <w:lang w:eastAsia="en-GB"/>
            </w:rPr>
          </w:pPr>
          <w:hyperlink w:anchor="_Toc54274788" w:history="1">
            <w:r w:rsidR="00983F73" w:rsidRPr="00671338">
              <w:rPr>
                <w:rStyle w:val="Hyperlink"/>
                <w:noProof/>
              </w:rPr>
              <w:t>3.4 Techno-economic analysis of Decarbonisation options</w:t>
            </w:r>
            <w:r w:rsidR="00983F73">
              <w:rPr>
                <w:noProof/>
                <w:webHidden/>
              </w:rPr>
              <w:tab/>
            </w:r>
            <w:r w:rsidR="00983F73">
              <w:rPr>
                <w:noProof/>
                <w:webHidden/>
              </w:rPr>
              <w:fldChar w:fldCharType="begin"/>
            </w:r>
            <w:r w:rsidR="00983F73">
              <w:rPr>
                <w:noProof/>
                <w:webHidden/>
              </w:rPr>
              <w:instrText xml:space="preserve"> PAGEREF _Toc54274788 \h </w:instrText>
            </w:r>
            <w:r w:rsidR="00983F73">
              <w:rPr>
                <w:noProof/>
                <w:webHidden/>
              </w:rPr>
            </w:r>
            <w:r w:rsidR="00983F73">
              <w:rPr>
                <w:noProof/>
                <w:webHidden/>
              </w:rPr>
              <w:fldChar w:fldCharType="separate"/>
            </w:r>
            <w:r w:rsidR="00983F73">
              <w:rPr>
                <w:noProof/>
                <w:webHidden/>
              </w:rPr>
              <w:t>18</w:t>
            </w:r>
            <w:r w:rsidR="00983F73">
              <w:rPr>
                <w:noProof/>
                <w:webHidden/>
              </w:rPr>
              <w:fldChar w:fldCharType="end"/>
            </w:r>
          </w:hyperlink>
        </w:p>
        <w:p w14:paraId="6595E121" w14:textId="4A3CD81E" w:rsidR="00983F73" w:rsidRDefault="00722F9A">
          <w:pPr>
            <w:pStyle w:val="TOC1"/>
            <w:tabs>
              <w:tab w:val="right" w:leader="dot" w:pos="9060"/>
            </w:tabs>
            <w:rPr>
              <w:rFonts w:eastAsiaTheme="minorEastAsia"/>
              <w:noProof/>
              <w:lang w:eastAsia="en-GB"/>
            </w:rPr>
          </w:pPr>
          <w:hyperlink w:anchor="_Toc54274789" w:history="1">
            <w:r w:rsidR="00983F73" w:rsidRPr="00671338">
              <w:rPr>
                <w:rStyle w:val="Hyperlink"/>
                <w:b/>
                <w:bCs/>
                <w:noProof/>
              </w:rPr>
              <w:t>4. RESULTS</w:t>
            </w:r>
            <w:r w:rsidR="00983F73">
              <w:rPr>
                <w:noProof/>
                <w:webHidden/>
              </w:rPr>
              <w:tab/>
            </w:r>
            <w:r w:rsidR="00983F73">
              <w:rPr>
                <w:noProof/>
                <w:webHidden/>
              </w:rPr>
              <w:fldChar w:fldCharType="begin"/>
            </w:r>
            <w:r w:rsidR="00983F73">
              <w:rPr>
                <w:noProof/>
                <w:webHidden/>
              </w:rPr>
              <w:instrText xml:space="preserve"> PAGEREF _Toc54274789 \h </w:instrText>
            </w:r>
            <w:r w:rsidR="00983F73">
              <w:rPr>
                <w:noProof/>
                <w:webHidden/>
              </w:rPr>
            </w:r>
            <w:r w:rsidR="00983F73">
              <w:rPr>
                <w:noProof/>
                <w:webHidden/>
              </w:rPr>
              <w:fldChar w:fldCharType="separate"/>
            </w:r>
            <w:r w:rsidR="00983F73">
              <w:rPr>
                <w:noProof/>
                <w:webHidden/>
              </w:rPr>
              <w:t>21</w:t>
            </w:r>
            <w:r w:rsidR="00983F73">
              <w:rPr>
                <w:noProof/>
                <w:webHidden/>
              </w:rPr>
              <w:fldChar w:fldCharType="end"/>
            </w:r>
          </w:hyperlink>
        </w:p>
        <w:p w14:paraId="41EA93B1" w14:textId="4ADA14C4" w:rsidR="00983F73" w:rsidRDefault="00722F9A">
          <w:pPr>
            <w:pStyle w:val="TOC2"/>
            <w:tabs>
              <w:tab w:val="right" w:leader="dot" w:pos="9060"/>
            </w:tabs>
            <w:rPr>
              <w:rFonts w:eastAsiaTheme="minorEastAsia"/>
              <w:noProof/>
              <w:lang w:eastAsia="en-GB"/>
            </w:rPr>
          </w:pPr>
          <w:hyperlink w:anchor="_Toc54274790" w:history="1">
            <w:r w:rsidR="00983F73" w:rsidRPr="00671338">
              <w:rPr>
                <w:rStyle w:val="Hyperlink"/>
                <w:noProof/>
              </w:rPr>
              <w:t>4.1 Polyolefin products and applications</w:t>
            </w:r>
            <w:r w:rsidR="00983F73">
              <w:rPr>
                <w:noProof/>
                <w:webHidden/>
              </w:rPr>
              <w:tab/>
            </w:r>
            <w:r w:rsidR="00983F73">
              <w:rPr>
                <w:noProof/>
                <w:webHidden/>
              </w:rPr>
              <w:fldChar w:fldCharType="begin"/>
            </w:r>
            <w:r w:rsidR="00983F73">
              <w:rPr>
                <w:noProof/>
                <w:webHidden/>
              </w:rPr>
              <w:instrText xml:space="preserve"> PAGEREF _Toc54274790 \h </w:instrText>
            </w:r>
            <w:r w:rsidR="00983F73">
              <w:rPr>
                <w:noProof/>
                <w:webHidden/>
              </w:rPr>
            </w:r>
            <w:r w:rsidR="00983F73">
              <w:rPr>
                <w:noProof/>
                <w:webHidden/>
              </w:rPr>
              <w:fldChar w:fldCharType="separate"/>
            </w:r>
            <w:r w:rsidR="00983F73">
              <w:rPr>
                <w:noProof/>
                <w:webHidden/>
              </w:rPr>
              <w:t>21</w:t>
            </w:r>
            <w:r w:rsidR="00983F73">
              <w:rPr>
                <w:noProof/>
                <w:webHidden/>
              </w:rPr>
              <w:fldChar w:fldCharType="end"/>
            </w:r>
          </w:hyperlink>
        </w:p>
        <w:p w14:paraId="5F30CBEF" w14:textId="2B3C3C1C" w:rsidR="00983F73" w:rsidRDefault="00722F9A">
          <w:pPr>
            <w:pStyle w:val="TOC3"/>
            <w:tabs>
              <w:tab w:val="right" w:leader="dot" w:pos="9060"/>
            </w:tabs>
            <w:rPr>
              <w:rFonts w:eastAsiaTheme="minorEastAsia"/>
              <w:noProof/>
              <w:lang w:eastAsia="en-GB"/>
            </w:rPr>
          </w:pPr>
          <w:hyperlink w:anchor="_Toc54274791" w:history="1">
            <w:r w:rsidR="00983F73" w:rsidRPr="00671338">
              <w:rPr>
                <w:rStyle w:val="Hyperlink"/>
                <w:noProof/>
              </w:rPr>
              <w:t>4.2.1 Low-density Polyethylene</w:t>
            </w:r>
            <w:r w:rsidR="00983F73">
              <w:rPr>
                <w:noProof/>
                <w:webHidden/>
              </w:rPr>
              <w:tab/>
            </w:r>
            <w:r w:rsidR="00983F73">
              <w:rPr>
                <w:noProof/>
                <w:webHidden/>
              </w:rPr>
              <w:fldChar w:fldCharType="begin"/>
            </w:r>
            <w:r w:rsidR="00983F73">
              <w:rPr>
                <w:noProof/>
                <w:webHidden/>
              </w:rPr>
              <w:instrText xml:space="preserve"> PAGEREF _Toc54274791 \h </w:instrText>
            </w:r>
            <w:r w:rsidR="00983F73">
              <w:rPr>
                <w:noProof/>
                <w:webHidden/>
              </w:rPr>
            </w:r>
            <w:r w:rsidR="00983F73">
              <w:rPr>
                <w:noProof/>
                <w:webHidden/>
              </w:rPr>
              <w:fldChar w:fldCharType="separate"/>
            </w:r>
            <w:r w:rsidR="00983F73">
              <w:rPr>
                <w:noProof/>
                <w:webHidden/>
              </w:rPr>
              <w:t>21</w:t>
            </w:r>
            <w:r w:rsidR="00983F73">
              <w:rPr>
                <w:noProof/>
                <w:webHidden/>
              </w:rPr>
              <w:fldChar w:fldCharType="end"/>
            </w:r>
          </w:hyperlink>
        </w:p>
        <w:p w14:paraId="6E0C7978" w14:textId="269DDDA8" w:rsidR="00983F73" w:rsidRDefault="00722F9A">
          <w:pPr>
            <w:pStyle w:val="TOC3"/>
            <w:tabs>
              <w:tab w:val="right" w:leader="dot" w:pos="9060"/>
            </w:tabs>
            <w:rPr>
              <w:rFonts w:eastAsiaTheme="minorEastAsia"/>
              <w:noProof/>
              <w:lang w:eastAsia="en-GB"/>
            </w:rPr>
          </w:pPr>
          <w:hyperlink w:anchor="_Toc54274792" w:history="1">
            <w:r w:rsidR="00983F73" w:rsidRPr="00671338">
              <w:rPr>
                <w:rStyle w:val="Hyperlink"/>
                <w:noProof/>
              </w:rPr>
              <w:t>4.2.2 High-density Polyethylene</w:t>
            </w:r>
            <w:r w:rsidR="00983F73">
              <w:rPr>
                <w:noProof/>
                <w:webHidden/>
              </w:rPr>
              <w:tab/>
            </w:r>
            <w:r w:rsidR="00983F73">
              <w:rPr>
                <w:noProof/>
                <w:webHidden/>
              </w:rPr>
              <w:fldChar w:fldCharType="begin"/>
            </w:r>
            <w:r w:rsidR="00983F73">
              <w:rPr>
                <w:noProof/>
                <w:webHidden/>
              </w:rPr>
              <w:instrText xml:space="preserve"> PAGEREF _Toc54274792 \h </w:instrText>
            </w:r>
            <w:r w:rsidR="00983F73">
              <w:rPr>
                <w:noProof/>
                <w:webHidden/>
              </w:rPr>
            </w:r>
            <w:r w:rsidR="00983F73">
              <w:rPr>
                <w:noProof/>
                <w:webHidden/>
              </w:rPr>
              <w:fldChar w:fldCharType="separate"/>
            </w:r>
            <w:r w:rsidR="00983F73">
              <w:rPr>
                <w:noProof/>
                <w:webHidden/>
              </w:rPr>
              <w:t>23</w:t>
            </w:r>
            <w:r w:rsidR="00983F73">
              <w:rPr>
                <w:noProof/>
                <w:webHidden/>
              </w:rPr>
              <w:fldChar w:fldCharType="end"/>
            </w:r>
          </w:hyperlink>
        </w:p>
        <w:p w14:paraId="6F9CF524" w14:textId="186DF23E" w:rsidR="00983F73" w:rsidRDefault="00722F9A">
          <w:pPr>
            <w:pStyle w:val="TOC3"/>
            <w:tabs>
              <w:tab w:val="right" w:leader="dot" w:pos="9060"/>
            </w:tabs>
            <w:rPr>
              <w:rFonts w:eastAsiaTheme="minorEastAsia"/>
              <w:noProof/>
              <w:lang w:eastAsia="en-GB"/>
            </w:rPr>
          </w:pPr>
          <w:hyperlink w:anchor="_Toc54274793" w:history="1">
            <w:r w:rsidR="00983F73" w:rsidRPr="00671338">
              <w:rPr>
                <w:rStyle w:val="Hyperlink"/>
                <w:noProof/>
              </w:rPr>
              <w:t>4.2.3 Polypropylene</w:t>
            </w:r>
            <w:r w:rsidR="00983F73">
              <w:rPr>
                <w:noProof/>
                <w:webHidden/>
              </w:rPr>
              <w:tab/>
            </w:r>
            <w:r w:rsidR="00983F73">
              <w:rPr>
                <w:noProof/>
                <w:webHidden/>
              </w:rPr>
              <w:fldChar w:fldCharType="begin"/>
            </w:r>
            <w:r w:rsidR="00983F73">
              <w:rPr>
                <w:noProof/>
                <w:webHidden/>
              </w:rPr>
              <w:instrText xml:space="preserve"> PAGEREF _Toc54274793 \h </w:instrText>
            </w:r>
            <w:r w:rsidR="00983F73">
              <w:rPr>
                <w:noProof/>
                <w:webHidden/>
              </w:rPr>
            </w:r>
            <w:r w:rsidR="00983F73">
              <w:rPr>
                <w:noProof/>
                <w:webHidden/>
              </w:rPr>
              <w:fldChar w:fldCharType="separate"/>
            </w:r>
            <w:r w:rsidR="00983F73">
              <w:rPr>
                <w:noProof/>
                <w:webHidden/>
              </w:rPr>
              <w:t>25</w:t>
            </w:r>
            <w:r w:rsidR="00983F73">
              <w:rPr>
                <w:noProof/>
                <w:webHidden/>
              </w:rPr>
              <w:fldChar w:fldCharType="end"/>
            </w:r>
          </w:hyperlink>
        </w:p>
        <w:p w14:paraId="73754C5A" w14:textId="5AC261B1" w:rsidR="00983F73" w:rsidRDefault="00722F9A">
          <w:pPr>
            <w:pStyle w:val="TOC2"/>
            <w:tabs>
              <w:tab w:val="right" w:leader="dot" w:pos="9060"/>
            </w:tabs>
            <w:rPr>
              <w:rFonts w:eastAsiaTheme="minorEastAsia"/>
              <w:noProof/>
              <w:lang w:eastAsia="en-GB"/>
            </w:rPr>
          </w:pPr>
          <w:hyperlink w:anchor="_Toc54274794" w:history="1">
            <w:r w:rsidR="00983F73" w:rsidRPr="00671338">
              <w:rPr>
                <w:rStyle w:val="Hyperlink"/>
                <w:noProof/>
              </w:rPr>
              <w:t>4.2 Polyolefin producers in the Netherlands</w:t>
            </w:r>
            <w:r w:rsidR="00983F73">
              <w:rPr>
                <w:noProof/>
                <w:webHidden/>
              </w:rPr>
              <w:tab/>
            </w:r>
            <w:r w:rsidR="00983F73">
              <w:rPr>
                <w:noProof/>
                <w:webHidden/>
              </w:rPr>
              <w:fldChar w:fldCharType="begin"/>
            </w:r>
            <w:r w:rsidR="00983F73">
              <w:rPr>
                <w:noProof/>
                <w:webHidden/>
              </w:rPr>
              <w:instrText xml:space="preserve"> PAGEREF _Toc54274794 \h </w:instrText>
            </w:r>
            <w:r w:rsidR="00983F73">
              <w:rPr>
                <w:noProof/>
                <w:webHidden/>
              </w:rPr>
            </w:r>
            <w:r w:rsidR="00983F73">
              <w:rPr>
                <w:noProof/>
                <w:webHidden/>
              </w:rPr>
              <w:fldChar w:fldCharType="separate"/>
            </w:r>
            <w:r w:rsidR="00983F73">
              <w:rPr>
                <w:noProof/>
                <w:webHidden/>
              </w:rPr>
              <w:t>27</w:t>
            </w:r>
            <w:r w:rsidR="00983F73">
              <w:rPr>
                <w:noProof/>
                <w:webHidden/>
              </w:rPr>
              <w:fldChar w:fldCharType="end"/>
            </w:r>
          </w:hyperlink>
        </w:p>
        <w:p w14:paraId="75FF16A6" w14:textId="24E1FE60" w:rsidR="00983F73" w:rsidRDefault="00722F9A">
          <w:pPr>
            <w:pStyle w:val="TOC3"/>
            <w:tabs>
              <w:tab w:val="right" w:leader="dot" w:pos="9060"/>
            </w:tabs>
            <w:rPr>
              <w:rFonts w:eastAsiaTheme="minorEastAsia"/>
              <w:noProof/>
              <w:lang w:eastAsia="en-GB"/>
            </w:rPr>
          </w:pPr>
          <w:hyperlink w:anchor="_Toc54274795" w:history="1">
            <w:r w:rsidR="00983F73" w:rsidRPr="00671338">
              <w:rPr>
                <w:rStyle w:val="Hyperlink"/>
                <w:noProof/>
              </w:rPr>
              <w:t>4.2.1 Dow Chemical Company</w:t>
            </w:r>
            <w:r w:rsidR="00983F73">
              <w:rPr>
                <w:noProof/>
                <w:webHidden/>
              </w:rPr>
              <w:tab/>
            </w:r>
            <w:r w:rsidR="00983F73">
              <w:rPr>
                <w:noProof/>
                <w:webHidden/>
              </w:rPr>
              <w:fldChar w:fldCharType="begin"/>
            </w:r>
            <w:r w:rsidR="00983F73">
              <w:rPr>
                <w:noProof/>
                <w:webHidden/>
              </w:rPr>
              <w:instrText xml:space="preserve"> PAGEREF _Toc54274795 \h </w:instrText>
            </w:r>
            <w:r w:rsidR="00983F73">
              <w:rPr>
                <w:noProof/>
                <w:webHidden/>
              </w:rPr>
            </w:r>
            <w:r w:rsidR="00983F73">
              <w:rPr>
                <w:noProof/>
                <w:webHidden/>
              </w:rPr>
              <w:fldChar w:fldCharType="separate"/>
            </w:r>
            <w:r w:rsidR="00983F73">
              <w:rPr>
                <w:noProof/>
                <w:webHidden/>
              </w:rPr>
              <w:t>27</w:t>
            </w:r>
            <w:r w:rsidR="00983F73">
              <w:rPr>
                <w:noProof/>
                <w:webHidden/>
              </w:rPr>
              <w:fldChar w:fldCharType="end"/>
            </w:r>
          </w:hyperlink>
        </w:p>
        <w:p w14:paraId="5614C52E" w14:textId="12291F45" w:rsidR="00983F73" w:rsidRDefault="00722F9A">
          <w:pPr>
            <w:pStyle w:val="TOC3"/>
            <w:tabs>
              <w:tab w:val="right" w:leader="dot" w:pos="9060"/>
            </w:tabs>
            <w:rPr>
              <w:rFonts w:eastAsiaTheme="minorEastAsia"/>
              <w:noProof/>
              <w:lang w:eastAsia="en-GB"/>
            </w:rPr>
          </w:pPr>
          <w:hyperlink w:anchor="_Toc54274796" w:history="1">
            <w:r w:rsidR="00983F73" w:rsidRPr="00671338">
              <w:rPr>
                <w:rStyle w:val="Hyperlink"/>
                <w:noProof/>
              </w:rPr>
              <w:t>4.2.2 SABIC</w:t>
            </w:r>
            <w:r w:rsidR="00983F73">
              <w:rPr>
                <w:noProof/>
                <w:webHidden/>
              </w:rPr>
              <w:tab/>
            </w:r>
            <w:r w:rsidR="00983F73">
              <w:rPr>
                <w:noProof/>
                <w:webHidden/>
              </w:rPr>
              <w:fldChar w:fldCharType="begin"/>
            </w:r>
            <w:r w:rsidR="00983F73">
              <w:rPr>
                <w:noProof/>
                <w:webHidden/>
              </w:rPr>
              <w:instrText xml:space="preserve"> PAGEREF _Toc54274796 \h </w:instrText>
            </w:r>
            <w:r w:rsidR="00983F73">
              <w:rPr>
                <w:noProof/>
                <w:webHidden/>
              </w:rPr>
            </w:r>
            <w:r w:rsidR="00983F73">
              <w:rPr>
                <w:noProof/>
                <w:webHidden/>
              </w:rPr>
              <w:fldChar w:fldCharType="separate"/>
            </w:r>
            <w:r w:rsidR="00983F73">
              <w:rPr>
                <w:noProof/>
                <w:webHidden/>
              </w:rPr>
              <w:t>28</w:t>
            </w:r>
            <w:r w:rsidR="00983F73">
              <w:rPr>
                <w:noProof/>
                <w:webHidden/>
              </w:rPr>
              <w:fldChar w:fldCharType="end"/>
            </w:r>
          </w:hyperlink>
        </w:p>
        <w:p w14:paraId="75DD5EAF" w14:textId="3E292CF3" w:rsidR="00983F73" w:rsidRDefault="00722F9A">
          <w:pPr>
            <w:pStyle w:val="TOC3"/>
            <w:tabs>
              <w:tab w:val="right" w:leader="dot" w:pos="9060"/>
            </w:tabs>
            <w:rPr>
              <w:rFonts w:eastAsiaTheme="minorEastAsia"/>
              <w:noProof/>
              <w:lang w:eastAsia="en-GB"/>
            </w:rPr>
          </w:pPr>
          <w:hyperlink w:anchor="_Toc54274797" w:history="1">
            <w:r w:rsidR="00983F73" w:rsidRPr="00671338">
              <w:rPr>
                <w:rStyle w:val="Hyperlink"/>
                <w:noProof/>
              </w:rPr>
              <w:t>4.2.3 Ducor Petrochemicals</w:t>
            </w:r>
            <w:r w:rsidR="00983F73">
              <w:rPr>
                <w:noProof/>
                <w:webHidden/>
              </w:rPr>
              <w:tab/>
            </w:r>
            <w:r w:rsidR="00983F73">
              <w:rPr>
                <w:noProof/>
                <w:webHidden/>
              </w:rPr>
              <w:fldChar w:fldCharType="begin"/>
            </w:r>
            <w:r w:rsidR="00983F73">
              <w:rPr>
                <w:noProof/>
                <w:webHidden/>
              </w:rPr>
              <w:instrText xml:space="preserve"> PAGEREF _Toc54274797 \h </w:instrText>
            </w:r>
            <w:r w:rsidR="00983F73">
              <w:rPr>
                <w:noProof/>
                <w:webHidden/>
              </w:rPr>
            </w:r>
            <w:r w:rsidR="00983F73">
              <w:rPr>
                <w:noProof/>
                <w:webHidden/>
              </w:rPr>
              <w:fldChar w:fldCharType="separate"/>
            </w:r>
            <w:r w:rsidR="00983F73">
              <w:rPr>
                <w:noProof/>
                <w:webHidden/>
              </w:rPr>
              <w:t>29</w:t>
            </w:r>
            <w:r w:rsidR="00983F73">
              <w:rPr>
                <w:noProof/>
                <w:webHidden/>
              </w:rPr>
              <w:fldChar w:fldCharType="end"/>
            </w:r>
          </w:hyperlink>
        </w:p>
        <w:p w14:paraId="48864BC5" w14:textId="0CCCD999" w:rsidR="00983F73" w:rsidRDefault="00722F9A">
          <w:pPr>
            <w:pStyle w:val="TOC2"/>
            <w:tabs>
              <w:tab w:val="right" w:leader="dot" w:pos="9060"/>
            </w:tabs>
            <w:rPr>
              <w:rFonts w:eastAsiaTheme="minorEastAsia"/>
              <w:noProof/>
              <w:lang w:eastAsia="en-GB"/>
            </w:rPr>
          </w:pPr>
          <w:hyperlink w:anchor="_Toc54274798" w:history="1">
            <w:r w:rsidR="00983F73" w:rsidRPr="00671338">
              <w:rPr>
                <w:rStyle w:val="Hyperlink"/>
                <w:noProof/>
              </w:rPr>
              <w:t>4.3 Polymerisation processes</w:t>
            </w:r>
            <w:r w:rsidR="00983F73">
              <w:rPr>
                <w:noProof/>
                <w:webHidden/>
              </w:rPr>
              <w:tab/>
            </w:r>
            <w:r w:rsidR="00983F73">
              <w:rPr>
                <w:noProof/>
                <w:webHidden/>
              </w:rPr>
              <w:fldChar w:fldCharType="begin"/>
            </w:r>
            <w:r w:rsidR="00983F73">
              <w:rPr>
                <w:noProof/>
                <w:webHidden/>
              </w:rPr>
              <w:instrText xml:space="preserve"> PAGEREF _Toc54274798 \h </w:instrText>
            </w:r>
            <w:r w:rsidR="00983F73">
              <w:rPr>
                <w:noProof/>
                <w:webHidden/>
              </w:rPr>
            </w:r>
            <w:r w:rsidR="00983F73">
              <w:rPr>
                <w:noProof/>
                <w:webHidden/>
              </w:rPr>
              <w:fldChar w:fldCharType="separate"/>
            </w:r>
            <w:r w:rsidR="00983F73">
              <w:rPr>
                <w:noProof/>
                <w:webHidden/>
              </w:rPr>
              <w:t>30</w:t>
            </w:r>
            <w:r w:rsidR="00983F73">
              <w:rPr>
                <w:noProof/>
                <w:webHidden/>
              </w:rPr>
              <w:fldChar w:fldCharType="end"/>
            </w:r>
          </w:hyperlink>
        </w:p>
        <w:p w14:paraId="6315A97E" w14:textId="76C26EB4" w:rsidR="00983F73" w:rsidRDefault="00722F9A">
          <w:pPr>
            <w:pStyle w:val="TOC3"/>
            <w:tabs>
              <w:tab w:val="right" w:leader="dot" w:pos="9060"/>
            </w:tabs>
            <w:rPr>
              <w:rFonts w:eastAsiaTheme="minorEastAsia"/>
              <w:noProof/>
              <w:lang w:eastAsia="en-GB"/>
            </w:rPr>
          </w:pPr>
          <w:hyperlink w:anchor="_Toc54274799" w:history="1">
            <w:r w:rsidR="00983F73" w:rsidRPr="00671338">
              <w:rPr>
                <w:rStyle w:val="Hyperlink"/>
                <w:noProof/>
              </w:rPr>
              <w:t>4.3.1 High-pressure polymerisation</w:t>
            </w:r>
            <w:r w:rsidR="00983F73">
              <w:rPr>
                <w:noProof/>
                <w:webHidden/>
              </w:rPr>
              <w:tab/>
            </w:r>
            <w:r w:rsidR="00983F73">
              <w:rPr>
                <w:noProof/>
                <w:webHidden/>
              </w:rPr>
              <w:fldChar w:fldCharType="begin"/>
            </w:r>
            <w:r w:rsidR="00983F73">
              <w:rPr>
                <w:noProof/>
                <w:webHidden/>
              </w:rPr>
              <w:instrText xml:space="preserve"> PAGEREF _Toc54274799 \h </w:instrText>
            </w:r>
            <w:r w:rsidR="00983F73">
              <w:rPr>
                <w:noProof/>
                <w:webHidden/>
              </w:rPr>
            </w:r>
            <w:r w:rsidR="00983F73">
              <w:rPr>
                <w:noProof/>
                <w:webHidden/>
              </w:rPr>
              <w:fldChar w:fldCharType="separate"/>
            </w:r>
            <w:r w:rsidR="00983F73">
              <w:rPr>
                <w:noProof/>
                <w:webHidden/>
              </w:rPr>
              <w:t>31</w:t>
            </w:r>
            <w:r w:rsidR="00983F73">
              <w:rPr>
                <w:noProof/>
                <w:webHidden/>
              </w:rPr>
              <w:fldChar w:fldCharType="end"/>
            </w:r>
          </w:hyperlink>
        </w:p>
        <w:p w14:paraId="51143A50" w14:textId="6FCD817C" w:rsidR="00983F73" w:rsidRDefault="00722F9A">
          <w:pPr>
            <w:pStyle w:val="TOC3"/>
            <w:tabs>
              <w:tab w:val="right" w:leader="dot" w:pos="9060"/>
            </w:tabs>
            <w:rPr>
              <w:rFonts w:eastAsiaTheme="minorEastAsia"/>
              <w:noProof/>
              <w:lang w:eastAsia="en-GB"/>
            </w:rPr>
          </w:pPr>
          <w:hyperlink w:anchor="_Toc54274800" w:history="1">
            <w:r w:rsidR="00983F73" w:rsidRPr="00671338">
              <w:rPr>
                <w:rStyle w:val="Hyperlink"/>
                <w:noProof/>
              </w:rPr>
              <w:t>4.3.2 Solution polymerisation</w:t>
            </w:r>
            <w:r w:rsidR="00983F73">
              <w:rPr>
                <w:noProof/>
                <w:webHidden/>
              </w:rPr>
              <w:tab/>
            </w:r>
            <w:r w:rsidR="00983F73">
              <w:rPr>
                <w:noProof/>
                <w:webHidden/>
              </w:rPr>
              <w:fldChar w:fldCharType="begin"/>
            </w:r>
            <w:r w:rsidR="00983F73">
              <w:rPr>
                <w:noProof/>
                <w:webHidden/>
              </w:rPr>
              <w:instrText xml:space="preserve"> PAGEREF _Toc54274800 \h </w:instrText>
            </w:r>
            <w:r w:rsidR="00983F73">
              <w:rPr>
                <w:noProof/>
                <w:webHidden/>
              </w:rPr>
            </w:r>
            <w:r w:rsidR="00983F73">
              <w:rPr>
                <w:noProof/>
                <w:webHidden/>
              </w:rPr>
              <w:fldChar w:fldCharType="separate"/>
            </w:r>
            <w:r w:rsidR="00983F73">
              <w:rPr>
                <w:noProof/>
                <w:webHidden/>
              </w:rPr>
              <w:t>33</w:t>
            </w:r>
            <w:r w:rsidR="00983F73">
              <w:rPr>
                <w:noProof/>
                <w:webHidden/>
              </w:rPr>
              <w:fldChar w:fldCharType="end"/>
            </w:r>
          </w:hyperlink>
        </w:p>
        <w:p w14:paraId="100DEC5A" w14:textId="7B324ED6" w:rsidR="00983F73" w:rsidRDefault="00722F9A">
          <w:pPr>
            <w:pStyle w:val="TOC3"/>
            <w:tabs>
              <w:tab w:val="right" w:leader="dot" w:pos="9060"/>
            </w:tabs>
            <w:rPr>
              <w:rFonts w:eastAsiaTheme="minorEastAsia"/>
              <w:noProof/>
              <w:lang w:eastAsia="en-GB"/>
            </w:rPr>
          </w:pPr>
          <w:hyperlink w:anchor="_Toc54274801" w:history="1">
            <w:r w:rsidR="00983F73" w:rsidRPr="00671338">
              <w:rPr>
                <w:rStyle w:val="Hyperlink"/>
                <w:noProof/>
              </w:rPr>
              <w:t>4.3.3 Slurry polymerisation</w:t>
            </w:r>
            <w:r w:rsidR="00983F73">
              <w:rPr>
                <w:noProof/>
                <w:webHidden/>
              </w:rPr>
              <w:tab/>
            </w:r>
            <w:r w:rsidR="00983F73">
              <w:rPr>
                <w:noProof/>
                <w:webHidden/>
              </w:rPr>
              <w:fldChar w:fldCharType="begin"/>
            </w:r>
            <w:r w:rsidR="00983F73">
              <w:rPr>
                <w:noProof/>
                <w:webHidden/>
              </w:rPr>
              <w:instrText xml:space="preserve"> PAGEREF _Toc54274801 \h </w:instrText>
            </w:r>
            <w:r w:rsidR="00983F73">
              <w:rPr>
                <w:noProof/>
                <w:webHidden/>
              </w:rPr>
            </w:r>
            <w:r w:rsidR="00983F73">
              <w:rPr>
                <w:noProof/>
                <w:webHidden/>
              </w:rPr>
              <w:fldChar w:fldCharType="separate"/>
            </w:r>
            <w:r w:rsidR="00983F73">
              <w:rPr>
                <w:noProof/>
                <w:webHidden/>
              </w:rPr>
              <w:t>34</w:t>
            </w:r>
            <w:r w:rsidR="00983F73">
              <w:rPr>
                <w:noProof/>
                <w:webHidden/>
              </w:rPr>
              <w:fldChar w:fldCharType="end"/>
            </w:r>
          </w:hyperlink>
        </w:p>
        <w:p w14:paraId="0130F1A5" w14:textId="386A98BC" w:rsidR="00983F73" w:rsidRDefault="00722F9A">
          <w:pPr>
            <w:pStyle w:val="TOC3"/>
            <w:tabs>
              <w:tab w:val="right" w:leader="dot" w:pos="9060"/>
            </w:tabs>
            <w:rPr>
              <w:rFonts w:eastAsiaTheme="minorEastAsia"/>
              <w:noProof/>
              <w:lang w:eastAsia="en-GB"/>
            </w:rPr>
          </w:pPr>
          <w:hyperlink w:anchor="_Toc54274802" w:history="1">
            <w:r w:rsidR="00983F73" w:rsidRPr="00671338">
              <w:rPr>
                <w:rStyle w:val="Hyperlink"/>
                <w:noProof/>
              </w:rPr>
              <w:t>4.3.3 Gas-phase polymerisation</w:t>
            </w:r>
            <w:r w:rsidR="00983F73">
              <w:rPr>
                <w:noProof/>
                <w:webHidden/>
              </w:rPr>
              <w:tab/>
            </w:r>
            <w:r w:rsidR="00983F73">
              <w:rPr>
                <w:noProof/>
                <w:webHidden/>
              </w:rPr>
              <w:fldChar w:fldCharType="begin"/>
            </w:r>
            <w:r w:rsidR="00983F73">
              <w:rPr>
                <w:noProof/>
                <w:webHidden/>
              </w:rPr>
              <w:instrText xml:space="preserve"> PAGEREF _Toc54274802 \h </w:instrText>
            </w:r>
            <w:r w:rsidR="00983F73">
              <w:rPr>
                <w:noProof/>
                <w:webHidden/>
              </w:rPr>
            </w:r>
            <w:r w:rsidR="00983F73">
              <w:rPr>
                <w:noProof/>
                <w:webHidden/>
              </w:rPr>
              <w:fldChar w:fldCharType="separate"/>
            </w:r>
            <w:r w:rsidR="00983F73">
              <w:rPr>
                <w:noProof/>
                <w:webHidden/>
              </w:rPr>
              <w:t>36</w:t>
            </w:r>
            <w:r w:rsidR="00983F73">
              <w:rPr>
                <w:noProof/>
                <w:webHidden/>
              </w:rPr>
              <w:fldChar w:fldCharType="end"/>
            </w:r>
          </w:hyperlink>
        </w:p>
        <w:p w14:paraId="4DB2FC37" w14:textId="020BC108" w:rsidR="00983F73" w:rsidRDefault="00722F9A">
          <w:pPr>
            <w:pStyle w:val="TOC2"/>
            <w:tabs>
              <w:tab w:val="right" w:leader="dot" w:pos="9060"/>
            </w:tabs>
            <w:rPr>
              <w:rFonts w:eastAsiaTheme="minorEastAsia"/>
              <w:noProof/>
              <w:lang w:eastAsia="en-GB"/>
            </w:rPr>
          </w:pPr>
          <w:hyperlink w:anchor="_Toc54274803" w:history="1">
            <w:r w:rsidR="00983F73" w:rsidRPr="00671338">
              <w:rPr>
                <w:rStyle w:val="Hyperlink"/>
                <w:noProof/>
              </w:rPr>
              <w:t>4.4 Decarbonisation options</w:t>
            </w:r>
            <w:r w:rsidR="00983F73">
              <w:rPr>
                <w:noProof/>
                <w:webHidden/>
              </w:rPr>
              <w:tab/>
            </w:r>
            <w:r w:rsidR="00983F73">
              <w:rPr>
                <w:noProof/>
                <w:webHidden/>
              </w:rPr>
              <w:fldChar w:fldCharType="begin"/>
            </w:r>
            <w:r w:rsidR="00983F73">
              <w:rPr>
                <w:noProof/>
                <w:webHidden/>
              </w:rPr>
              <w:instrText xml:space="preserve"> PAGEREF _Toc54274803 \h </w:instrText>
            </w:r>
            <w:r w:rsidR="00983F73">
              <w:rPr>
                <w:noProof/>
                <w:webHidden/>
              </w:rPr>
            </w:r>
            <w:r w:rsidR="00983F73">
              <w:rPr>
                <w:noProof/>
                <w:webHidden/>
              </w:rPr>
              <w:fldChar w:fldCharType="separate"/>
            </w:r>
            <w:r w:rsidR="00983F73">
              <w:rPr>
                <w:noProof/>
                <w:webHidden/>
              </w:rPr>
              <w:t>38</w:t>
            </w:r>
            <w:r w:rsidR="00983F73">
              <w:rPr>
                <w:noProof/>
                <w:webHidden/>
              </w:rPr>
              <w:fldChar w:fldCharType="end"/>
            </w:r>
          </w:hyperlink>
        </w:p>
        <w:p w14:paraId="6682A970" w14:textId="17541F3C" w:rsidR="00983F73" w:rsidRDefault="00722F9A">
          <w:pPr>
            <w:pStyle w:val="TOC3"/>
            <w:tabs>
              <w:tab w:val="right" w:leader="dot" w:pos="9060"/>
            </w:tabs>
            <w:rPr>
              <w:rFonts w:eastAsiaTheme="minorEastAsia"/>
              <w:noProof/>
              <w:lang w:eastAsia="en-GB"/>
            </w:rPr>
          </w:pPr>
          <w:hyperlink w:anchor="_Toc54274804" w:history="1">
            <w:r w:rsidR="00983F73" w:rsidRPr="00671338">
              <w:rPr>
                <w:rStyle w:val="Hyperlink"/>
                <w:noProof/>
              </w:rPr>
              <w:t>4.4.1 Sugar-based olefin monomers</w:t>
            </w:r>
            <w:r w:rsidR="00983F73">
              <w:rPr>
                <w:noProof/>
                <w:webHidden/>
              </w:rPr>
              <w:tab/>
            </w:r>
            <w:r w:rsidR="00983F73">
              <w:rPr>
                <w:noProof/>
                <w:webHidden/>
              </w:rPr>
              <w:fldChar w:fldCharType="begin"/>
            </w:r>
            <w:r w:rsidR="00983F73">
              <w:rPr>
                <w:noProof/>
                <w:webHidden/>
              </w:rPr>
              <w:instrText xml:space="preserve"> PAGEREF _Toc54274804 \h </w:instrText>
            </w:r>
            <w:r w:rsidR="00983F73">
              <w:rPr>
                <w:noProof/>
                <w:webHidden/>
              </w:rPr>
            </w:r>
            <w:r w:rsidR="00983F73">
              <w:rPr>
                <w:noProof/>
                <w:webHidden/>
              </w:rPr>
              <w:fldChar w:fldCharType="separate"/>
            </w:r>
            <w:r w:rsidR="00983F73">
              <w:rPr>
                <w:noProof/>
                <w:webHidden/>
              </w:rPr>
              <w:t>38</w:t>
            </w:r>
            <w:r w:rsidR="00983F73">
              <w:rPr>
                <w:noProof/>
                <w:webHidden/>
              </w:rPr>
              <w:fldChar w:fldCharType="end"/>
            </w:r>
          </w:hyperlink>
        </w:p>
        <w:p w14:paraId="3DAB22BA" w14:textId="205F3FD4" w:rsidR="00983F73" w:rsidRDefault="00722F9A">
          <w:pPr>
            <w:pStyle w:val="TOC3"/>
            <w:tabs>
              <w:tab w:val="right" w:leader="dot" w:pos="9060"/>
            </w:tabs>
            <w:rPr>
              <w:rFonts w:eastAsiaTheme="minorEastAsia"/>
              <w:noProof/>
              <w:lang w:eastAsia="en-GB"/>
            </w:rPr>
          </w:pPr>
          <w:hyperlink w:anchor="_Toc54274805" w:history="1">
            <w:r w:rsidR="00983F73" w:rsidRPr="00671338">
              <w:rPr>
                <w:rStyle w:val="Hyperlink"/>
                <w:noProof/>
              </w:rPr>
              <w:t>4.4.2 Biowaste-based olefin monomers</w:t>
            </w:r>
            <w:r w:rsidR="00983F73">
              <w:rPr>
                <w:noProof/>
                <w:webHidden/>
              </w:rPr>
              <w:tab/>
            </w:r>
            <w:r w:rsidR="00983F73">
              <w:rPr>
                <w:noProof/>
                <w:webHidden/>
              </w:rPr>
              <w:fldChar w:fldCharType="begin"/>
            </w:r>
            <w:r w:rsidR="00983F73">
              <w:rPr>
                <w:noProof/>
                <w:webHidden/>
              </w:rPr>
              <w:instrText xml:space="preserve"> PAGEREF _Toc54274805 \h </w:instrText>
            </w:r>
            <w:r w:rsidR="00983F73">
              <w:rPr>
                <w:noProof/>
                <w:webHidden/>
              </w:rPr>
            </w:r>
            <w:r w:rsidR="00983F73">
              <w:rPr>
                <w:noProof/>
                <w:webHidden/>
              </w:rPr>
              <w:fldChar w:fldCharType="separate"/>
            </w:r>
            <w:r w:rsidR="00983F73">
              <w:rPr>
                <w:noProof/>
                <w:webHidden/>
              </w:rPr>
              <w:t>41</w:t>
            </w:r>
            <w:r w:rsidR="00983F73">
              <w:rPr>
                <w:noProof/>
                <w:webHidden/>
              </w:rPr>
              <w:fldChar w:fldCharType="end"/>
            </w:r>
          </w:hyperlink>
        </w:p>
        <w:p w14:paraId="696008C4" w14:textId="250CF9E8" w:rsidR="00983F73" w:rsidRDefault="00722F9A">
          <w:pPr>
            <w:pStyle w:val="TOC3"/>
            <w:tabs>
              <w:tab w:val="right" w:leader="dot" w:pos="9060"/>
            </w:tabs>
            <w:rPr>
              <w:rFonts w:eastAsiaTheme="minorEastAsia"/>
              <w:noProof/>
              <w:lang w:eastAsia="en-GB"/>
            </w:rPr>
          </w:pPr>
          <w:hyperlink w:anchor="_Toc54274806" w:history="1">
            <w:r w:rsidR="00983F73" w:rsidRPr="00671338">
              <w:rPr>
                <w:rStyle w:val="Hyperlink"/>
                <w:noProof/>
              </w:rPr>
              <w:t>4.4.3 Techno-economic indicators and current projects on bio-based polyolefins</w:t>
            </w:r>
            <w:r w:rsidR="00983F73">
              <w:rPr>
                <w:noProof/>
                <w:webHidden/>
              </w:rPr>
              <w:tab/>
            </w:r>
            <w:r w:rsidR="00983F73">
              <w:rPr>
                <w:noProof/>
                <w:webHidden/>
              </w:rPr>
              <w:fldChar w:fldCharType="begin"/>
            </w:r>
            <w:r w:rsidR="00983F73">
              <w:rPr>
                <w:noProof/>
                <w:webHidden/>
              </w:rPr>
              <w:instrText xml:space="preserve"> PAGEREF _Toc54274806 \h </w:instrText>
            </w:r>
            <w:r w:rsidR="00983F73">
              <w:rPr>
                <w:noProof/>
                <w:webHidden/>
              </w:rPr>
            </w:r>
            <w:r w:rsidR="00983F73">
              <w:rPr>
                <w:noProof/>
                <w:webHidden/>
              </w:rPr>
              <w:fldChar w:fldCharType="separate"/>
            </w:r>
            <w:r w:rsidR="00983F73">
              <w:rPr>
                <w:noProof/>
                <w:webHidden/>
              </w:rPr>
              <w:t>42</w:t>
            </w:r>
            <w:r w:rsidR="00983F73">
              <w:rPr>
                <w:noProof/>
                <w:webHidden/>
              </w:rPr>
              <w:fldChar w:fldCharType="end"/>
            </w:r>
          </w:hyperlink>
        </w:p>
        <w:p w14:paraId="243D472F" w14:textId="2BFF90D0" w:rsidR="00983F73" w:rsidRDefault="00722F9A">
          <w:pPr>
            <w:pStyle w:val="TOC3"/>
            <w:tabs>
              <w:tab w:val="right" w:leader="dot" w:pos="9060"/>
            </w:tabs>
            <w:rPr>
              <w:rFonts w:eastAsiaTheme="minorEastAsia"/>
              <w:noProof/>
              <w:lang w:eastAsia="en-GB"/>
            </w:rPr>
          </w:pPr>
          <w:hyperlink w:anchor="_Toc54274807" w:history="1">
            <w:r w:rsidR="00983F73" w:rsidRPr="00671338">
              <w:rPr>
                <w:rStyle w:val="Hyperlink"/>
                <w:noProof/>
              </w:rPr>
              <w:t>4.4.4 Mechanically-recycled polyolefins</w:t>
            </w:r>
            <w:r w:rsidR="00983F73">
              <w:rPr>
                <w:noProof/>
                <w:webHidden/>
              </w:rPr>
              <w:tab/>
            </w:r>
            <w:r w:rsidR="00983F73">
              <w:rPr>
                <w:noProof/>
                <w:webHidden/>
              </w:rPr>
              <w:fldChar w:fldCharType="begin"/>
            </w:r>
            <w:r w:rsidR="00983F73">
              <w:rPr>
                <w:noProof/>
                <w:webHidden/>
              </w:rPr>
              <w:instrText xml:space="preserve"> PAGEREF _Toc54274807 \h </w:instrText>
            </w:r>
            <w:r w:rsidR="00983F73">
              <w:rPr>
                <w:noProof/>
                <w:webHidden/>
              </w:rPr>
            </w:r>
            <w:r w:rsidR="00983F73">
              <w:rPr>
                <w:noProof/>
                <w:webHidden/>
              </w:rPr>
              <w:fldChar w:fldCharType="separate"/>
            </w:r>
            <w:r w:rsidR="00983F73">
              <w:rPr>
                <w:noProof/>
                <w:webHidden/>
              </w:rPr>
              <w:t>44</w:t>
            </w:r>
            <w:r w:rsidR="00983F73">
              <w:rPr>
                <w:noProof/>
                <w:webHidden/>
              </w:rPr>
              <w:fldChar w:fldCharType="end"/>
            </w:r>
          </w:hyperlink>
        </w:p>
        <w:p w14:paraId="5DE092D7" w14:textId="181F8046" w:rsidR="00983F73" w:rsidRDefault="00722F9A">
          <w:pPr>
            <w:pStyle w:val="TOC3"/>
            <w:tabs>
              <w:tab w:val="right" w:leader="dot" w:pos="9060"/>
            </w:tabs>
            <w:rPr>
              <w:rFonts w:eastAsiaTheme="minorEastAsia"/>
              <w:noProof/>
              <w:lang w:eastAsia="en-GB"/>
            </w:rPr>
          </w:pPr>
          <w:hyperlink w:anchor="_Toc54274808" w:history="1">
            <w:r w:rsidR="00983F73" w:rsidRPr="00671338">
              <w:rPr>
                <w:rStyle w:val="Hyperlink"/>
                <w:noProof/>
              </w:rPr>
              <w:t>4.4.5 Dissolution-recycled polyolefins</w:t>
            </w:r>
            <w:r w:rsidR="00983F73">
              <w:rPr>
                <w:noProof/>
                <w:webHidden/>
              </w:rPr>
              <w:tab/>
            </w:r>
            <w:r w:rsidR="00983F73">
              <w:rPr>
                <w:noProof/>
                <w:webHidden/>
              </w:rPr>
              <w:fldChar w:fldCharType="begin"/>
            </w:r>
            <w:r w:rsidR="00983F73">
              <w:rPr>
                <w:noProof/>
                <w:webHidden/>
              </w:rPr>
              <w:instrText xml:space="preserve"> PAGEREF _Toc54274808 \h </w:instrText>
            </w:r>
            <w:r w:rsidR="00983F73">
              <w:rPr>
                <w:noProof/>
                <w:webHidden/>
              </w:rPr>
            </w:r>
            <w:r w:rsidR="00983F73">
              <w:rPr>
                <w:noProof/>
                <w:webHidden/>
              </w:rPr>
              <w:fldChar w:fldCharType="separate"/>
            </w:r>
            <w:r w:rsidR="00983F73">
              <w:rPr>
                <w:noProof/>
                <w:webHidden/>
              </w:rPr>
              <w:t>45</w:t>
            </w:r>
            <w:r w:rsidR="00983F73">
              <w:rPr>
                <w:noProof/>
                <w:webHidden/>
              </w:rPr>
              <w:fldChar w:fldCharType="end"/>
            </w:r>
          </w:hyperlink>
        </w:p>
        <w:p w14:paraId="0B6E27DD" w14:textId="76323200" w:rsidR="00983F73" w:rsidRDefault="00722F9A">
          <w:pPr>
            <w:pStyle w:val="TOC3"/>
            <w:tabs>
              <w:tab w:val="right" w:leader="dot" w:pos="9060"/>
            </w:tabs>
            <w:rPr>
              <w:rFonts w:eastAsiaTheme="minorEastAsia"/>
              <w:noProof/>
              <w:lang w:eastAsia="en-GB"/>
            </w:rPr>
          </w:pPr>
          <w:hyperlink w:anchor="_Toc54274809" w:history="1">
            <w:r w:rsidR="00983F73" w:rsidRPr="00671338">
              <w:rPr>
                <w:rStyle w:val="Hyperlink"/>
                <w:noProof/>
              </w:rPr>
              <w:t>4.4.6 Pyrolysis-recycled olefin monomers</w:t>
            </w:r>
            <w:r w:rsidR="00983F73">
              <w:rPr>
                <w:noProof/>
                <w:webHidden/>
              </w:rPr>
              <w:tab/>
            </w:r>
            <w:r w:rsidR="00983F73">
              <w:rPr>
                <w:noProof/>
                <w:webHidden/>
              </w:rPr>
              <w:fldChar w:fldCharType="begin"/>
            </w:r>
            <w:r w:rsidR="00983F73">
              <w:rPr>
                <w:noProof/>
                <w:webHidden/>
              </w:rPr>
              <w:instrText xml:space="preserve"> PAGEREF _Toc54274809 \h </w:instrText>
            </w:r>
            <w:r w:rsidR="00983F73">
              <w:rPr>
                <w:noProof/>
                <w:webHidden/>
              </w:rPr>
            </w:r>
            <w:r w:rsidR="00983F73">
              <w:rPr>
                <w:noProof/>
                <w:webHidden/>
              </w:rPr>
              <w:fldChar w:fldCharType="separate"/>
            </w:r>
            <w:r w:rsidR="00983F73">
              <w:rPr>
                <w:noProof/>
                <w:webHidden/>
              </w:rPr>
              <w:t>46</w:t>
            </w:r>
            <w:r w:rsidR="00983F73">
              <w:rPr>
                <w:noProof/>
                <w:webHidden/>
              </w:rPr>
              <w:fldChar w:fldCharType="end"/>
            </w:r>
          </w:hyperlink>
        </w:p>
        <w:p w14:paraId="1BFBF007" w14:textId="51FA846D" w:rsidR="00983F73" w:rsidRDefault="00722F9A">
          <w:pPr>
            <w:pStyle w:val="TOC3"/>
            <w:tabs>
              <w:tab w:val="right" w:leader="dot" w:pos="9060"/>
            </w:tabs>
            <w:rPr>
              <w:rFonts w:eastAsiaTheme="minorEastAsia"/>
              <w:noProof/>
              <w:lang w:eastAsia="en-GB"/>
            </w:rPr>
          </w:pPr>
          <w:hyperlink w:anchor="_Toc54274810" w:history="1">
            <w:r w:rsidR="00983F73" w:rsidRPr="00671338">
              <w:rPr>
                <w:rStyle w:val="Hyperlink"/>
                <w:noProof/>
              </w:rPr>
              <w:t>4.4.7 Gasification-recycled olefin monomers</w:t>
            </w:r>
            <w:r w:rsidR="00983F73">
              <w:rPr>
                <w:noProof/>
                <w:webHidden/>
              </w:rPr>
              <w:tab/>
            </w:r>
            <w:r w:rsidR="00983F73">
              <w:rPr>
                <w:noProof/>
                <w:webHidden/>
              </w:rPr>
              <w:fldChar w:fldCharType="begin"/>
            </w:r>
            <w:r w:rsidR="00983F73">
              <w:rPr>
                <w:noProof/>
                <w:webHidden/>
              </w:rPr>
              <w:instrText xml:space="preserve"> PAGEREF _Toc54274810 \h </w:instrText>
            </w:r>
            <w:r w:rsidR="00983F73">
              <w:rPr>
                <w:noProof/>
                <w:webHidden/>
              </w:rPr>
            </w:r>
            <w:r w:rsidR="00983F73">
              <w:rPr>
                <w:noProof/>
                <w:webHidden/>
              </w:rPr>
              <w:fldChar w:fldCharType="separate"/>
            </w:r>
            <w:r w:rsidR="00983F73">
              <w:rPr>
                <w:noProof/>
                <w:webHidden/>
              </w:rPr>
              <w:t>48</w:t>
            </w:r>
            <w:r w:rsidR="00983F73">
              <w:rPr>
                <w:noProof/>
                <w:webHidden/>
              </w:rPr>
              <w:fldChar w:fldCharType="end"/>
            </w:r>
          </w:hyperlink>
        </w:p>
        <w:p w14:paraId="2B33EC80" w14:textId="71D431C7" w:rsidR="00983F73" w:rsidRDefault="00722F9A">
          <w:pPr>
            <w:pStyle w:val="TOC3"/>
            <w:tabs>
              <w:tab w:val="right" w:leader="dot" w:pos="9060"/>
            </w:tabs>
            <w:rPr>
              <w:rFonts w:eastAsiaTheme="minorEastAsia"/>
              <w:noProof/>
              <w:lang w:eastAsia="en-GB"/>
            </w:rPr>
          </w:pPr>
          <w:hyperlink w:anchor="_Toc54274811" w:history="1">
            <w:r w:rsidR="00983F73" w:rsidRPr="00671338">
              <w:rPr>
                <w:rStyle w:val="Hyperlink"/>
                <w:noProof/>
              </w:rPr>
              <w:t>4.4.8 Techno-economic indicators and current projects</w:t>
            </w:r>
            <w:r w:rsidR="00983F73">
              <w:rPr>
                <w:noProof/>
                <w:webHidden/>
              </w:rPr>
              <w:tab/>
            </w:r>
            <w:r w:rsidR="00983F73">
              <w:rPr>
                <w:noProof/>
                <w:webHidden/>
              </w:rPr>
              <w:fldChar w:fldCharType="begin"/>
            </w:r>
            <w:r w:rsidR="00983F73">
              <w:rPr>
                <w:noProof/>
                <w:webHidden/>
              </w:rPr>
              <w:instrText xml:space="preserve"> PAGEREF _Toc54274811 \h </w:instrText>
            </w:r>
            <w:r w:rsidR="00983F73">
              <w:rPr>
                <w:noProof/>
                <w:webHidden/>
              </w:rPr>
            </w:r>
            <w:r w:rsidR="00983F73">
              <w:rPr>
                <w:noProof/>
                <w:webHidden/>
              </w:rPr>
              <w:fldChar w:fldCharType="separate"/>
            </w:r>
            <w:r w:rsidR="00983F73">
              <w:rPr>
                <w:noProof/>
                <w:webHidden/>
              </w:rPr>
              <w:t>50</w:t>
            </w:r>
            <w:r w:rsidR="00983F73">
              <w:rPr>
                <w:noProof/>
                <w:webHidden/>
              </w:rPr>
              <w:fldChar w:fldCharType="end"/>
            </w:r>
          </w:hyperlink>
        </w:p>
        <w:p w14:paraId="0204A792" w14:textId="1D0A4EB4" w:rsidR="00983F73" w:rsidRDefault="00722F9A">
          <w:pPr>
            <w:pStyle w:val="TOC3"/>
            <w:tabs>
              <w:tab w:val="right" w:leader="dot" w:pos="9060"/>
            </w:tabs>
            <w:rPr>
              <w:rFonts w:eastAsiaTheme="minorEastAsia"/>
              <w:noProof/>
              <w:lang w:eastAsia="en-GB"/>
            </w:rPr>
          </w:pPr>
          <w:hyperlink w:anchor="_Toc54274812" w:history="1">
            <w:r w:rsidR="00983F73" w:rsidRPr="00671338">
              <w:rPr>
                <w:rStyle w:val="Hyperlink"/>
                <w:noProof/>
              </w:rPr>
              <w:t>4.4.9 Other decarbonisation options</w:t>
            </w:r>
            <w:r w:rsidR="00983F73">
              <w:rPr>
                <w:noProof/>
                <w:webHidden/>
              </w:rPr>
              <w:tab/>
            </w:r>
            <w:r w:rsidR="00983F73">
              <w:rPr>
                <w:noProof/>
                <w:webHidden/>
              </w:rPr>
              <w:fldChar w:fldCharType="begin"/>
            </w:r>
            <w:r w:rsidR="00983F73">
              <w:rPr>
                <w:noProof/>
                <w:webHidden/>
              </w:rPr>
              <w:instrText xml:space="preserve"> PAGEREF _Toc54274812 \h </w:instrText>
            </w:r>
            <w:r w:rsidR="00983F73">
              <w:rPr>
                <w:noProof/>
                <w:webHidden/>
              </w:rPr>
            </w:r>
            <w:r w:rsidR="00983F73">
              <w:rPr>
                <w:noProof/>
                <w:webHidden/>
              </w:rPr>
              <w:fldChar w:fldCharType="separate"/>
            </w:r>
            <w:r w:rsidR="00983F73">
              <w:rPr>
                <w:noProof/>
                <w:webHidden/>
              </w:rPr>
              <w:t>50</w:t>
            </w:r>
            <w:r w:rsidR="00983F73">
              <w:rPr>
                <w:noProof/>
                <w:webHidden/>
              </w:rPr>
              <w:fldChar w:fldCharType="end"/>
            </w:r>
          </w:hyperlink>
        </w:p>
        <w:p w14:paraId="079D40F1" w14:textId="53033986" w:rsidR="00983F73" w:rsidRDefault="00722F9A">
          <w:pPr>
            <w:pStyle w:val="TOC1"/>
            <w:tabs>
              <w:tab w:val="right" w:leader="dot" w:pos="9060"/>
            </w:tabs>
            <w:rPr>
              <w:rFonts w:eastAsiaTheme="minorEastAsia"/>
              <w:noProof/>
              <w:lang w:eastAsia="en-GB"/>
            </w:rPr>
          </w:pPr>
          <w:hyperlink w:anchor="_Toc54274813" w:history="1">
            <w:r w:rsidR="00983F73" w:rsidRPr="00671338">
              <w:rPr>
                <w:rStyle w:val="Hyperlink"/>
                <w:b/>
                <w:bCs/>
                <w:noProof/>
              </w:rPr>
              <w:t>5. DISCUSSION</w:t>
            </w:r>
            <w:r w:rsidR="00983F73">
              <w:rPr>
                <w:noProof/>
                <w:webHidden/>
              </w:rPr>
              <w:tab/>
            </w:r>
            <w:r w:rsidR="00983F73">
              <w:rPr>
                <w:noProof/>
                <w:webHidden/>
              </w:rPr>
              <w:fldChar w:fldCharType="begin"/>
            </w:r>
            <w:r w:rsidR="00983F73">
              <w:rPr>
                <w:noProof/>
                <w:webHidden/>
              </w:rPr>
              <w:instrText xml:space="preserve"> PAGEREF _Toc54274813 \h </w:instrText>
            </w:r>
            <w:r w:rsidR="00983F73">
              <w:rPr>
                <w:noProof/>
                <w:webHidden/>
              </w:rPr>
            </w:r>
            <w:r w:rsidR="00983F73">
              <w:rPr>
                <w:noProof/>
                <w:webHidden/>
              </w:rPr>
              <w:fldChar w:fldCharType="separate"/>
            </w:r>
            <w:r w:rsidR="00983F73">
              <w:rPr>
                <w:noProof/>
                <w:webHidden/>
              </w:rPr>
              <w:t>52</w:t>
            </w:r>
            <w:r w:rsidR="00983F73">
              <w:rPr>
                <w:noProof/>
                <w:webHidden/>
              </w:rPr>
              <w:fldChar w:fldCharType="end"/>
            </w:r>
          </w:hyperlink>
        </w:p>
        <w:p w14:paraId="36D11A2C" w14:textId="36BD81FF" w:rsidR="00983F73" w:rsidRDefault="00722F9A">
          <w:pPr>
            <w:pStyle w:val="TOC2"/>
            <w:tabs>
              <w:tab w:val="right" w:leader="dot" w:pos="9060"/>
            </w:tabs>
            <w:rPr>
              <w:rFonts w:eastAsiaTheme="minorEastAsia"/>
              <w:noProof/>
              <w:lang w:eastAsia="en-GB"/>
            </w:rPr>
          </w:pPr>
          <w:hyperlink w:anchor="_Toc54274814" w:history="1">
            <w:r w:rsidR="00983F73" w:rsidRPr="00671338">
              <w:rPr>
                <w:rStyle w:val="Hyperlink"/>
                <w:noProof/>
              </w:rPr>
              <w:t>5.1 Limitations to the research</w:t>
            </w:r>
            <w:r w:rsidR="00983F73">
              <w:rPr>
                <w:noProof/>
                <w:webHidden/>
              </w:rPr>
              <w:tab/>
            </w:r>
            <w:r w:rsidR="00983F73">
              <w:rPr>
                <w:noProof/>
                <w:webHidden/>
              </w:rPr>
              <w:fldChar w:fldCharType="begin"/>
            </w:r>
            <w:r w:rsidR="00983F73">
              <w:rPr>
                <w:noProof/>
                <w:webHidden/>
              </w:rPr>
              <w:instrText xml:space="preserve"> PAGEREF _Toc54274814 \h </w:instrText>
            </w:r>
            <w:r w:rsidR="00983F73">
              <w:rPr>
                <w:noProof/>
                <w:webHidden/>
              </w:rPr>
            </w:r>
            <w:r w:rsidR="00983F73">
              <w:rPr>
                <w:noProof/>
                <w:webHidden/>
              </w:rPr>
              <w:fldChar w:fldCharType="separate"/>
            </w:r>
            <w:r w:rsidR="00983F73">
              <w:rPr>
                <w:noProof/>
                <w:webHidden/>
              </w:rPr>
              <w:t>52</w:t>
            </w:r>
            <w:r w:rsidR="00983F73">
              <w:rPr>
                <w:noProof/>
                <w:webHidden/>
              </w:rPr>
              <w:fldChar w:fldCharType="end"/>
            </w:r>
          </w:hyperlink>
        </w:p>
        <w:p w14:paraId="0EE5D26F" w14:textId="0AEBC259" w:rsidR="00983F73" w:rsidRDefault="00722F9A">
          <w:pPr>
            <w:pStyle w:val="TOC2"/>
            <w:tabs>
              <w:tab w:val="right" w:leader="dot" w:pos="9060"/>
            </w:tabs>
            <w:rPr>
              <w:rFonts w:eastAsiaTheme="minorEastAsia"/>
              <w:noProof/>
              <w:lang w:eastAsia="en-GB"/>
            </w:rPr>
          </w:pPr>
          <w:hyperlink w:anchor="_Toc54274815" w:history="1">
            <w:r w:rsidR="00983F73" w:rsidRPr="00671338">
              <w:rPr>
                <w:rStyle w:val="Hyperlink"/>
                <w:noProof/>
              </w:rPr>
              <w:t>5.2 Impact on the results on the future of the Dutch polyolefins industry</w:t>
            </w:r>
            <w:r w:rsidR="00983F73">
              <w:rPr>
                <w:noProof/>
                <w:webHidden/>
              </w:rPr>
              <w:tab/>
            </w:r>
            <w:r w:rsidR="00983F73">
              <w:rPr>
                <w:noProof/>
                <w:webHidden/>
              </w:rPr>
              <w:fldChar w:fldCharType="begin"/>
            </w:r>
            <w:r w:rsidR="00983F73">
              <w:rPr>
                <w:noProof/>
                <w:webHidden/>
              </w:rPr>
              <w:instrText xml:space="preserve"> PAGEREF _Toc54274815 \h </w:instrText>
            </w:r>
            <w:r w:rsidR="00983F73">
              <w:rPr>
                <w:noProof/>
                <w:webHidden/>
              </w:rPr>
            </w:r>
            <w:r w:rsidR="00983F73">
              <w:rPr>
                <w:noProof/>
                <w:webHidden/>
              </w:rPr>
              <w:fldChar w:fldCharType="separate"/>
            </w:r>
            <w:r w:rsidR="00983F73">
              <w:rPr>
                <w:noProof/>
                <w:webHidden/>
              </w:rPr>
              <w:t>52</w:t>
            </w:r>
            <w:r w:rsidR="00983F73">
              <w:rPr>
                <w:noProof/>
                <w:webHidden/>
              </w:rPr>
              <w:fldChar w:fldCharType="end"/>
            </w:r>
          </w:hyperlink>
        </w:p>
        <w:p w14:paraId="21C6A951" w14:textId="1F4C64E0" w:rsidR="00983F73" w:rsidRDefault="00722F9A">
          <w:pPr>
            <w:pStyle w:val="TOC1"/>
            <w:tabs>
              <w:tab w:val="right" w:leader="dot" w:pos="9060"/>
            </w:tabs>
            <w:rPr>
              <w:rFonts w:eastAsiaTheme="minorEastAsia"/>
              <w:noProof/>
              <w:lang w:eastAsia="en-GB"/>
            </w:rPr>
          </w:pPr>
          <w:hyperlink w:anchor="_Toc54274816" w:history="1">
            <w:r w:rsidR="00983F73" w:rsidRPr="00671338">
              <w:rPr>
                <w:rStyle w:val="Hyperlink"/>
                <w:b/>
                <w:bCs/>
                <w:noProof/>
              </w:rPr>
              <w:t>6. CONCLUSION</w:t>
            </w:r>
            <w:r w:rsidR="00983F73">
              <w:rPr>
                <w:noProof/>
                <w:webHidden/>
              </w:rPr>
              <w:tab/>
            </w:r>
            <w:r w:rsidR="00983F73">
              <w:rPr>
                <w:noProof/>
                <w:webHidden/>
              </w:rPr>
              <w:fldChar w:fldCharType="begin"/>
            </w:r>
            <w:r w:rsidR="00983F73">
              <w:rPr>
                <w:noProof/>
                <w:webHidden/>
              </w:rPr>
              <w:instrText xml:space="preserve"> PAGEREF _Toc54274816 \h </w:instrText>
            </w:r>
            <w:r w:rsidR="00983F73">
              <w:rPr>
                <w:noProof/>
                <w:webHidden/>
              </w:rPr>
            </w:r>
            <w:r w:rsidR="00983F73">
              <w:rPr>
                <w:noProof/>
                <w:webHidden/>
              </w:rPr>
              <w:fldChar w:fldCharType="separate"/>
            </w:r>
            <w:r w:rsidR="00983F73">
              <w:rPr>
                <w:noProof/>
                <w:webHidden/>
              </w:rPr>
              <w:t>54</w:t>
            </w:r>
            <w:r w:rsidR="00983F73">
              <w:rPr>
                <w:noProof/>
                <w:webHidden/>
              </w:rPr>
              <w:fldChar w:fldCharType="end"/>
            </w:r>
          </w:hyperlink>
        </w:p>
        <w:p w14:paraId="5D5A5CB8" w14:textId="29BE5918" w:rsidR="00983F73" w:rsidRDefault="00722F9A">
          <w:pPr>
            <w:pStyle w:val="TOC1"/>
            <w:tabs>
              <w:tab w:val="right" w:leader="dot" w:pos="9060"/>
            </w:tabs>
            <w:rPr>
              <w:rFonts w:eastAsiaTheme="minorEastAsia"/>
              <w:noProof/>
              <w:lang w:eastAsia="en-GB"/>
            </w:rPr>
          </w:pPr>
          <w:hyperlink w:anchor="_Toc54274817" w:history="1">
            <w:r w:rsidR="00983F73" w:rsidRPr="00671338">
              <w:rPr>
                <w:rStyle w:val="Hyperlink"/>
                <w:b/>
                <w:bCs/>
                <w:noProof/>
              </w:rPr>
              <w:t>7. REFERENCES</w:t>
            </w:r>
            <w:r w:rsidR="00983F73">
              <w:rPr>
                <w:noProof/>
                <w:webHidden/>
              </w:rPr>
              <w:tab/>
            </w:r>
            <w:r w:rsidR="00983F73">
              <w:rPr>
                <w:noProof/>
                <w:webHidden/>
              </w:rPr>
              <w:fldChar w:fldCharType="begin"/>
            </w:r>
            <w:r w:rsidR="00983F73">
              <w:rPr>
                <w:noProof/>
                <w:webHidden/>
              </w:rPr>
              <w:instrText xml:space="preserve"> PAGEREF _Toc54274817 \h </w:instrText>
            </w:r>
            <w:r w:rsidR="00983F73">
              <w:rPr>
                <w:noProof/>
                <w:webHidden/>
              </w:rPr>
            </w:r>
            <w:r w:rsidR="00983F73">
              <w:rPr>
                <w:noProof/>
                <w:webHidden/>
              </w:rPr>
              <w:fldChar w:fldCharType="separate"/>
            </w:r>
            <w:r w:rsidR="00983F73">
              <w:rPr>
                <w:noProof/>
                <w:webHidden/>
              </w:rPr>
              <w:t>56</w:t>
            </w:r>
            <w:r w:rsidR="00983F73">
              <w:rPr>
                <w:noProof/>
                <w:webHidden/>
              </w:rPr>
              <w:fldChar w:fldCharType="end"/>
            </w:r>
          </w:hyperlink>
        </w:p>
        <w:p w14:paraId="0DBBD94B" w14:textId="6EA3E5F1" w:rsidR="00826FA5" w:rsidRPr="00E10B6E" w:rsidRDefault="00826FA5">
          <w:r w:rsidRPr="00E10B6E">
            <w:rPr>
              <w:noProof/>
            </w:rPr>
            <w:fldChar w:fldCharType="end"/>
          </w:r>
        </w:p>
      </w:sdtContent>
    </w:sdt>
    <w:p w14:paraId="4DE66169" w14:textId="77777777" w:rsidR="00296A1A" w:rsidRPr="00E10B6E" w:rsidRDefault="00296A1A">
      <w:pPr>
        <w:rPr>
          <w:rFonts w:asciiTheme="majorHAnsi" w:eastAsiaTheme="majorEastAsia" w:hAnsiTheme="majorHAnsi" w:cstheme="majorBidi"/>
          <w:b/>
          <w:bCs/>
          <w:color w:val="2F5496" w:themeColor="accent1" w:themeShade="BF"/>
          <w:sz w:val="40"/>
          <w:szCs w:val="40"/>
        </w:rPr>
      </w:pPr>
      <w:r w:rsidRPr="00E10B6E">
        <w:rPr>
          <w:b/>
          <w:bCs/>
          <w:sz w:val="40"/>
          <w:szCs w:val="40"/>
        </w:rPr>
        <w:br w:type="page"/>
      </w:r>
    </w:p>
    <w:p w14:paraId="10D93589" w14:textId="54E07F28" w:rsidR="00296A1A" w:rsidRPr="00E10B6E" w:rsidRDefault="00296A1A" w:rsidP="0078694D">
      <w:pPr>
        <w:pStyle w:val="Heading1"/>
        <w:spacing w:before="480"/>
        <w:rPr>
          <w:b/>
          <w:bCs/>
          <w:sz w:val="40"/>
          <w:szCs w:val="40"/>
        </w:rPr>
      </w:pPr>
      <w:bookmarkStart w:id="1" w:name="_Toc54274773"/>
      <w:r w:rsidRPr="00E10B6E">
        <w:rPr>
          <w:b/>
          <w:bCs/>
          <w:sz w:val="40"/>
          <w:szCs w:val="40"/>
        </w:rPr>
        <w:lastRenderedPageBreak/>
        <w:t>List of abbreviations</w:t>
      </w:r>
      <w:bookmarkEnd w:id="1"/>
    </w:p>
    <w:p w14:paraId="4A110430" w14:textId="77777777" w:rsidR="005D17B5" w:rsidRPr="00E10B6E" w:rsidRDefault="005D17B5" w:rsidP="005D17B5">
      <w:r w:rsidRPr="00E10B6E">
        <w:t>BAT</w:t>
      </w:r>
      <w:r w:rsidRPr="00E10B6E">
        <w:tab/>
      </w:r>
      <w:r w:rsidRPr="00E10B6E">
        <w:tab/>
        <w:t>Best Available Technique</w:t>
      </w:r>
    </w:p>
    <w:p w14:paraId="09DA76E3" w14:textId="77777777" w:rsidR="005D17B5" w:rsidRPr="00E10B6E" w:rsidRDefault="005D17B5" w:rsidP="005D17B5">
      <w:r w:rsidRPr="00E10B6E">
        <w:t>CAPEX</w:t>
      </w:r>
      <w:r w:rsidRPr="00E10B6E">
        <w:tab/>
      </w:r>
      <w:r w:rsidRPr="00E10B6E">
        <w:tab/>
        <w:t>Capital Expenditures</w:t>
      </w:r>
    </w:p>
    <w:p w14:paraId="1D0FA6F4" w14:textId="77777777" w:rsidR="005D17B5" w:rsidRPr="00E10B6E" w:rsidRDefault="005D17B5" w:rsidP="005D17B5">
      <w:r w:rsidRPr="00E10B6E">
        <w:t>CCS</w:t>
      </w:r>
      <w:r w:rsidRPr="00E10B6E">
        <w:tab/>
      </w:r>
      <w:r w:rsidRPr="00E10B6E">
        <w:tab/>
        <w:t>Carbon Capture and Storage</w:t>
      </w:r>
    </w:p>
    <w:p w14:paraId="7C8492DD" w14:textId="77777777" w:rsidR="005D17B5" w:rsidRPr="00E10B6E" w:rsidRDefault="005D17B5" w:rsidP="005D17B5">
      <w:r w:rsidRPr="00E10B6E">
        <w:t>CCU</w:t>
      </w:r>
      <w:r w:rsidRPr="00E10B6E">
        <w:tab/>
      </w:r>
      <w:r w:rsidRPr="00E10B6E">
        <w:tab/>
        <w:t>Carbon Capture and Utilization</w:t>
      </w:r>
    </w:p>
    <w:p w14:paraId="05031948" w14:textId="77777777" w:rsidR="005D17B5" w:rsidRPr="00E10B6E" w:rsidRDefault="005D17B5" w:rsidP="005D17B5">
      <w:r w:rsidRPr="00E10B6E">
        <w:t>CHP</w:t>
      </w:r>
      <w:r w:rsidRPr="00E10B6E">
        <w:tab/>
      </w:r>
      <w:r w:rsidRPr="00E10B6E">
        <w:tab/>
        <w:t>Combined Heat and Power</w:t>
      </w:r>
    </w:p>
    <w:p w14:paraId="62ED8F55" w14:textId="77777777" w:rsidR="005D17B5" w:rsidRPr="00E10B6E" w:rsidRDefault="005D17B5" w:rsidP="005D17B5">
      <w:r w:rsidRPr="00E10B6E">
        <w:t>CO</w:t>
      </w:r>
      <w:r w:rsidRPr="00E10B6E">
        <w:tab/>
      </w:r>
      <w:r w:rsidRPr="00E10B6E">
        <w:tab/>
        <w:t>Carbon Monoxide</w:t>
      </w:r>
    </w:p>
    <w:p w14:paraId="4EA0A837" w14:textId="77777777" w:rsidR="005D17B5" w:rsidRPr="00E10B6E" w:rsidRDefault="005D17B5" w:rsidP="005D17B5">
      <w:r w:rsidRPr="00E10B6E">
        <w:t>CO2</w:t>
      </w:r>
      <w:r w:rsidRPr="00E10B6E">
        <w:tab/>
      </w:r>
      <w:r w:rsidRPr="00E10B6E">
        <w:tab/>
        <w:t>Carbon Dioxide</w:t>
      </w:r>
    </w:p>
    <w:p w14:paraId="046214E2" w14:textId="77777777" w:rsidR="005D17B5" w:rsidRPr="00E10B6E" w:rsidRDefault="005D17B5" w:rsidP="005D17B5">
      <w:r w:rsidRPr="00E10B6E">
        <w:t>EEI</w:t>
      </w:r>
      <w:r w:rsidRPr="00E10B6E">
        <w:tab/>
      </w:r>
      <w:r w:rsidRPr="00E10B6E">
        <w:tab/>
        <w:t>Energy Efficiency Improvement</w:t>
      </w:r>
    </w:p>
    <w:p w14:paraId="41C7DFD8" w14:textId="77777777" w:rsidR="005D17B5" w:rsidRPr="00E10B6E" w:rsidRDefault="005D17B5" w:rsidP="005D17B5">
      <w:r w:rsidRPr="00E10B6E">
        <w:t>EFA</w:t>
      </w:r>
      <w:r w:rsidRPr="00E10B6E">
        <w:tab/>
      </w:r>
      <w:r w:rsidRPr="00E10B6E">
        <w:tab/>
        <w:t>Energy Flow Analysis</w:t>
      </w:r>
    </w:p>
    <w:p w14:paraId="2BE32EB9" w14:textId="77777777" w:rsidR="005D17B5" w:rsidRPr="00E10B6E" w:rsidRDefault="005D17B5" w:rsidP="005D17B5">
      <w:r w:rsidRPr="00E10B6E">
        <w:t>EU ETS</w:t>
      </w:r>
      <w:r w:rsidRPr="00E10B6E">
        <w:tab/>
      </w:r>
      <w:r w:rsidRPr="00E10B6E">
        <w:tab/>
        <w:t>European Union Emission Trading System</w:t>
      </w:r>
    </w:p>
    <w:p w14:paraId="45842D19" w14:textId="77777777" w:rsidR="005D17B5" w:rsidRPr="00E10B6E" w:rsidRDefault="005D17B5" w:rsidP="005D17B5">
      <w:r w:rsidRPr="00E10B6E">
        <w:t>GHG</w:t>
      </w:r>
      <w:r w:rsidRPr="00E10B6E">
        <w:tab/>
      </w:r>
      <w:r w:rsidRPr="00E10B6E">
        <w:tab/>
        <w:t>Greenhouse Gases</w:t>
      </w:r>
    </w:p>
    <w:p w14:paraId="7AC2F344" w14:textId="77777777" w:rsidR="005D17B5" w:rsidRPr="00E10B6E" w:rsidRDefault="005D17B5" w:rsidP="005D17B5">
      <w:r w:rsidRPr="00E10B6E">
        <w:t>GWP</w:t>
      </w:r>
      <w:r w:rsidRPr="00E10B6E">
        <w:tab/>
      </w:r>
      <w:r w:rsidRPr="00E10B6E">
        <w:tab/>
        <w:t>Global Warming Potential</w:t>
      </w:r>
    </w:p>
    <w:p w14:paraId="23FB7A15" w14:textId="77777777" w:rsidR="005D17B5" w:rsidRPr="00E10B6E" w:rsidRDefault="005D17B5" w:rsidP="005D17B5">
      <w:r w:rsidRPr="00E10B6E">
        <w:t>HDPE</w:t>
      </w:r>
      <w:r w:rsidRPr="00E10B6E">
        <w:tab/>
      </w:r>
      <w:r w:rsidRPr="00E10B6E">
        <w:tab/>
        <w:t>High-density Polyethylene</w:t>
      </w:r>
    </w:p>
    <w:p w14:paraId="01872D35" w14:textId="77777777" w:rsidR="005D17B5" w:rsidRPr="00E10B6E" w:rsidRDefault="005D17B5" w:rsidP="005D17B5">
      <w:r w:rsidRPr="00E10B6E">
        <w:t>IHP</w:t>
      </w:r>
      <w:r w:rsidRPr="00E10B6E">
        <w:tab/>
      </w:r>
      <w:r w:rsidRPr="00E10B6E">
        <w:tab/>
        <w:t>Industrial Heat Pump</w:t>
      </w:r>
    </w:p>
    <w:p w14:paraId="39DDF8DC" w14:textId="77777777" w:rsidR="005D17B5" w:rsidRPr="00E10B6E" w:rsidRDefault="005D17B5" w:rsidP="005D17B5">
      <w:r w:rsidRPr="00E10B6E">
        <w:t>LDPE</w:t>
      </w:r>
      <w:r w:rsidRPr="00E10B6E">
        <w:tab/>
      </w:r>
      <w:r w:rsidRPr="00E10B6E">
        <w:tab/>
        <w:t>Low-density Polyethylene</w:t>
      </w:r>
    </w:p>
    <w:p w14:paraId="13A0E904" w14:textId="77777777" w:rsidR="005D17B5" w:rsidRPr="00E10B6E" w:rsidRDefault="005D17B5" w:rsidP="005D17B5">
      <w:r w:rsidRPr="00E10B6E">
        <w:t>LLDPE</w:t>
      </w:r>
      <w:r w:rsidRPr="00E10B6E">
        <w:tab/>
      </w:r>
      <w:r w:rsidRPr="00E10B6E">
        <w:tab/>
        <w:t>Linear Low-density Polyethylene</w:t>
      </w:r>
    </w:p>
    <w:p w14:paraId="1F17FC45" w14:textId="77777777" w:rsidR="005D17B5" w:rsidRPr="00E10B6E" w:rsidRDefault="005D17B5" w:rsidP="005D17B5">
      <w:r w:rsidRPr="00E10B6E">
        <w:t>MFA</w:t>
      </w:r>
      <w:r w:rsidRPr="00E10B6E">
        <w:tab/>
      </w:r>
      <w:r w:rsidRPr="00E10B6E">
        <w:tab/>
        <w:t>Material Flow Analysis</w:t>
      </w:r>
    </w:p>
    <w:p w14:paraId="7635B748" w14:textId="77777777" w:rsidR="005D17B5" w:rsidRPr="00E10B6E" w:rsidRDefault="005D17B5" w:rsidP="005D17B5">
      <w:r w:rsidRPr="00E10B6E">
        <w:t>MSF</w:t>
      </w:r>
      <w:r w:rsidRPr="00E10B6E">
        <w:tab/>
      </w:r>
      <w:r w:rsidRPr="00E10B6E">
        <w:tab/>
        <w:t>Municipal Solid Waste</w:t>
      </w:r>
    </w:p>
    <w:p w14:paraId="05C54BA8" w14:textId="77777777" w:rsidR="005D17B5" w:rsidRPr="00E10B6E" w:rsidRDefault="005D17B5" w:rsidP="005D17B5">
      <w:r w:rsidRPr="00E10B6E">
        <w:t>MTO</w:t>
      </w:r>
      <w:r w:rsidRPr="00E10B6E">
        <w:tab/>
      </w:r>
      <w:r w:rsidRPr="00E10B6E">
        <w:tab/>
        <w:t>Methanol-to-Olefins</w:t>
      </w:r>
    </w:p>
    <w:p w14:paraId="7CF4214D" w14:textId="77777777" w:rsidR="005D17B5" w:rsidRPr="00E10B6E" w:rsidRDefault="005D17B5" w:rsidP="005D17B5">
      <w:r w:rsidRPr="00E10B6E">
        <w:t>MIDDEN</w:t>
      </w:r>
      <w:r w:rsidRPr="00E10B6E">
        <w:tab/>
        <w:t>Manufacturing Industry Decarbonisation Data Exchange Network</w:t>
      </w:r>
    </w:p>
    <w:p w14:paraId="3CAE8CCC" w14:textId="77777777" w:rsidR="005D17B5" w:rsidRPr="00E10B6E" w:rsidRDefault="005D17B5" w:rsidP="005D17B5">
      <w:r w:rsidRPr="00E10B6E">
        <w:t>NEa</w:t>
      </w:r>
      <w:r w:rsidRPr="00E10B6E">
        <w:tab/>
      </w:r>
      <w:r w:rsidRPr="00E10B6E">
        <w:tab/>
        <w:t>Dutch Emission Authority (Nederlandse Emissieautoriteit)</w:t>
      </w:r>
    </w:p>
    <w:p w14:paraId="0F5C3179" w14:textId="77777777" w:rsidR="005D17B5" w:rsidRPr="00E10B6E" w:rsidRDefault="005D17B5" w:rsidP="005D17B5">
      <w:r w:rsidRPr="00E10B6E">
        <w:t>NOX</w:t>
      </w:r>
      <w:r w:rsidRPr="00E10B6E">
        <w:tab/>
      </w:r>
      <w:r w:rsidRPr="00E10B6E">
        <w:tab/>
        <w:t>Nitrogen Oxides</w:t>
      </w:r>
    </w:p>
    <w:p w14:paraId="5EE2ADBF" w14:textId="77777777" w:rsidR="005D17B5" w:rsidRPr="00E10B6E" w:rsidRDefault="005D17B5" w:rsidP="005D17B5">
      <w:r w:rsidRPr="00E10B6E">
        <w:t>OPEX</w:t>
      </w:r>
      <w:r w:rsidRPr="00E10B6E">
        <w:tab/>
      </w:r>
      <w:r w:rsidRPr="00E10B6E">
        <w:tab/>
        <w:t>Operating Expenditures</w:t>
      </w:r>
    </w:p>
    <w:p w14:paraId="39305A78" w14:textId="77777777" w:rsidR="005D17B5" w:rsidRPr="00E10B6E" w:rsidRDefault="005D17B5" w:rsidP="005D17B5">
      <w:r w:rsidRPr="00E10B6E">
        <w:t>PE</w:t>
      </w:r>
      <w:r w:rsidRPr="00E10B6E">
        <w:tab/>
      </w:r>
      <w:r w:rsidRPr="00E10B6E">
        <w:tab/>
        <w:t>Polyethylene</w:t>
      </w:r>
    </w:p>
    <w:p w14:paraId="0F0B7E85" w14:textId="77777777" w:rsidR="005D17B5" w:rsidRPr="00E10B6E" w:rsidRDefault="005D17B5" w:rsidP="005D17B5">
      <w:r w:rsidRPr="00E10B6E">
        <w:t>PP</w:t>
      </w:r>
      <w:r w:rsidRPr="00E10B6E">
        <w:tab/>
      </w:r>
      <w:r w:rsidRPr="00E10B6E">
        <w:tab/>
        <w:t>Polypropylene</w:t>
      </w:r>
    </w:p>
    <w:p w14:paraId="47016E63" w14:textId="77777777" w:rsidR="005D17B5" w:rsidRPr="00E10B6E" w:rsidRDefault="005D17B5" w:rsidP="005D17B5">
      <w:r w:rsidRPr="00E10B6E">
        <w:t>PV</w:t>
      </w:r>
      <w:r w:rsidRPr="00E10B6E">
        <w:tab/>
      </w:r>
      <w:r w:rsidRPr="00E10B6E">
        <w:tab/>
        <w:t>Photovoltaic</w:t>
      </w:r>
    </w:p>
    <w:p w14:paraId="1CF49D0A" w14:textId="77777777" w:rsidR="005D17B5" w:rsidRPr="00E10B6E" w:rsidRDefault="005D17B5" w:rsidP="005D17B5">
      <w:r w:rsidRPr="00E10B6E">
        <w:t>TRL</w:t>
      </w:r>
      <w:r w:rsidRPr="00E10B6E">
        <w:tab/>
      </w:r>
      <w:r w:rsidRPr="00E10B6E">
        <w:tab/>
        <w:t>Technology Readiness Level</w:t>
      </w:r>
    </w:p>
    <w:p w14:paraId="07B2E1C2" w14:textId="6F3950A3" w:rsidR="00296A1A" w:rsidRPr="00E10B6E" w:rsidRDefault="005D17B5" w:rsidP="005D17B5">
      <w:pPr>
        <w:rPr>
          <w:rFonts w:asciiTheme="majorHAnsi" w:eastAsiaTheme="majorEastAsia" w:hAnsiTheme="majorHAnsi" w:cstheme="majorBidi"/>
          <w:color w:val="2F5496" w:themeColor="accent1" w:themeShade="BF"/>
        </w:rPr>
      </w:pPr>
      <w:r w:rsidRPr="00E10B6E">
        <w:t>WGS</w:t>
      </w:r>
      <w:r w:rsidRPr="00E10B6E">
        <w:tab/>
      </w:r>
      <w:r w:rsidRPr="00E10B6E">
        <w:tab/>
        <w:t>Water-Gas Shift</w:t>
      </w:r>
      <w:r w:rsidR="00296A1A" w:rsidRPr="00E10B6E">
        <w:br w:type="page"/>
      </w:r>
    </w:p>
    <w:p w14:paraId="4DFB1B75" w14:textId="77E783A9" w:rsidR="000D41E0" w:rsidRPr="00E10B6E" w:rsidRDefault="00AF5902" w:rsidP="0078694D">
      <w:pPr>
        <w:pStyle w:val="Heading1"/>
        <w:spacing w:before="480"/>
        <w:rPr>
          <w:b/>
          <w:bCs/>
          <w:sz w:val="40"/>
          <w:szCs w:val="40"/>
        </w:rPr>
      </w:pPr>
      <w:bookmarkStart w:id="2" w:name="_Toc54274774"/>
      <w:r w:rsidRPr="00E10B6E">
        <w:rPr>
          <w:b/>
          <w:bCs/>
          <w:sz w:val="40"/>
          <w:szCs w:val="40"/>
        </w:rPr>
        <w:lastRenderedPageBreak/>
        <w:t>1</w:t>
      </w:r>
      <w:r w:rsidR="001C1D78" w:rsidRPr="00E10B6E">
        <w:rPr>
          <w:b/>
          <w:bCs/>
          <w:sz w:val="40"/>
          <w:szCs w:val="40"/>
        </w:rPr>
        <w:t>.</w:t>
      </w:r>
      <w:r w:rsidRPr="00E10B6E">
        <w:rPr>
          <w:b/>
          <w:bCs/>
          <w:sz w:val="40"/>
          <w:szCs w:val="40"/>
        </w:rPr>
        <w:t xml:space="preserve"> INTRODUCTION</w:t>
      </w:r>
      <w:bookmarkEnd w:id="2"/>
    </w:p>
    <w:p w14:paraId="7C8C0A24" w14:textId="79D97FDE" w:rsidR="000D41E0" w:rsidRPr="00E10B6E" w:rsidRDefault="00934B8D" w:rsidP="0015424F">
      <w:pPr>
        <w:pStyle w:val="Heading2"/>
      </w:pPr>
      <w:bookmarkStart w:id="3" w:name="_Toc54274775"/>
      <w:r w:rsidRPr="00E10B6E">
        <w:t xml:space="preserve">1.1 </w:t>
      </w:r>
      <w:r w:rsidR="0015424F" w:rsidRPr="00E10B6E">
        <w:t>Societal background and problem definition</w:t>
      </w:r>
      <w:bookmarkEnd w:id="3"/>
    </w:p>
    <w:p w14:paraId="161E763C" w14:textId="43A04BD7" w:rsidR="00DF4E56" w:rsidRPr="00E10B6E" w:rsidRDefault="00085BD5" w:rsidP="0049354B">
      <w:pPr>
        <w:jc w:val="both"/>
      </w:pPr>
      <w:r w:rsidRPr="00E10B6E">
        <w:t>In the last decades, planet Earth and human society</w:t>
      </w:r>
      <w:r w:rsidR="00986826" w:rsidRPr="00E10B6E">
        <w:t xml:space="preserve"> have experimented tremendous changes</w:t>
      </w:r>
      <w:r w:rsidR="001F0E0E" w:rsidRPr="00E10B6E">
        <w:t xml:space="preserve">, with </w:t>
      </w:r>
      <w:r w:rsidR="00323AA4" w:rsidRPr="00E10B6E">
        <w:t>t</w:t>
      </w:r>
      <w:r w:rsidR="008008B6" w:rsidRPr="00E10B6E">
        <w:t xml:space="preserve">he world population </w:t>
      </w:r>
      <w:r w:rsidR="00E65C45" w:rsidRPr="00E10B6E">
        <w:t>growing</w:t>
      </w:r>
      <w:r w:rsidR="008008B6" w:rsidRPr="00E10B6E">
        <w:t xml:space="preserve"> by 4</w:t>
      </w:r>
      <w:r w:rsidR="00F62335" w:rsidRPr="00E10B6E">
        <w:t>2</w:t>
      </w:r>
      <w:r w:rsidR="008008B6" w:rsidRPr="00E10B6E">
        <w:t>%</w:t>
      </w:r>
      <w:r w:rsidR="00922A6F" w:rsidRPr="00E10B6E">
        <w:t xml:space="preserve"> </w:t>
      </w:r>
      <w:r w:rsidR="00922A6F" w:rsidRPr="00E10B6E">
        <w:fldChar w:fldCharType="begin" w:fldLock="1"/>
      </w:r>
      <w:r w:rsidR="00B44428" w:rsidRPr="00E10B6E">
        <w:instrText>ADDIN CSL_CITATION {"citationItems":[{"id":"ITEM-1","itemData":{"URL":"https://data.worldbank.org","accessed":{"date-parts":[["2020","3","9"]]},"author":[{"dropping-particle":"","family":"World Bank","given":"","non-dropping-particle":"","parse-names":false,"suffix":""}],"id":"ITEM-1","issued":{"date-parts":[["2020"]]},"title":"World Bank Open Data","type":"webpage"},"uris":["http://www.mendeley.com/documents/?uuid=3f0a95bb-ef64-412c-815d-60214851288e"]}],"mendeley":{"formattedCitation":"(World Bank, 2020)","plainTextFormattedCitation":"(World Bank, 2020)","previouslyFormattedCitation":"(World Bank, 2020)"},"properties":{"noteIndex":0},"schema":"https://github.com/citation-style-language/schema/raw/master/csl-citation.json"}</w:instrText>
      </w:r>
      <w:r w:rsidR="00922A6F" w:rsidRPr="00E10B6E">
        <w:fldChar w:fldCharType="separate"/>
      </w:r>
      <w:r w:rsidR="00922A6F" w:rsidRPr="00E10B6E">
        <w:rPr>
          <w:noProof/>
        </w:rPr>
        <w:t>(World Bank, 2020)</w:t>
      </w:r>
      <w:r w:rsidR="00922A6F" w:rsidRPr="00E10B6E">
        <w:fldChar w:fldCharType="end"/>
      </w:r>
      <w:r w:rsidR="008008B6" w:rsidRPr="00E10B6E">
        <w:t xml:space="preserve">, the final consumption of energy </w:t>
      </w:r>
      <w:r w:rsidR="00986826" w:rsidRPr="00E10B6E">
        <w:t>increas</w:t>
      </w:r>
      <w:r w:rsidR="001F0E0E" w:rsidRPr="00E10B6E">
        <w:t>ing</w:t>
      </w:r>
      <w:r w:rsidR="00986826" w:rsidRPr="00E10B6E">
        <w:t xml:space="preserve"> </w:t>
      </w:r>
      <w:r w:rsidR="008008B6" w:rsidRPr="00E10B6E">
        <w:t>by 5</w:t>
      </w:r>
      <w:r w:rsidR="00323AA4" w:rsidRPr="00E10B6E">
        <w:t>1</w:t>
      </w:r>
      <w:r w:rsidR="008008B6" w:rsidRPr="00E10B6E">
        <w:t>%, and CO2 emissions</w:t>
      </w:r>
      <w:r w:rsidR="00986826" w:rsidRPr="00E10B6E">
        <w:t xml:space="preserve"> </w:t>
      </w:r>
      <w:r w:rsidR="00E65C45" w:rsidRPr="00E10B6E">
        <w:t>rising</w:t>
      </w:r>
      <w:r w:rsidR="008008B6" w:rsidRPr="00E10B6E">
        <w:t xml:space="preserve"> by 58%</w:t>
      </w:r>
      <w:r w:rsidR="00922A6F" w:rsidRPr="00E10B6E">
        <w:t xml:space="preserve"> </w:t>
      </w:r>
      <w:r w:rsidR="00922A6F" w:rsidRPr="00E10B6E">
        <w:fldChar w:fldCharType="begin" w:fldLock="1"/>
      </w:r>
      <w:r w:rsidR="00B44428" w:rsidRPr="00E10B6E">
        <w:instrText>ADDIN CSL_CITATION {"citationItems":[{"id":"ITEM-1","itemData":{"URL":"https://www.iea.org/data-and-statistics?","accessed":{"date-parts":[["2020","3","9"]]},"author":[{"dropping-particle":"","family":"IEA","given":"","non-dropping-particle":"","parse-names":false,"suffix":""}],"id":"ITEM-1","issued":{"date-parts":[["2020"]]},"title":"Data &amp; Statistics","type":"webpage"},"uris":["http://www.mendeley.com/documents/?uuid=24ab1a49-4f4f-4ada-927b-8757bfee59f4"]}],"mendeley":{"formattedCitation":"(IEA, 2020)","plainTextFormattedCitation":"(IEA, 2020)","previouslyFormattedCitation":"(IEA, 2020)"},"properties":{"noteIndex":0},"schema":"https://github.com/citation-style-language/schema/raw/master/csl-citation.json"}</w:instrText>
      </w:r>
      <w:r w:rsidR="00922A6F" w:rsidRPr="00E10B6E">
        <w:fldChar w:fldCharType="separate"/>
      </w:r>
      <w:r w:rsidR="00922A6F" w:rsidRPr="00E10B6E">
        <w:rPr>
          <w:noProof/>
        </w:rPr>
        <w:t>(IEA, 2020)</w:t>
      </w:r>
      <w:r w:rsidR="00922A6F" w:rsidRPr="00E10B6E">
        <w:fldChar w:fldCharType="end"/>
      </w:r>
      <w:r w:rsidR="001F0E0E" w:rsidRPr="00E10B6E">
        <w:t xml:space="preserve"> in the period from 1990 to 2017</w:t>
      </w:r>
      <w:r w:rsidR="008008B6" w:rsidRPr="00E10B6E">
        <w:t>.</w:t>
      </w:r>
      <w:r w:rsidR="006A4C46" w:rsidRPr="00E10B6E">
        <w:t xml:space="preserve"> </w:t>
      </w:r>
      <w:r w:rsidR="00A122CA" w:rsidRPr="00E10B6E">
        <w:t xml:space="preserve">This incredible growth </w:t>
      </w:r>
      <w:r w:rsidR="009F6305" w:rsidRPr="00E10B6E">
        <w:t>of human activity</w:t>
      </w:r>
      <w:r w:rsidR="005A4B50" w:rsidRPr="00E10B6E">
        <w:t xml:space="preserve"> </w:t>
      </w:r>
      <w:r w:rsidR="009F6305" w:rsidRPr="00E10B6E">
        <w:t>ha</w:t>
      </w:r>
      <w:r w:rsidR="00B26511" w:rsidRPr="00E10B6E">
        <w:t xml:space="preserve">s </w:t>
      </w:r>
      <w:r w:rsidR="009F6305" w:rsidRPr="00E10B6E">
        <w:t xml:space="preserve">unequivocal </w:t>
      </w:r>
      <w:r w:rsidR="000A655B" w:rsidRPr="00E10B6E">
        <w:t>impact</w:t>
      </w:r>
      <w:r w:rsidR="00E76AEB" w:rsidRPr="00E10B6E">
        <w:t>s</w:t>
      </w:r>
      <w:r w:rsidR="000A655B" w:rsidRPr="00E10B6E">
        <w:t xml:space="preserve"> on the climate system</w:t>
      </w:r>
      <w:r w:rsidR="00B26511" w:rsidRPr="00E10B6E">
        <w:t>,</w:t>
      </w:r>
      <w:r w:rsidR="00F04434" w:rsidRPr="00E10B6E">
        <w:t xml:space="preserve"> and the observed </w:t>
      </w:r>
      <w:r w:rsidR="005A4B50" w:rsidRPr="00E10B6E">
        <w:t xml:space="preserve">environmental </w:t>
      </w:r>
      <w:r w:rsidR="00F04434" w:rsidRPr="00E10B6E">
        <w:t>changes</w:t>
      </w:r>
      <w:r w:rsidR="0033612C" w:rsidRPr="00E10B6E">
        <w:t xml:space="preserve"> </w:t>
      </w:r>
      <w:r w:rsidR="00E76AEB" w:rsidRPr="00E10B6E">
        <w:t>have reached</w:t>
      </w:r>
      <w:r w:rsidR="0033612C" w:rsidRPr="00E10B6E">
        <w:t xml:space="preserve"> unprecedented</w:t>
      </w:r>
      <w:r w:rsidR="00E76AEB" w:rsidRPr="00E10B6E">
        <w:t xml:space="preserve"> magnitudes</w:t>
      </w:r>
      <w:r w:rsidR="0033612C" w:rsidRPr="00E10B6E">
        <w:t xml:space="preserve">. </w:t>
      </w:r>
      <w:r w:rsidR="000A0B5C" w:rsidRPr="00E10B6E">
        <w:t xml:space="preserve">Anthropogenic greenhouse gases </w:t>
      </w:r>
      <w:r w:rsidR="000F4EE7" w:rsidRPr="00E10B6E">
        <w:t xml:space="preserve">(GHG) </w:t>
      </w:r>
      <w:r w:rsidR="000A0B5C" w:rsidRPr="00E10B6E">
        <w:t xml:space="preserve">emissions </w:t>
      </w:r>
      <w:r w:rsidR="00565CCF" w:rsidRPr="00E10B6E">
        <w:t>led</w:t>
      </w:r>
      <w:r w:rsidR="000A0B5C" w:rsidRPr="00E10B6E">
        <w:t xml:space="preserve"> to increasing temperature</w:t>
      </w:r>
      <w:r w:rsidR="004D4F10" w:rsidRPr="00E10B6E">
        <w:t>s</w:t>
      </w:r>
      <w:r w:rsidR="000A0B5C" w:rsidRPr="00E10B6E">
        <w:t xml:space="preserve"> of atmosphere and oceans, and the last 30 years have been the </w:t>
      </w:r>
      <w:r w:rsidR="004B1C37" w:rsidRPr="00E10B6E">
        <w:t xml:space="preserve">warmest of the last 14 centuries, with </w:t>
      </w:r>
      <w:r w:rsidR="00004231" w:rsidRPr="00E10B6E">
        <w:t>most</w:t>
      </w:r>
      <w:r w:rsidR="00974934" w:rsidRPr="00E10B6E">
        <w:t xml:space="preserve"> projections forecasting an increase of 2</w:t>
      </w:r>
      <w:r w:rsidR="00004231" w:rsidRPr="00E10B6E">
        <w:t>-4</w:t>
      </w:r>
      <w:r w:rsidR="00974934" w:rsidRPr="00E10B6E">
        <w:t xml:space="preserve">°C </w:t>
      </w:r>
      <w:r w:rsidR="009065C8" w:rsidRPr="00E10B6E">
        <w:t>in 2100</w:t>
      </w:r>
      <w:r w:rsidR="00922A6F" w:rsidRPr="00E10B6E">
        <w:t xml:space="preserve"> </w:t>
      </w:r>
      <w:r w:rsidR="00922A6F" w:rsidRPr="00E10B6E">
        <w:fldChar w:fldCharType="begin" w:fldLock="1"/>
      </w:r>
      <w:r w:rsidR="00B44428" w:rsidRPr="00E10B6E">
        <w:instrText>ADDIN CSL_CITATION {"citationItems":[{"id":"ITEM-1","itemData":{"author":[{"dropping-particle":"","family":"IPCC","given":"","non-dropping-particle":"","parse-names":false,"suffix":""}],"id":"ITEM-1","issued":{"date-parts":[["2014"]]},"publisher-place":"Geneva","title":"AR5 Synthesis Report: Climate Change 2014","type":"report"},"uris":["http://www.mendeley.com/documents/?uuid=29460044-45b5-4999-aef5-5b4e7f66adbc"]}],"mendeley":{"formattedCitation":"(IPCC, 2014)","plainTextFormattedCitation":"(IPCC, 2014)","previouslyFormattedCitation":"(IPCC, 2014)"},"properties":{"noteIndex":0},"schema":"https://github.com/citation-style-language/schema/raw/master/csl-citation.json"}</w:instrText>
      </w:r>
      <w:r w:rsidR="00922A6F" w:rsidRPr="00E10B6E">
        <w:fldChar w:fldCharType="separate"/>
      </w:r>
      <w:r w:rsidR="00922A6F" w:rsidRPr="00E10B6E">
        <w:rPr>
          <w:noProof/>
        </w:rPr>
        <w:t>(IPCC, 2014)</w:t>
      </w:r>
      <w:r w:rsidR="00922A6F" w:rsidRPr="00E10B6E">
        <w:fldChar w:fldCharType="end"/>
      </w:r>
      <w:r w:rsidR="00004231" w:rsidRPr="00E10B6E">
        <w:t>.</w:t>
      </w:r>
      <w:r w:rsidR="009065C8" w:rsidRPr="00E10B6E">
        <w:t xml:space="preserve"> </w:t>
      </w:r>
      <w:r w:rsidR="002F54E9" w:rsidRPr="00E10B6E">
        <w:t xml:space="preserve">The negative effects of climate change </w:t>
      </w:r>
      <w:r w:rsidR="00421C55" w:rsidRPr="00E10B6E">
        <w:t xml:space="preserve">are widespread over all continents and </w:t>
      </w:r>
      <w:r w:rsidR="002F54E9" w:rsidRPr="00E10B6E">
        <w:t xml:space="preserve">include </w:t>
      </w:r>
      <w:r w:rsidR="00565CCF" w:rsidRPr="00E10B6E">
        <w:t xml:space="preserve">the rapid </w:t>
      </w:r>
      <w:r w:rsidR="002F54E9" w:rsidRPr="00E10B6E">
        <w:t xml:space="preserve">increase of heatwaves, floods, droughts, hurricanes, </w:t>
      </w:r>
      <w:r w:rsidR="00210093" w:rsidRPr="00E10B6E">
        <w:t xml:space="preserve">ocean acidification, desertification, </w:t>
      </w:r>
      <w:r w:rsidR="002F54E9" w:rsidRPr="00E10B6E">
        <w:t>the melting of the polar ice caps, and the consequent ris</w:t>
      </w:r>
      <w:r w:rsidR="007B0481" w:rsidRPr="00E10B6E">
        <w:t>e of</w:t>
      </w:r>
      <w:r w:rsidR="002F54E9" w:rsidRPr="00E10B6E">
        <w:t xml:space="preserve"> </w:t>
      </w:r>
      <w:r w:rsidR="00E92579" w:rsidRPr="00E10B6E">
        <w:t xml:space="preserve">the </w:t>
      </w:r>
      <w:r w:rsidR="002F54E9" w:rsidRPr="00E10B6E">
        <w:t>sea level</w:t>
      </w:r>
      <w:r w:rsidR="00922A6F" w:rsidRPr="00E10B6E">
        <w:t xml:space="preserve"> </w:t>
      </w:r>
      <w:r w:rsidR="00922A6F" w:rsidRPr="00E10B6E">
        <w:fldChar w:fldCharType="begin" w:fldLock="1"/>
      </w:r>
      <w:r w:rsidR="00B44428" w:rsidRPr="00E10B6E">
        <w:instrText>ADDIN CSL_CITATION {"citationItems":[{"id":"ITEM-1","itemData":{"URL":"https://climate.nasa.gov/effects/","accessed":{"date-parts":[["2020","3","9"]]},"author":[{"dropping-particle":"","family":"NASA","given":"","non-dropping-particle":"","parse-names":false,"suffix":""}],"id":"ITEM-1","issued":{"date-parts":[["2020"]]},"title":"Effects | Facts – Climate Change: Vital Signs of the Planet","type":"webpage"},"uris":["http://www.mendeley.com/documents/?uuid=56c6e3c3-16c4-4365-af32-45937e987041"]}],"mendeley":{"formattedCitation":"(NASA, 2020)","plainTextFormattedCitation":"(NASA, 2020)","previouslyFormattedCitation":"(NASA, 2020)"},"properties":{"noteIndex":0},"schema":"https://github.com/citation-style-language/schema/raw/master/csl-citation.json"}</w:instrText>
      </w:r>
      <w:r w:rsidR="00922A6F" w:rsidRPr="00E10B6E">
        <w:fldChar w:fldCharType="separate"/>
      </w:r>
      <w:r w:rsidR="00922A6F" w:rsidRPr="00E10B6E">
        <w:rPr>
          <w:noProof/>
        </w:rPr>
        <w:t>(NASA, 2020)</w:t>
      </w:r>
      <w:r w:rsidR="00922A6F" w:rsidRPr="00E10B6E">
        <w:fldChar w:fldCharType="end"/>
      </w:r>
      <w:r w:rsidR="003C5100" w:rsidRPr="00E10B6E">
        <w:t>, w</w:t>
      </w:r>
      <w:r w:rsidR="00E92579" w:rsidRPr="00E10B6E">
        <w:t>hich is</w:t>
      </w:r>
      <w:r w:rsidR="003C5100" w:rsidRPr="00E10B6E">
        <w:t xml:space="preserve"> forecast</w:t>
      </w:r>
      <w:r w:rsidR="00E92579" w:rsidRPr="00E10B6E">
        <w:t xml:space="preserve">ed to </w:t>
      </w:r>
      <w:r w:rsidR="006D2C64" w:rsidRPr="00E10B6E">
        <w:t xml:space="preserve">grow between </w:t>
      </w:r>
      <w:r w:rsidR="003C5100" w:rsidRPr="00E10B6E">
        <w:t xml:space="preserve">0.3 </w:t>
      </w:r>
      <w:r w:rsidR="006D2C64" w:rsidRPr="00E10B6E">
        <w:t>and</w:t>
      </w:r>
      <w:r w:rsidR="003C5100" w:rsidRPr="00E10B6E">
        <w:t xml:space="preserve"> 1.0</w:t>
      </w:r>
      <w:r w:rsidR="009065C8" w:rsidRPr="00E10B6E">
        <w:t xml:space="preserve"> meters before the end of the century</w:t>
      </w:r>
      <w:r w:rsidR="00922A6F" w:rsidRPr="00E10B6E">
        <w:t xml:space="preserve"> </w:t>
      </w:r>
      <w:r w:rsidR="00922A6F" w:rsidRPr="00E10B6E">
        <w:fldChar w:fldCharType="begin" w:fldLock="1"/>
      </w:r>
      <w:r w:rsidR="00B44428" w:rsidRPr="00E10B6E">
        <w:instrText>ADDIN CSL_CITATION {"citationItems":[{"id":"ITEM-1","itemData":{"author":[{"dropping-particle":"","family":"IPCC","given":"","non-dropping-particle":"","parse-names":false,"suffix":""}],"id":"ITEM-1","issued":{"date-parts":[["2014"]]},"publisher-place":"Geneva","title":"AR5 Synthesis Report: Climate Change 2014","type":"report"},"uris":["http://www.mendeley.com/documents/?uuid=29460044-45b5-4999-aef5-5b4e7f66adbc"]}],"mendeley":{"formattedCitation":"(IPCC, 2014)","plainTextFormattedCitation":"(IPCC, 2014)","previouslyFormattedCitation":"(IPCC, 2014)"},"properties":{"noteIndex":0},"schema":"https://github.com/citation-style-language/schema/raw/master/csl-citation.json"}</w:instrText>
      </w:r>
      <w:r w:rsidR="00922A6F" w:rsidRPr="00E10B6E">
        <w:fldChar w:fldCharType="separate"/>
      </w:r>
      <w:r w:rsidR="00922A6F" w:rsidRPr="00E10B6E">
        <w:rPr>
          <w:noProof/>
        </w:rPr>
        <w:t>(IPCC, 2014)</w:t>
      </w:r>
      <w:r w:rsidR="00922A6F" w:rsidRPr="00E10B6E">
        <w:fldChar w:fldCharType="end"/>
      </w:r>
      <w:r w:rsidR="002F54E9" w:rsidRPr="00E10B6E">
        <w:t>.</w:t>
      </w:r>
      <w:r w:rsidR="006345F1" w:rsidRPr="00E10B6E">
        <w:t xml:space="preserve"> </w:t>
      </w:r>
      <w:r w:rsidR="00DE59B8" w:rsidRPr="00E10B6E">
        <w:t xml:space="preserve">The worry for the future of mankind has led to the development of environmental sciences and the creation of worldwide </w:t>
      </w:r>
      <w:r w:rsidR="00D5273A" w:rsidRPr="00E10B6E">
        <w:t>treaties</w:t>
      </w:r>
      <w:r w:rsidR="006D2C64" w:rsidRPr="00E10B6E">
        <w:t xml:space="preserve"> like the Kyoto Protocol in 1997</w:t>
      </w:r>
      <w:r w:rsidR="00C466C1" w:rsidRPr="00E10B6E">
        <w:t xml:space="preserve"> and the Paris Agreement in 2016</w:t>
      </w:r>
      <w:r w:rsidR="00D5273A" w:rsidRPr="00E10B6E">
        <w:t xml:space="preserve">, when 196 state parties </w:t>
      </w:r>
      <w:r w:rsidR="00EA71B5" w:rsidRPr="00E10B6E">
        <w:t xml:space="preserve">ratified their common </w:t>
      </w:r>
      <w:r w:rsidR="000F4EE7" w:rsidRPr="00E10B6E">
        <w:t>determination</w:t>
      </w:r>
      <w:r w:rsidR="00EA71B5" w:rsidRPr="00E10B6E">
        <w:t xml:space="preserve"> to </w:t>
      </w:r>
      <w:r w:rsidR="00A104DC" w:rsidRPr="00E10B6E">
        <w:t>reduce GHG emissions and keep the global temperature rise below 2°C</w:t>
      </w:r>
      <w:r w:rsidR="00922A6F" w:rsidRPr="00E10B6E">
        <w:t xml:space="preserve"> </w:t>
      </w:r>
      <w:r w:rsidR="00922A6F" w:rsidRPr="00E10B6E">
        <w:fldChar w:fldCharType="begin" w:fldLock="1"/>
      </w:r>
      <w:r w:rsidR="00B44428" w:rsidRPr="00E10B6E">
        <w:instrText>ADDIN CSL_CITATION {"citationItems":[{"id":"ITEM-1","itemData":{"URL":"https://unfccc.int/process-and-meetings/the-paris-agreement/the-paris-agreement","accessed":{"date-parts":[["2020","3","9"]]},"author":[{"dropping-particle":"","family":"UNFCCC","given":"","non-dropping-particle":"","parse-names":false,"suffix":""}],"id":"ITEM-1","issued":{"date-parts":[["2020"]]},"title":"The Paris Agreement","type":"webpage"},"uris":["http://www.mendeley.com/documents/?uuid=2bb06c9a-d235-4693-9049-dd0cd50e6b7d"]}],"mendeley":{"formattedCitation":"(UNFCCC, 2020)","plainTextFormattedCitation":"(UNFCCC, 2020)","previouslyFormattedCitation":"(UNFCCC, 2020)"},"properties":{"noteIndex":0},"schema":"https://github.com/citation-style-language/schema/raw/master/csl-citation.json"}</w:instrText>
      </w:r>
      <w:r w:rsidR="00922A6F" w:rsidRPr="00E10B6E">
        <w:fldChar w:fldCharType="separate"/>
      </w:r>
      <w:r w:rsidR="00922A6F" w:rsidRPr="00E10B6E">
        <w:rPr>
          <w:noProof/>
        </w:rPr>
        <w:t>(UNFCCC, 2020)</w:t>
      </w:r>
      <w:r w:rsidR="00922A6F" w:rsidRPr="00E10B6E">
        <w:fldChar w:fldCharType="end"/>
      </w:r>
      <w:r w:rsidR="00A104DC" w:rsidRPr="00E10B6E">
        <w:t>.</w:t>
      </w:r>
      <w:r w:rsidR="00795A9E" w:rsidRPr="00E10B6E">
        <w:t xml:space="preserve"> </w:t>
      </w:r>
      <w:r w:rsidR="007D4EB7" w:rsidRPr="00E10B6E">
        <w:t xml:space="preserve">According to </w:t>
      </w:r>
      <w:r w:rsidR="00134464" w:rsidRPr="00E10B6E">
        <w:t>the EU Climate &amp; Energy framework, i</w:t>
      </w:r>
      <w:r w:rsidR="00795A9E" w:rsidRPr="00E10B6E">
        <w:t>n the European Union</w:t>
      </w:r>
      <w:r w:rsidR="00134464" w:rsidRPr="00E10B6E">
        <w:t xml:space="preserve"> </w:t>
      </w:r>
      <w:r w:rsidR="00795A9E" w:rsidRPr="00E10B6E">
        <w:t>this</w:t>
      </w:r>
      <w:r w:rsidR="000F4EE7" w:rsidRPr="00E10B6E">
        <w:t xml:space="preserve"> effort</w:t>
      </w:r>
      <w:r w:rsidR="00795A9E" w:rsidRPr="00E10B6E">
        <w:t xml:space="preserve"> has been quantified </w:t>
      </w:r>
      <w:r w:rsidR="000F4EE7" w:rsidRPr="00E10B6E">
        <w:t>with the</w:t>
      </w:r>
      <w:r w:rsidR="00795A9E" w:rsidRPr="00E10B6E">
        <w:t xml:space="preserve"> target of cutting 40% of GHG</w:t>
      </w:r>
      <w:r w:rsidR="007D4EB7" w:rsidRPr="00E10B6E">
        <w:t xml:space="preserve"> emissions by 2030</w:t>
      </w:r>
      <w:r w:rsidR="00922A6F" w:rsidRPr="00E10B6E">
        <w:t xml:space="preserve"> </w:t>
      </w:r>
      <w:r w:rsidR="00922A6F" w:rsidRPr="00E10B6E">
        <w:fldChar w:fldCharType="begin" w:fldLock="1"/>
      </w:r>
      <w:r w:rsidR="00B44428" w:rsidRPr="00E10B6E">
        <w:instrText>ADDIN CSL_CITATION {"citationItems":[{"id":"ITEM-1","itemData":{"URL":"https://ec.europa.eu/clima/policies/strategies/2030_en","accessed":{"date-parts":[["2020","3","9"]]},"author":[{"dropping-particle":"","family":"European Commission","given":"","non-dropping-particle":"","parse-names":false,"suffix":""}],"id":"ITEM-1","issued":{"date-parts":[["2020"]]},"title":"2030 climate &amp; energy framework | Climate Action","type":"webpage"},"uris":["http://www.mendeley.com/documents/?uuid=84e15ec8-ba6a-411f-a051-c7f748e017e7"]}],"mendeley":{"formattedCitation":"(European Commission, 2020)","plainTextFormattedCitation":"(European Commission, 2020)","previouslyFormattedCitation":"(European Commission, 2020)"},"properties":{"noteIndex":0},"schema":"https://github.com/citation-style-language/schema/raw/master/csl-citation.json"}</w:instrText>
      </w:r>
      <w:r w:rsidR="00922A6F" w:rsidRPr="00E10B6E">
        <w:fldChar w:fldCharType="separate"/>
      </w:r>
      <w:r w:rsidR="00922A6F" w:rsidRPr="00E10B6E">
        <w:rPr>
          <w:noProof/>
        </w:rPr>
        <w:t>(European Commission, 2020)</w:t>
      </w:r>
      <w:r w:rsidR="00922A6F" w:rsidRPr="00E10B6E">
        <w:fldChar w:fldCharType="end"/>
      </w:r>
      <w:r w:rsidR="004429B0" w:rsidRPr="00E10B6E">
        <w:t xml:space="preserve">, and the new European Green Deal </w:t>
      </w:r>
      <w:r w:rsidR="006B1DED" w:rsidRPr="00E10B6E">
        <w:t>has the goal to make the EU climate neutral by 2050, making energy, buildings, industry</w:t>
      </w:r>
      <w:r w:rsidR="004D4F10" w:rsidRPr="00E10B6E">
        <w:t>,</w:t>
      </w:r>
      <w:r w:rsidR="006B1DED" w:rsidRPr="00E10B6E">
        <w:t xml:space="preserve"> and transport</w:t>
      </w:r>
      <w:r w:rsidR="00B665E0" w:rsidRPr="00E10B6E">
        <w:t xml:space="preserve"> sustainable and boosting circular economy </w:t>
      </w:r>
      <w:r w:rsidR="006F37FD" w:rsidRPr="00E10B6E">
        <w:fldChar w:fldCharType="begin" w:fldLock="1"/>
      </w:r>
      <w:r w:rsidR="00B44428" w:rsidRPr="00E10B6E">
        <w:instrText>ADDIN CSL_CITATION {"citationItems":[{"id":"ITEM-1","itemData":{"URL":"https://ec.europa.eu/info/strategy/priorities-2019-2024/european-green-deal_en","accessed":{"date-parts":[["2020","3","17"]]},"author":[{"dropping-particle":"","family":"EU Green Deal","given":"","non-dropping-particle":"","parse-names":false,"suffix":""}],"id":"ITEM-1","issued":{"date-parts":[["2020"]]},"title":"A European Green Deal | European Commission","type":"webpage"},"uris":["http://www.mendeley.com/documents/?uuid=7e693ad4-4783-46e2-b55e-73645641f9a3"]}],"mendeley":{"formattedCitation":"(EU Green Deal, 2020)","plainTextFormattedCitation":"(EU Green Deal, 2020)","previouslyFormattedCitation":"(EU Green Deal, 2020)"},"properties":{"noteIndex":0},"schema":"https://github.com/citation-style-language/schema/raw/master/csl-citation.json"}</w:instrText>
      </w:r>
      <w:r w:rsidR="006F37FD" w:rsidRPr="00E10B6E">
        <w:fldChar w:fldCharType="separate"/>
      </w:r>
      <w:r w:rsidR="006F37FD" w:rsidRPr="00E10B6E">
        <w:rPr>
          <w:noProof/>
        </w:rPr>
        <w:t>(EU Green Deal, 2020)</w:t>
      </w:r>
      <w:r w:rsidR="006F37FD" w:rsidRPr="00E10B6E">
        <w:fldChar w:fldCharType="end"/>
      </w:r>
      <w:r w:rsidR="00B665E0" w:rsidRPr="00E10B6E">
        <w:t>.</w:t>
      </w:r>
    </w:p>
    <w:p w14:paraId="05779AEB" w14:textId="5FAE8B6F" w:rsidR="00052220" w:rsidRPr="00E10B6E" w:rsidRDefault="00CD6D81" w:rsidP="0049354B">
      <w:pPr>
        <w:jc w:val="both"/>
      </w:pPr>
      <w:r w:rsidRPr="00E10B6E">
        <w:t xml:space="preserve">Parallel to the </w:t>
      </w:r>
      <w:r w:rsidR="00C37F91" w:rsidRPr="00E10B6E">
        <w:t>global climate change</w:t>
      </w:r>
      <w:r w:rsidRPr="00E10B6E">
        <w:t xml:space="preserve"> debate</w:t>
      </w:r>
      <w:r w:rsidR="00C37F91" w:rsidRPr="00E10B6E">
        <w:t xml:space="preserve">, </w:t>
      </w:r>
      <w:r w:rsidR="00AD0206" w:rsidRPr="00E10B6E">
        <w:t xml:space="preserve">worldwide </w:t>
      </w:r>
      <w:r w:rsidRPr="00E10B6E">
        <w:t>actions</w:t>
      </w:r>
      <w:r w:rsidR="00AD0206" w:rsidRPr="00E10B6E">
        <w:t xml:space="preserve"> are </w:t>
      </w:r>
      <w:r w:rsidRPr="00E10B6E">
        <w:t xml:space="preserve">needed </w:t>
      </w:r>
      <w:r w:rsidR="0033005B" w:rsidRPr="00E10B6E">
        <w:t xml:space="preserve">to reduce the consumption of natural resources and manage the consequent </w:t>
      </w:r>
      <w:r w:rsidR="00DF4E56" w:rsidRPr="00E10B6E">
        <w:t>waste</w:t>
      </w:r>
      <w:r w:rsidR="008E7336" w:rsidRPr="00E10B6E">
        <w:t xml:space="preserve"> streams</w:t>
      </w:r>
      <w:r w:rsidR="004429B0" w:rsidRPr="00E10B6E">
        <w:t>, including litter and pollution</w:t>
      </w:r>
      <w:r w:rsidR="00264CFE" w:rsidRPr="00E10B6E">
        <w:t xml:space="preserve">. </w:t>
      </w:r>
      <w:r w:rsidR="00152D01" w:rsidRPr="00E10B6E">
        <w:t>In the early 1970s</w:t>
      </w:r>
      <w:r w:rsidR="004D6CAE" w:rsidRPr="00E10B6E">
        <w:t>,</w:t>
      </w:r>
      <w:r w:rsidR="00152D01" w:rsidRPr="00E10B6E">
        <w:t xml:space="preserve"> the</w:t>
      </w:r>
      <w:r w:rsidR="004D6CAE" w:rsidRPr="00E10B6E">
        <w:t xml:space="preserve"> Club of Rome published its famous report “The </w:t>
      </w:r>
      <w:r w:rsidR="004D4F10" w:rsidRPr="00E10B6E">
        <w:t>L</w:t>
      </w:r>
      <w:r w:rsidR="004D6CAE" w:rsidRPr="00E10B6E">
        <w:t xml:space="preserve">imits to Growth”, </w:t>
      </w:r>
      <w:r w:rsidR="0086671E" w:rsidRPr="00E10B6E">
        <w:t xml:space="preserve">advocating the idea that the </w:t>
      </w:r>
      <w:r w:rsidR="00733E1F" w:rsidRPr="00E10B6E">
        <w:t>ever-increasing</w:t>
      </w:r>
      <w:r w:rsidR="0086671E" w:rsidRPr="00E10B6E">
        <w:t xml:space="preserve"> demand</w:t>
      </w:r>
      <w:r w:rsidR="00733E1F" w:rsidRPr="00E10B6E">
        <w:t>s of the global economy would have exhausted the reserves of materials and fossil fuels within a few decades</w:t>
      </w:r>
      <w:r w:rsidR="006E4BC3" w:rsidRPr="00E10B6E">
        <w:rPr>
          <w:noProof/>
        </w:rPr>
        <w:t xml:space="preserve"> </w:t>
      </w:r>
      <w:r w:rsidR="00922A6F" w:rsidRPr="00E10B6E">
        <w:rPr>
          <w:noProof/>
        </w:rPr>
        <w:fldChar w:fldCharType="begin" w:fldLock="1"/>
      </w:r>
      <w:r w:rsidR="00B44428" w:rsidRPr="00E10B6E">
        <w:rPr>
          <w:noProof/>
        </w:rPr>
        <w:instrText>ADDIN CSL_CITATION {"citationItems":[{"id":"ITEM-1","itemData":{"ISBN":"0-87663-165-0","author":[{"dropping-particle":"","family":"Meadows","given":"Donela H.","non-dropping-particle":"","parse-names":false,"suffix":""},{"dropping-particle":"","family":"Meadows","given":"Dennis L.","non-dropping-particle":"","parse-names":false,"suffix":""},{"dropping-particle":"","family":"Randers","given":"Jorgen","non-dropping-particle":"","parse-names":false,"suffix":""},{"dropping-particle":"","family":"Behrens","given":"William W.","non-dropping-particle":"","parse-names":false,"suffix":""}],"container-title":"The limits of growth","id":"ITEM-1","issued":{"date-parts":[["1972"]]},"number-of-pages":"126","publisher":"Universe Books","title":"The limits to growth","type":"book"},"uris":["http://www.mendeley.com/documents/?uuid=f2d0dd70-29a0-36b6-ba3c-8bf107b55101"]}],"mendeley":{"formattedCitation":"(Meadows et al., 1972)","plainTextFormattedCitation":"(Meadows et al., 1972)","previouslyFormattedCitation":"(Meadows et al., 1972)"},"properties":{"noteIndex":0},"schema":"https://github.com/citation-style-language/schema/raw/master/csl-citation.json"}</w:instrText>
      </w:r>
      <w:r w:rsidR="00922A6F" w:rsidRPr="00E10B6E">
        <w:rPr>
          <w:noProof/>
        </w:rPr>
        <w:fldChar w:fldCharType="separate"/>
      </w:r>
      <w:r w:rsidR="00922A6F" w:rsidRPr="00E10B6E">
        <w:rPr>
          <w:noProof/>
        </w:rPr>
        <w:t>(Meadows et al., 1972)</w:t>
      </w:r>
      <w:r w:rsidR="00922A6F" w:rsidRPr="00E10B6E">
        <w:rPr>
          <w:noProof/>
        </w:rPr>
        <w:fldChar w:fldCharType="end"/>
      </w:r>
      <w:r w:rsidR="00922A6F" w:rsidRPr="00E10B6E">
        <w:rPr>
          <w:noProof/>
        </w:rPr>
        <w:t>.</w:t>
      </w:r>
      <w:r w:rsidR="00EC36A7" w:rsidRPr="00E10B6E">
        <w:rPr>
          <w:noProof/>
        </w:rPr>
        <w:t xml:space="preserve"> </w:t>
      </w:r>
      <w:r w:rsidR="003B6DA5" w:rsidRPr="00E10B6E">
        <w:t xml:space="preserve">Although new reservoirs were discovered and the prediction resulted wrong, </w:t>
      </w:r>
      <w:r w:rsidR="002973E9" w:rsidRPr="00E10B6E">
        <w:t xml:space="preserve">it is undeniable that </w:t>
      </w:r>
      <w:r w:rsidR="00F52240" w:rsidRPr="00E10B6E">
        <w:t xml:space="preserve">the current consumption patterns are not sustainable </w:t>
      </w:r>
      <w:r w:rsidR="004D4F10" w:rsidRPr="00E10B6E">
        <w:t>i</w:t>
      </w:r>
      <w:r w:rsidR="00F52240" w:rsidRPr="00E10B6E">
        <w:t xml:space="preserve">n the long run. </w:t>
      </w:r>
      <w:r w:rsidR="0014069B" w:rsidRPr="00E10B6E">
        <w:t>From 1990 to</w:t>
      </w:r>
      <w:r w:rsidR="003B6DA5" w:rsidRPr="00E10B6E">
        <w:t xml:space="preserve"> 201</w:t>
      </w:r>
      <w:r w:rsidR="004C1684" w:rsidRPr="00E10B6E">
        <w:t>6</w:t>
      </w:r>
      <w:r w:rsidR="002973E9" w:rsidRPr="00E10B6E">
        <w:t>,</w:t>
      </w:r>
      <w:r w:rsidR="003B6DA5" w:rsidRPr="00E10B6E">
        <w:t xml:space="preserve"> the </w:t>
      </w:r>
      <w:r w:rsidR="00A95BB8" w:rsidRPr="00E10B6E">
        <w:t xml:space="preserve">global </w:t>
      </w:r>
      <w:r w:rsidR="003B6DA5" w:rsidRPr="00E10B6E">
        <w:t xml:space="preserve">production of oil </w:t>
      </w:r>
      <w:r w:rsidR="0014069B" w:rsidRPr="00E10B6E">
        <w:t xml:space="preserve">grew by 40% and </w:t>
      </w:r>
      <w:r w:rsidR="004C1684" w:rsidRPr="00E10B6E">
        <w:t>reached 4</w:t>
      </w:r>
      <w:r w:rsidR="00FC4006" w:rsidRPr="00E10B6E">
        <w:t>.4</w:t>
      </w:r>
      <w:r w:rsidR="004C1684" w:rsidRPr="00E10B6E">
        <w:t xml:space="preserve"> million ktoe</w:t>
      </w:r>
      <w:r w:rsidR="00FC4006" w:rsidRPr="00E10B6E">
        <w:t xml:space="preserve">, </w:t>
      </w:r>
      <w:r w:rsidR="008567F5" w:rsidRPr="00E10B6E">
        <w:t xml:space="preserve">with about a quarter of it being </w:t>
      </w:r>
      <w:r w:rsidR="00F379DB" w:rsidRPr="00E10B6E">
        <w:t>supplied</w:t>
      </w:r>
      <w:r w:rsidR="008567F5" w:rsidRPr="00E10B6E">
        <w:t xml:space="preserve"> </w:t>
      </w:r>
      <w:r w:rsidR="00F379DB" w:rsidRPr="00E10B6E">
        <w:t>to</w:t>
      </w:r>
      <w:r w:rsidR="008567F5" w:rsidRPr="00E10B6E">
        <w:t xml:space="preserve"> the industry sector and </w:t>
      </w:r>
      <w:r w:rsidR="00F379DB" w:rsidRPr="00E10B6E">
        <w:t>non-energy uses</w:t>
      </w:r>
      <w:r w:rsidR="0016295B" w:rsidRPr="00E10B6E">
        <w:t xml:space="preserve">, </w:t>
      </w:r>
      <w:r w:rsidR="00052220" w:rsidRPr="00E10B6E">
        <w:t>i.e.</w:t>
      </w:r>
      <w:r w:rsidR="0016295B" w:rsidRPr="00E10B6E">
        <w:t xml:space="preserve"> the oil is used as raw material for the production of </w:t>
      </w:r>
      <w:r w:rsidR="00F379DB" w:rsidRPr="00E10B6E">
        <w:t>plastics</w:t>
      </w:r>
      <w:r w:rsidR="0016295B" w:rsidRPr="00E10B6E">
        <w:t>, bitumen,</w:t>
      </w:r>
      <w:r w:rsidR="00F379DB" w:rsidRPr="00E10B6E">
        <w:t xml:space="preserve"> lubricants</w:t>
      </w:r>
      <w:r w:rsidR="0016295B" w:rsidRPr="00E10B6E">
        <w:t>, etc.</w:t>
      </w:r>
      <w:r w:rsidR="00922A6F" w:rsidRPr="00E10B6E">
        <w:t xml:space="preserve"> </w:t>
      </w:r>
      <w:r w:rsidR="00922A6F" w:rsidRPr="00E10B6E">
        <w:fldChar w:fldCharType="begin" w:fldLock="1"/>
      </w:r>
      <w:r w:rsidR="00B44428" w:rsidRPr="00E10B6E">
        <w:instrText>ADDIN CSL_CITATION {"citationItems":[{"id":"ITEM-1","itemData":{"URL":"https://www.iea.org/data-and-statistics?","accessed":{"date-parts":[["2020","3","9"]]},"author":[{"dropping-particle":"","family":"IEA","given":"","non-dropping-particle":"","parse-names":false,"suffix":""}],"id":"ITEM-1","issued":{"date-parts":[["2020"]]},"title":"Data &amp; Statistics","type":"webpage"},"uris":["http://www.mendeley.com/documents/?uuid=24ab1a49-4f4f-4ada-927b-8757bfee59f4"]}],"mendeley":{"formattedCitation":"(IEA, 2020)","plainTextFormattedCitation":"(IEA, 2020)","previouslyFormattedCitation":"(IEA, 2020)"},"properties":{"noteIndex":0},"schema":"https://github.com/citation-style-language/schema/raw/master/csl-citation.json"}</w:instrText>
      </w:r>
      <w:r w:rsidR="00922A6F" w:rsidRPr="00E10B6E">
        <w:fldChar w:fldCharType="separate"/>
      </w:r>
      <w:r w:rsidR="00922A6F" w:rsidRPr="00E10B6E">
        <w:rPr>
          <w:noProof/>
        </w:rPr>
        <w:t>(IEA, 2020)</w:t>
      </w:r>
      <w:r w:rsidR="00922A6F" w:rsidRPr="00E10B6E">
        <w:fldChar w:fldCharType="end"/>
      </w:r>
      <w:r w:rsidR="00F379DB" w:rsidRPr="00E10B6E">
        <w:t>.</w:t>
      </w:r>
      <w:r w:rsidR="000F1381" w:rsidRPr="00E10B6E">
        <w:t xml:space="preserve"> </w:t>
      </w:r>
      <w:r w:rsidR="00696A95" w:rsidRPr="00E10B6E">
        <w:t>It is safe to assume that o</w:t>
      </w:r>
      <w:r w:rsidR="00790AF9" w:rsidRPr="00E10B6E">
        <w:t xml:space="preserve">ne of the drivers of </w:t>
      </w:r>
      <w:r w:rsidR="00696A95" w:rsidRPr="00E10B6E">
        <w:t xml:space="preserve">oil demand is </w:t>
      </w:r>
      <w:r w:rsidR="003B2222" w:rsidRPr="00E10B6E">
        <w:t xml:space="preserve">plastics manufacturing, </w:t>
      </w:r>
      <w:r w:rsidR="00052220" w:rsidRPr="00E10B6E">
        <w:t xml:space="preserve">which in the </w:t>
      </w:r>
      <w:r w:rsidR="00172DC0" w:rsidRPr="00E10B6E">
        <w:t>last 30 years</w:t>
      </w:r>
      <w:r w:rsidR="00052220" w:rsidRPr="00E10B6E">
        <w:t xml:space="preserve"> </w:t>
      </w:r>
      <w:r w:rsidR="0073111B" w:rsidRPr="00E10B6E">
        <w:t>has triplicated</w:t>
      </w:r>
      <w:r w:rsidR="00922A6F" w:rsidRPr="00E10B6E">
        <w:t xml:space="preserve"> </w:t>
      </w:r>
      <w:r w:rsidR="00922A6F" w:rsidRPr="00E10B6E">
        <w:fldChar w:fldCharType="begin" w:fldLock="1"/>
      </w:r>
      <w:r w:rsidR="00B44428" w:rsidRPr="00E10B6E">
        <w:instrText>ADDIN CSL_CITATION {"citationItems":[{"id":"ITEM-1","itemData":{"URL":"https://www.weforum.org/agenda/2018/08/the-world-of-plastics-in-numbers","accessed":{"date-parts":[["2020","3","9"]]},"author":[{"dropping-particle":"","family":"World Economic Forum","given":"","non-dropping-particle":"","parse-names":false,"suffix":""}],"id":"ITEM-1","issued":{"date-parts":[["2020"]]},"title":"The world's plastic problem in numbers","type":"webpage"},"uris":["http://www.mendeley.com/documents/?uuid=e3a7e9b4-9632-3926-acda-9c2abfd83d5d"]}],"mendeley":{"formattedCitation":"(World Economic Forum, 2020)","plainTextFormattedCitation":"(World Economic Forum, 2020)","previouslyFormattedCitation":"(World Economic Forum, 2020)"},"properties":{"noteIndex":0},"schema":"https://github.com/citation-style-language/schema/raw/master/csl-citation.json"}</w:instrText>
      </w:r>
      <w:r w:rsidR="00922A6F" w:rsidRPr="00E10B6E">
        <w:fldChar w:fldCharType="separate"/>
      </w:r>
      <w:r w:rsidR="00922A6F" w:rsidRPr="00E10B6E">
        <w:rPr>
          <w:noProof/>
        </w:rPr>
        <w:t>(World Economic Forum, 2020)</w:t>
      </w:r>
      <w:r w:rsidR="00922A6F" w:rsidRPr="00E10B6E">
        <w:fldChar w:fldCharType="end"/>
      </w:r>
      <w:r w:rsidR="0073111B" w:rsidRPr="00E10B6E">
        <w:t xml:space="preserve">, reaching </w:t>
      </w:r>
      <w:r w:rsidR="00DE1586" w:rsidRPr="00E10B6E">
        <w:t>a</w:t>
      </w:r>
      <w:r w:rsidR="00057942" w:rsidRPr="00E10B6E">
        <w:t>n annual</w:t>
      </w:r>
      <w:r w:rsidR="00DE1586" w:rsidRPr="00E10B6E">
        <w:t xml:space="preserve"> production of 360</w:t>
      </w:r>
      <w:r w:rsidR="00172DC0" w:rsidRPr="00E10B6E">
        <w:t xml:space="preserve"> </w:t>
      </w:r>
      <w:r w:rsidR="00DE1586" w:rsidRPr="00E10B6E">
        <w:t>million tonnes in 201</w:t>
      </w:r>
      <w:r w:rsidR="00566D2C" w:rsidRPr="00E10B6E">
        <w:t>8</w:t>
      </w:r>
      <w:r w:rsidR="00922A6F" w:rsidRPr="00E10B6E">
        <w:t xml:space="preserve"> </w:t>
      </w:r>
      <w:r w:rsidR="00922A6F" w:rsidRPr="00E10B6E">
        <w:fldChar w:fldCharType="begin" w:fldLock="1"/>
      </w:r>
      <w:r w:rsidR="00B44428"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922A6F" w:rsidRPr="00E10B6E">
        <w:fldChar w:fldCharType="separate"/>
      </w:r>
      <w:r w:rsidR="00922A6F" w:rsidRPr="00E10B6E">
        <w:rPr>
          <w:noProof/>
        </w:rPr>
        <w:t>(PlasticsEurope, 2019)</w:t>
      </w:r>
      <w:r w:rsidR="00922A6F" w:rsidRPr="00E10B6E">
        <w:fldChar w:fldCharType="end"/>
      </w:r>
      <w:r w:rsidR="00DE1586" w:rsidRPr="00E10B6E">
        <w:t>.</w:t>
      </w:r>
      <w:r w:rsidR="008E7336" w:rsidRPr="00E10B6E">
        <w:t xml:space="preserve"> </w:t>
      </w:r>
      <w:r w:rsidR="00A44FF0" w:rsidRPr="00E10B6E">
        <w:t xml:space="preserve">When considering the cumulative impact of the last century, </w:t>
      </w:r>
      <w:r w:rsidR="00D715B4" w:rsidRPr="00E10B6E">
        <w:t xml:space="preserve">it is estimated that 6,300 million </w:t>
      </w:r>
      <w:r w:rsidR="00623E79" w:rsidRPr="00E10B6E">
        <w:t>tons of plastic waste have been generated</w:t>
      </w:r>
      <w:r w:rsidR="00057942" w:rsidRPr="00E10B6E">
        <w:t>, of which almost 80% was amassed in landfills or dispersed in the environment</w:t>
      </w:r>
      <w:r w:rsidR="00922A6F" w:rsidRPr="00E10B6E">
        <w:t xml:space="preserve"> </w:t>
      </w:r>
      <w:r w:rsidR="00922A6F" w:rsidRPr="00E10B6E">
        <w:fldChar w:fldCharType="begin" w:fldLock="1"/>
      </w:r>
      <w:r w:rsidR="00B44428" w:rsidRPr="00E10B6E">
        <w:instrText>ADDIN CSL_CITATION {"citationItems":[{"id":"ITEM-1","itemData":{"DOI":"10.1126/sciadv.1700782","ISSN":"23752548","PMID":"28776036","abstract":"Plastics have outgrown most man-made materials and have long been under environmental scrutiny. However, robust global information, particularly about their end-of-life fate, is lacking. By identifying and synthesizing dispersed data on production, use, and end-of-life management of polymer resins, synthetic fibers, and additives, we present the first global analysis of all mass-produced plastics ever manufactured. We estimate that 8300 million metric tons (Mt) as of virgin plastics have been produced to date. As of 2015, approximately 6300 Mt of plastic waste had been generated, around 9% of which had been recycled, 12% was incinerated, and 79% was accumulated in landfills or the natural environment. If current production and waste management trends continue, roughly 12,000 Mt of plastic waste will be in landfills or in the natural environment by 2050.","author":[{"dropping-particle":"","family":"Geyer","given":"Roland","non-dropping-particle":"","parse-names":false,"suffix":""},{"dropping-particle":"","family":"Jambeck","given":"Jenna R.","non-dropping-particle":"","parse-names":false,"suffix":""},{"dropping-particle":"","family":"Law","given":"Kara Lavender","non-dropping-particle":"","parse-names":false,"suffix":""}],"container-title":"Science Advances","id":"ITEM-1","issue":"7","issued":{"date-parts":[["2017","7","5"]]},"page":"e1700782","publisher":"American Association for the Advancement of Science","title":"Production, use, and fate of all plastics ever made","type":"article-journal","volume":"3"},"uris":["http://www.mendeley.com/documents/?uuid=03e20078-fa65-335f-93d4-83251d12d175"]}],"mendeley":{"formattedCitation":"(Geyer et al., 2017)","plainTextFormattedCitation":"(Geyer et al., 2017)","previouslyFormattedCitation":"(Geyer et al., 2017)"},"properties":{"noteIndex":0},"schema":"https://github.com/citation-style-language/schema/raw/master/csl-citation.json"}</w:instrText>
      </w:r>
      <w:r w:rsidR="00922A6F" w:rsidRPr="00E10B6E">
        <w:fldChar w:fldCharType="separate"/>
      </w:r>
      <w:r w:rsidR="00922A6F" w:rsidRPr="00E10B6E">
        <w:rPr>
          <w:noProof/>
        </w:rPr>
        <w:t>(Geyer et al., 2017)</w:t>
      </w:r>
      <w:r w:rsidR="00922A6F" w:rsidRPr="00E10B6E">
        <w:fldChar w:fldCharType="end"/>
      </w:r>
      <w:r w:rsidR="00057942" w:rsidRPr="00E10B6E">
        <w:t>.</w:t>
      </w:r>
      <w:r w:rsidR="00F96C25" w:rsidRPr="00E10B6E">
        <w:t xml:space="preserve"> Among the deleterious</w:t>
      </w:r>
      <w:r w:rsidR="005147D2" w:rsidRPr="00E10B6E">
        <w:t xml:space="preserve"> effects of plastic </w:t>
      </w:r>
      <w:r w:rsidR="0081584C" w:rsidRPr="00E10B6E">
        <w:t>pollution</w:t>
      </w:r>
      <w:r w:rsidR="005147D2" w:rsidRPr="00E10B6E">
        <w:t xml:space="preserve">, </w:t>
      </w:r>
      <w:r w:rsidR="00C02CF1" w:rsidRPr="00E10B6E">
        <w:t xml:space="preserve">a large number of marine species </w:t>
      </w:r>
      <w:r w:rsidR="00F7300E" w:rsidRPr="00E10B6E">
        <w:t xml:space="preserve">(including seabirds) </w:t>
      </w:r>
      <w:r w:rsidR="00C02CF1" w:rsidRPr="00E10B6E">
        <w:t xml:space="preserve">is harmed </w:t>
      </w:r>
      <w:r w:rsidR="0081584C" w:rsidRPr="00E10B6E">
        <w:t xml:space="preserve">and/or killed through entanglement </w:t>
      </w:r>
      <w:r w:rsidR="009225A8" w:rsidRPr="00E10B6E">
        <w:t xml:space="preserve">and ingestion of plastic debris </w:t>
      </w:r>
      <w:r w:rsidR="009225A8" w:rsidRPr="00E10B6E">
        <w:fldChar w:fldCharType="begin" w:fldLock="1"/>
      </w:r>
      <w:r w:rsidR="00B44428" w:rsidRPr="00E10B6E">
        <w:instrText>ADDIN CSL_CITATION {"citationItems":[{"id":"ITEM-1","itemData":{"DOI":"10.1016/S0025-326X(02)00220-5","ISSN":"0025326X","PMID":"12405208","abstract":"The deleterious effects of plastic debris on the marine environment were reviewed by bringing together most of the literature published so far on the topic. A large number of marine species is known to be harmed and/or killed by plastic debris, which could jeopardize their survival, especially since many are already endangered by other forms of anthropogenic activities. Marine animals are mostly affected through entanglement in and ingestion of plastic litter. Other less known threats include the use of plastic debris by \"invader\" species and the absorption of polychlorinated biphenyls from ingested plastics. Less conspicuous forms, such as plastic pellets and \"scrubbers\" are also hazardous. To address the problem of plastic debris in the oceans is a difficult task, and a variety of approaches are urgently required. Some of the ways to mitigate the problem are discussed. © 2002 Elsevier Science Ltd. All rights reserved.","author":[{"dropping-particle":"","family":"Derraik","given":"José G.B.","non-dropping-particle":"","parse-names":false,"suffix":""}],"container-title":"Marine Pollution Bulletin","id":"ITEM-1","issue":"9","issued":{"date-parts":[["2002","9","1"]]},"page":"842-852","publisher":"Pergamon","title":"The pollution of the marine environment by plastic debris: A review","type":"article","volume":"44"},"uris":["http://www.mendeley.com/documents/?uuid=f28306e9-6687-334f-a411-4b161954d169"]}],"mendeley":{"formattedCitation":"(Derraik, 2002)","plainTextFormattedCitation":"(Derraik, 2002)","previouslyFormattedCitation":"(Derraik, 2002)"},"properties":{"noteIndex":0},"schema":"https://github.com/citation-style-language/schema/raw/master/csl-citation.json"}</w:instrText>
      </w:r>
      <w:r w:rsidR="009225A8" w:rsidRPr="00E10B6E">
        <w:fldChar w:fldCharType="separate"/>
      </w:r>
      <w:r w:rsidR="009225A8" w:rsidRPr="00E10B6E">
        <w:rPr>
          <w:noProof/>
        </w:rPr>
        <w:t>(Derraik, 2002)</w:t>
      </w:r>
      <w:r w:rsidR="009225A8" w:rsidRPr="00E10B6E">
        <w:fldChar w:fldCharType="end"/>
      </w:r>
      <w:r w:rsidR="009225A8" w:rsidRPr="00E10B6E">
        <w:t xml:space="preserve">, and the </w:t>
      </w:r>
      <w:r w:rsidR="00D1280C" w:rsidRPr="00E10B6E">
        <w:t xml:space="preserve">trophic transfer </w:t>
      </w:r>
      <w:r w:rsidR="000368E0" w:rsidRPr="00E10B6E">
        <w:t xml:space="preserve">process can potentially spread </w:t>
      </w:r>
      <w:r w:rsidR="00D1280C" w:rsidRPr="00E10B6E">
        <w:t>microplastics</w:t>
      </w:r>
      <w:r w:rsidR="000368E0" w:rsidRPr="00E10B6E">
        <w:t xml:space="preserve"> throughout the entire food chain, with hazardous effects on </w:t>
      </w:r>
      <w:r w:rsidR="00DB5D31" w:rsidRPr="00E10B6E">
        <w:t xml:space="preserve">the health of humans and animals </w:t>
      </w:r>
      <w:r w:rsidR="00DB5D31" w:rsidRPr="00E10B6E">
        <w:fldChar w:fldCharType="begin" w:fldLock="1"/>
      </w:r>
      <w:r w:rsidR="00B44428" w:rsidRPr="00E10B6E">
        <w:instrText>ADDIN CSL_CITATION {"citationItems":[{"id":"ITEM-1","itemData":{"DOI":"10.1038/srep37551","ISSN":"20452322","abstract":"The Mediterranean Sea has been recently proposed as one of the most impacted regions of the world with regards to microplastics, however the polymeric composition of these floating particles is still largely unknown. Here we present the results of a large-scale survey of neustonic micro- and meso-plastics floating in Mediterranean waters, providing the first extensive characterization of their chemical identity as well as detailed information on their abundance and geographical distribution. All particles &gt;700 μm collected in our samples were identified through FT-IR analysis (n = 4050 particles), shedding for the first time light on the polymeric diversity of this emerging pollutant. Sixteen different classes of synthetic materials were identified. Low-density polymers such as polyethylene and polypropylene were the most abundant compounds, followed by polyamides, plastic-based paints, polyvinyl chloride, polystyrene and polyvinyl alcohol. Less frequent polymers included polyethylene terephthalate, polyisoprene, poly(vinyl stearate), ethylene-vinyl acetate, polyepoxide, paraffin wax and polycaprolactone, a biodegradable polyester reported for the first time floating in off-shore waters. Geographical differences in sample composition were also observed, demonstrating sub-basin scale heterogeneity in plastics distribution and likely reflecting a complex interplay between pollution sources, sinks and residence times of different polymers at sea.","author":[{"dropping-particle":"","family":"Suaria","given":"Giuseppe","non-dropping-particle":"","parse-names":false,"suffix":""},{"dropping-particle":"","family":"Avio","given":"Carlo G.","non-dropping-particle":"","parse-names":false,"suffix":""},{"dropping-particle":"","family":"Mineo","given":"Annabella","non-dropping-particle":"","parse-names":false,"suffix":""},{"dropping-particle":"","family":"Lattin","given":"Gwendolyn L.","non-dropping-particle":"","parse-names":false,"suffix":""},{"dropping-particle":"","family":"Magaldi","given":"Marcello G.","non-dropping-particle":"","parse-names":false,"suffix":""},{"dropping-particle":"","family":"Belmonte","given":"Genuario","non-dropping-particle":"","parse-names":false,"suffix":""},{"dropping-particle":"","family":"Moore","given":"Charles J.","non-dropping-particle":"","parse-names":false,"suffix":""},{"dropping-particle":"","family":"Regoli","given":"Francesco","non-dropping-particle":"","parse-names":false,"suffix":""},{"dropping-particle":"","family":"Aliani","given":"Stefano","non-dropping-particle":"","parse-names":false,"suffix":""}],"container-title":"Scientific Reports","id":"ITEM-1","issue":"1","issued":{"date-parts":[["2016","11","23"]]},"page":"1-10","publisher":"Nature Publishing Group","title":"The Mediterranean Plastic Soup: Synthetic polymers in Mediterranean surface waters","type":"article-journal","volume":"6"},"uris":["http://www.mendeley.com/documents/?uuid=a7d850c6-c006-3a84-a5df-2ad3c33bbd16"]}],"mendeley":{"formattedCitation":"(Suaria et al., 2016)","plainTextFormattedCitation":"(Suaria et al., 2016)","previouslyFormattedCitation":"(Suaria et al., 2016)"},"properties":{"noteIndex":0},"schema":"https://github.com/citation-style-language/schema/raw/master/csl-citation.json"}</w:instrText>
      </w:r>
      <w:r w:rsidR="00DB5D31" w:rsidRPr="00E10B6E">
        <w:fldChar w:fldCharType="separate"/>
      </w:r>
      <w:r w:rsidR="00DB5D31" w:rsidRPr="00E10B6E">
        <w:rPr>
          <w:noProof/>
        </w:rPr>
        <w:t>(Suaria et al., 2016)</w:t>
      </w:r>
      <w:r w:rsidR="00DB5D31" w:rsidRPr="00E10B6E">
        <w:fldChar w:fldCharType="end"/>
      </w:r>
      <w:r w:rsidR="00DB5D31" w:rsidRPr="00E10B6E">
        <w:t xml:space="preserve">. </w:t>
      </w:r>
      <w:r w:rsidR="00A44C19" w:rsidRPr="00E10B6E">
        <w:t>Th</w:t>
      </w:r>
      <w:r w:rsidR="00112255" w:rsidRPr="00E10B6E">
        <w:t>e buoyant properties of most plastics</w:t>
      </w:r>
      <w:r w:rsidR="00363C7D" w:rsidRPr="00E10B6E">
        <w:t xml:space="preserve"> and the circulation patterns of </w:t>
      </w:r>
      <w:r w:rsidR="006A40FA" w:rsidRPr="00E10B6E">
        <w:t xml:space="preserve">ocean currents have led to the </w:t>
      </w:r>
      <w:r w:rsidR="00FB3CCF" w:rsidRPr="00E10B6E">
        <w:t xml:space="preserve">formation of the </w:t>
      </w:r>
      <w:r w:rsidR="006A40FA" w:rsidRPr="00E10B6E">
        <w:t xml:space="preserve">Great Pacific Garbage Patch, an area </w:t>
      </w:r>
      <w:r w:rsidR="00DB579A" w:rsidRPr="00E10B6E">
        <w:t>of 1.6 million km</w:t>
      </w:r>
      <w:r w:rsidR="00DB579A" w:rsidRPr="00E10B6E">
        <w:rPr>
          <w:vertAlign w:val="superscript"/>
        </w:rPr>
        <w:t>2</w:t>
      </w:r>
      <w:r w:rsidR="00DB579A" w:rsidRPr="00E10B6E">
        <w:t xml:space="preserve"> with </w:t>
      </w:r>
      <w:r w:rsidR="001E5099" w:rsidRPr="00E10B6E">
        <w:t xml:space="preserve">an estimated amount of 1.8 trillion </w:t>
      </w:r>
      <w:r w:rsidR="00DB579A" w:rsidRPr="00E10B6E">
        <w:t>floating plastic</w:t>
      </w:r>
      <w:r w:rsidR="00AB5DF4" w:rsidRPr="00E10B6E">
        <w:t xml:space="preserve"> pieces</w:t>
      </w:r>
      <w:r w:rsidR="008470D5" w:rsidRPr="00E10B6E">
        <w:t xml:space="preserve">, </w:t>
      </w:r>
      <w:r w:rsidR="00BC7D60" w:rsidRPr="00E10B6E">
        <w:t>causing</w:t>
      </w:r>
      <w:r w:rsidR="008470D5" w:rsidRPr="00E10B6E">
        <w:t xml:space="preserve"> incalculable effects on </w:t>
      </w:r>
      <w:r w:rsidR="00C35381" w:rsidRPr="00E10B6E">
        <w:t xml:space="preserve">the local and global </w:t>
      </w:r>
      <w:r w:rsidR="00BC7D60" w:rsidRPr="00E10B6E">
        <w:t>biodiversity, food supply security, and health</w:t>
      </w:r>
      <w:r w:rsidR="00C35381" w:rsidRPr="00E10B6E">
        <w:t xml:space="preserve"> </w:t>
      </w:r>
      <w:r w:rsidR="00C35381" w:rsidRPr="00E10B6E">
        <w:fldChar w:fldCharType="begin" w:fldLock="1"/>
      </w:r>
      <w:r w:rsidR="00B44428" w:rsidRPr="00E10B6E">
        <w:instrText>ADDIN CSL_CITATION {"citationItems":[{"id":"ITEM-1","itemData":{"DOI":"10.1038/s41598-018-22939-w","ISSN":"20452322","abstract":"Ocean plastic can persist in sea surface waters, eventually accumulating in remote areas of the world's oceans. Here we characterise and quantify a major ocean plastic accumulation zone formed in subtropical waters between California and Hawaii: The Great Pacific Garbage Patch (GPGP). Our model, calibrated with data from multi-vessel and aircraft surveys, predicted at least 79 (45-129) thousand tonnes of ocean plastic are floating inside an area of 1.6 million km2; a figure four to sixteen times higher than previously reported. We explain this difference through the use of more robust methods to quantify larger debris. Over three-quarters of the GPGP mass was carried by debris larger than 5 cm and at least 46% was comprised of fishing nets. Microplastics accounted for 8% of the total mass but 94% of the estimated 1.8 (1.1-3.6) trillion pieces floating in the area. Plastic collected during our study has specific characteristics such as small surface-to-volume ratio, indicating that only certain types of debris have the capacity to persist and accumulate at the surface of the GPGP. Finally, our results suggest that ocean plastic pollution within the GPGP is increasing exponentially and at a faster rate than in surrounding waters.","author":[{"dropping-particle":"","family":"Lebreton","given":"L.","non-dropping-particle":"","parse-names":false,"suffix":""},{"dropping-particle":"","family":"Slat","given":"B.","non-dropping-particle":"","parse-names":false,"suffix":""},{"dropping-particle":"","family":"Ferrari","given":"F.","non-dropping-particle":"","parse-names":false,"suffix":""},{"dropping-particle":"","family":"Sainte-Rose","given":"B.","non-dropping-particle":"","parse-names":false,"suffix":""},{"dropping-particle":"","family":"Aitken","given":"J.","non-dropping-particle":"","parse-names":false,"suffix":""},{"dropping-particle":"","family":"Marthouse","given":"R.","non-dropping-particle":"","parse-names":false,"suffix":""},{"dropping-particle":"","family":"Hajbane","given":"S.","non-dropping-particle":"","parse-names":false,"suffix":""},{"dropping-particle":"","family":"Cunsolo","given":"S.","non-dropping-particle":"","parse-names":false,"suffix":""},{"dropping-particle":"","family":"Schwarz","given":"A.","non-dropping-particle":"","parse-names":false,"suffix":""},{"dropping-particle":"","family":"Levivier","given":"A.","non-dropping-particle":"","parse-names":false,"suffix":""},{"dropping-particle":"","family":"Noble","given":"K.","non-dropping-particle":"","parse-names":false,"suffix":""},{"dropping-particle":"","family":"Debeljak","given":"P.","non-dropping-particle":"","parse-names":false,"suffix":""},{"dropping-particle":"","family":"Maral","given":"H.","non-dropping-particle":"","parse-names":false,"suffix":""},{"dropping-particle":"","family":"Schoeneich-Argent","given":"R.","non-dropping-particle":"","parse-names":false,"suffix":""},{"dropping-particle":"","family":"Brambini","given":"R.","non-dropping-particle":"","parse-names":false,"suffix":""},{"dropping-particle":"","family":"Reisser","given":"J.","non-dropping-particle":"","parse-names":false,"suffix":""}],"container-title":"Scientific Reports","id":"ITEM-1","issue":"1","issued":{"date-parts":[["2018","12","1"]]},"page":"1-15","publisher":"Nature Publishing Group","title":"Evidence that the Great Pacific Garbage Patch is rapidly accumulating plastic","type":"article-journal","volume":"8"},"uris":["http://www.mendeley.com/documents/?uuid=28c50aa2-0f68-343f-98ac-e0e269a1c4b8"]}],"mendeley":{"formattedCitation":"(Lebreton et al., 2018)","plainTextFormattedCitation":"(Lebreton et al., 2018)","previouslyFormattedCitation":"(Lebreton et al., 2018)"},"properties":{"noteIndex":0},"schema":"https://github.com/citation-style-language/schema/raw/master/csl-citation.json"}</w:instrText>
      </w:r>
      <w:r w:rsidR="00C35381" w:rsidRPr="00E10B6E">
        <w:fldChar w:fldCharType="separate"/>
      </w:r>
      <w:r w:rsidR="00C35381" w:rsidRPr="00E10B6E">
        <w:rPr>
          <w:noProof/>
        </w:rPr>
        <w:t>(Lebreton et al., 2018)</w:t>
      </w:r>
      <w:r w:rsidR="00C35381" w:rsidRPr="00E10B6E">
        <w:fldChar w:fldCharType="end"/>
      </w:r>
      <w:r w:rsidR="00BC7D60" w:rsidRPr="00E10B6E">
        <w:t>.</w:t>
      </w:r>
    </w:p>
    <w:p w14:paraId="5DDFFC92" w14:textId="6BFD30D9" w:rsidR="00816392" w:rsidRPr="00E10B6E" w:rsidRDefault="006A4C46" w:rsidP="0049354B">
      <w:pPr>
        <w:jc w:val="both"/>
      </w:pPr>
      <w:r w:rsidRPr="00E10B6E">
        <w:t xml:space="preserve">In 2015 the </w:t>
      </w:r>
      <w:r w:rsidR="005D3056" w:rsidRPr="00E10B6E">
        <w:t xml:space="preserve">Member States of the </w:t>
      </w:r>
      <w:r w:rsidRPr="00E10B6E">
        <w:t xml:space="preserve">United Nations adopted the “2030 Agenda for Sustainable Development”, </w:t>
      </w:r>
      <w:r w:rsidR="005D3056" w:rsidRPr="00E10B6E">
        <w:t xml:space="preserve">which includes </w:t>
      </w:r>
      <w:r w:rsidRPr="00E10B6E">
        <w:t>17 Sustainable Development Goals (SDG) to bring peace</w:t>
      </w:r>
      <w:r w:rsidR="005D3056" w:rsidRPr="00E10B6E">
        <w:t xml:space="preserve">, </w:t>
      </w:r>
      <w:r w:rsidR="00874810" w:rsidRPr="00E10B6E">
        <w:t>progress,</w:t>
      </w:r>
      <w:r w:rsidRPr="00E10B6E">
        <w:t xml:space="preserve"> and prosperity </w:t>
      </w:r>
      <w:r w:rsidR="005D3056" w:rsidRPr="00E10B6E">
        <w:t>to humanity</w:t>
      </w:r>
      <w:r w:rsidRPr="00E10B6E">
        <w:t xml:space="preserve"> and </w:t>
      </w:r>
      <w:r w:rsidR="005D3056" w:rsidRPr="00E10B6E">
        <w:t xml:space="preserve">to our </w:t>
      </w:r>
      <w:r w:rsidRPr="00E10B6E">
        <w:t xml:space="preserve">planet. </w:t>
      </w:r>
      <w:r w:rsidR="002D6806" w:rsidRPr="00E10B6E">
        <w:t>Plastic</w:t>
      </w:r>
      <w:r w:rsidR="00113D85" w:rsidRPr="00E10B6E">
        <w:t>s</w:t>
      </w:r>
      <w:r w:rsidR="002D6806" w:rsidRPr="00E10B6E">
        <w:t xml:space="preserve"> pollution</w:t>
      </w:r>
      <w:r w:rsidR="00D44FBF" w:rsidRPr="00E10B6E">
        <w:t>, especially micro-plastics,</w:t>
      </w:r>
      <w:r w:rsidR="002D6806" w:rsidRPr="00E10B6E">
        <w:t xml:space="preserve"> is </w:t>
      </w:r>
      <w:r w:rsidR="00D44FBF" w:rsidRPr="00E10B6E">
        <w:t>part of</w:t>
      </w:r>
      <w:r w:rsidR="002D6806" w:rsidRPr="00E10B6E">
        <w:t xml:space="preserve"> </w:t>
      </w:r>
      <w:r w:rsidR="00DB0ED4" w:rsidRPr="00E10B6E">
        <w:t xml:space="preserve">SDG 3 </w:t>
      </w:r>
      <w:r w:rsidR="00DB0ED4" w:rsidRPr="00E10B6E">
        <w:lastRenderedPageBreak/>
        <w:t>(</w:t>
      </w:r>
      <w:r w:rsidR="00251658" w:rsidRPr="00E10B6E">
        <w:t xml:space="preserve">good </w:t>
      </w:r>
      <w:r w:rsidR="00DB0ED4" w:rsidRPr="00E10B6E">
        <w:t>health and well-being), SDG 6 (clean water</w:t>
      </w:r>
      <w:r w:rsidR="00D44FBF" w:rsidRPr="00E10B6E">
        <w:t xml:space="preserve"> and sanitation</w:t>
      </w:r>
      <w:r w:rsidR="00DB0ED4" w:rsidRPr="00E10B6E">
        <w:t>)</w:t>
      </w:r>
      <w:r w:rsidR="007B2F2C" w:rsidRPr="00E10B6E">
        <w:t>, SDG 14 (</w:t>
      </w:r>
      <w:r w:rsidR="004B2AA0" w:rsidRPr="00E10B6E">
        <w:t>life below water</w:t>
      </w:r>
      <w:r w:rsidR="007B2F2C" w:rsidRPr="00E10B6E">
        <w:t>), and SDG 15 (</w:t>
      </w:r>
      <w:r w:rsidR="004B2AA0" w:rsidRPr="00E10B6E">
        <w:t>life on land</w:t>
      </w:r>
      <w:r w:rsidR="007B2F2C" w:rsidRPr="00E10B6E">
        <w:t xml:space="preserve">). </w:t>
      </w:r>
      <w:r w:rsidR="00113D85" w:rsidRPr="00E10B6E">
        <w:t xml:space="preserve">The </w:t>
      </w:r>
      <w:r w:rsidR="00130C0D" w:rsidRPr="00E10B6E">
        <w:t xml:space="preserve">energy and </w:t>
      </w:r>
      <w:r w:rsidR="00F52240" w:rsidRPr="00E10B6E">
        <w:t xml:space="preserve">raw </w:t>
      </w:r>
      <w:r w:rsidR="00130C0D" w:rsidRPr="00E10B6E">
        <w:t xml:space="preserve">materials required for </w:t>
      </w:r>
      <w:r w:rsidR="00113D85" w:rsidRPr="00E10B6E">
        <w:t>p</w:t>
      </w:r>
      <w:r w:rsidR="007B2F2C" w:rsidRPr="00E10B6E">
        <w:t>lastic</w:t>
      </w:r>
      <w:r w:rsidR="00113D85" w:rsidRPr="00E10B6E">
        <w:t>s</w:t>
      </w:r>
      <w:r w:rsidR="007B2F2C" w:rsidRPr="00E10B6E">
        <w:t xml:space="preserve"> </w:t>
      </w:r>
      <w:r w:rsidR="00FA2334" w:rsidRPr="00E10B6E">
        <w:t>manufacturing</w:t>
      </w:r>
      <w:r w:rsidR="007B2F2C" w:rsidRPr="00E10B6E">
        <w:t xml:space="preserve">, on the other hand, </w:t>
      </w:r>
      <w:r w:rsidR="00130C0D" w:rsidRPr="00E10B6E">
        <w:t>have huge impacts on</w:t>
      </w:r>
      <w:r w:rsidR="007B2F2C" w:rsidRPr="00E10B6E">
        <w:t xml:space="preserve"> SDG</w:t>
      </w:r>
      <w:r w:rsidR="00FA2334" w:rsidRPr="00E10B6E">
        <w:t xml:space="preserve"> 12 (</w:t>
      </w:r>
      <w:r w:rsidR="004B2AA0" w:rsidRPr="00E10B6E">
        <w:t>responsible</w:t>
      </w:r>
      <w:r w:rsidR="00FA2334" w:rsidRPr="00E10B6E">
        <w:t xml:space="preserve"> consumption and production) and SDG 13 (</w:t>
      </w:r>
      <w:r w:rsidR="004B2AA0" w:rsidRPr="00E10B6E">
        <w:t>climate action</w:t>
      </w:r>
      <w:r w:rsidR="00FA2334" w:rsidRPr="00E10B6E">
        <w:t>)</w:t>
      </w:r>
      <w:r w:rsidR="004F1B40" w:rsidRPr="00E10B6E">
        <w:t xml:space="preserve"> </w:t>
      </w:r>
      <w:r w:rsidR="004F1B40" w:rsidRPr="00E10B6E">
        <w:fldChar w:fldCharType="begin" w:fldLock="1"/>
      </w:r>
      <w:r w:rsidR="00B44428" w:rsidRPr="00E10B6E">
        <w:instrText>ADDIN CSL_CITATION {"citationItems":[{"id":"ITEM-1","itemData":{"URL":"https://sustainabledevelopment.un.org/sdgs","accessed":{"date-parts":[["2020","3","9"]]},"author":[{"dropping-particle":"","family":"UN","given":"","non-dropping-particle":"","parse-names":false,"suffix":""}],"id":"ITEM-1","issued":{"date-parts":[["2020"]]},"title":"Sustainable Development Goals Knowledge Platform","type":"webpage"},"uris":["http://www.mendeley.com/documents/?uuid=79bc8dba-65e9-33f3-a476-f7579c9c827e"]}],"mendeley":{"formattedCitation":"(UN, 2020)","plainTextFormattedCitation":"(UN, 2020)","previouslyFormattedCitation":"(UN, 2020)"},"properties":{"noteIndex":0},"schema":"https://github.com/citation-style-language/schema/raw/master/csl-citation.json"}</w:instrText>
      </w:r>
      <w:r w:rsidR="004F1B40" w:rsidRPr="00E10B6E">
        <w:fldChar w:fldCharType="separate"/>
      </w:r>
      <w:r w:rsidR="004F1B40" w:rsidRPr="00E10B6E">
        <w:rPr>
          <w:noProof/>
        </w:rPr>
        <w:t>(UN, 2020)</w:t>
      </w:r>
      <w:r w:rsidR="004F1B40" w:rsidRPr="00E10B6E">
        <w:fldChar w:fldCharType="end"/>
      </w:r>
      <w:r w:rsidR="00B46EAC" w:rsidRPr="00E10B6E">
        <w:t>, as well as the carbon emissions caused by the incineration of plastic waste</w:t>
      </w:r>
      <w:r w:rsidRPr="00E10B6E">
        <w:t xml:space="preserve">. </w:t>
      </w:r>
      <w:r w:rsidR="00C34A6E" w:rsidRPr="00E10B6E">
        <w:t>One of the signatories is the Netherlands</w:t>
      </w:r>
      <w:r w:rsidR="003C48B0" w:rsidRPr="00E10B6E">
        <w:t xml:space="preserve">, </w:t>
      </w:r>
      <w:r w:rsidR="008741D6" w:rsidRPr="00E10B6E">
        <w:t xml:space="preserve">the fourth largest chemical producer in Europe and tenth worldwide, </w:t>
      </w:r>
      <w:r w:rsidR="00563B72" w:rsidRPr="00E10B6E">
        <w:t>with a sector turnover of 50 billion euros</w:t>
      </w:r>
      <w:r w:rsidR="001D335B" w:rsidRPr="00E10B6E">
        <w:t xml:space="preserve"> that constitutes</w:t>
      </w:r>
      <w:r w:rsidR="00563B72" w:rsidRPr="00E10B6E">
        <w:t xml:space="preserve"> </w:t>
      </w:r>
      <w:r w:rsidR="00D45883" w:rsidRPr="00E10B6E">
        <w:t>6</w:t>
      </w:r>
      <w:r w:rsidR="00C20666" w:rsidRPr="00E10B6E">
        <w:t xml:space="preserve">% of the </w:t>
      </w:r>
      <w:r w:rsidR="00563B72" w:rsidRPr="00E10B6E">
        <w:t>national</w:t>
      </w:r>
      <w:r w:rsidR="00C20666" w:rsidRPr="00E10B6E">
        <w:t xml:space="preserve"> GDP</w:t>
      </w:r>
      <w:r w:rsidR="00D45883" w:rsidRPr="00E10B6E">
        <w:t xml:space="preserve"> </w:t>
      </w:r>
      <w:r w:rsidR="00D45883" w:rsidRPr="00E10B6E">
        <w:fldChar w:fldCharType="begin" w:fldLock="1"/>
      </w:r>
      <w:r w:rsidR="00B44428" w:rsidRPr="00E10B6E">
        <w:instrText>ADDIN CSL_CITATION {"citationItems":[{"id":"ITEM-1","itemData":{"URL":"https://data.worldbank.org","accessed":{"date-parts":[["2020","3","9"]]},"author":[{"dropping-particle":"","family":"World Bank","given":"","non-dropping-particle":"","parse-names":false,"suffix":""}],"id":"ITEM-1","issued":{"date-parts":[["2020"]]},"title":"World Bank Open Data","type":"webpage"},"uris":["http://www.mendeley.com/documents/?uuid=3f0a95bb-ef64-412c-815d-60214851288e"]}],"mendeley":{"formattedCitation":"(World Bank, 2020)","plainTextFormattedCitation":"(World Bank, 2020)","previouslyFormattedCitation":"(World Bank, 2020)"},"properties":{"noteIndex":0},"schema":"https://github.com/citation-style-language/schema/raw/master/csl-citation.json"}</w:instrText>
      </w:r>
      <w:r w:rsidR="00D45883" w:rsidRPr="00E10B6E">
        <w:fldChar w:fldCharType="separate"/>
      </w:r>
      <w:r w:rsidR="00D45883" w:rsidRPr="00E10B6E">
        <w:rPr>
          <w:noProof/>
        </w:rPr>
        <w:t>(World Bank, 2020)</w:t>
      </w:r>
      <w:r w:rsidR="00D45883" w:rsidRPr="00E10B6E">
        <w:fldChar w:fldCharType="end"/>
      </w:r>
      <w:r w:rsidR="00780E56" w:rsidRPr="00E10B6E">
        <w:t xml:space="preserve"> and 13% of the industrial added value </w:t>
      </w:r>
      <w:r w:rsidR="00780E56" w:rsidRPr="00E10B6E">
        <w:fldChar w:fldCharType="begin" w:fldLock="1"/>
      </w:r>
      <w:r w:rsidR="00B44428" w:rsidRPr="00E10B6E">
        <w:instrText>ADDIN CSL_CITATION {"citationItems":[{"id":"ITEM-1","itemData":{"URL":"https://www.vnci.nl/english","accessed":{"date-parts":[["2020","3","9"]]},"author":[{"dropping-particle":"","family":"VNCI","given":"","non-dropping-particle":"","parse-names":false,"suffix":""}],"id":"ITEM-1","issued":{"date-parts":[["2020"]]},"title":"Dutch chemical industry","type":"webpage"},"uris":["http://www.mendeley.com/documents/?uuid=e3145105-fcd0-34e1-b4b5-727632f1418c"]}],"mendeley":{"formattedCitation":"(VNCI, 2020)","plainTextFormattedCitation":"(VNCI, 2020)","previouslyFormattedCitation":"(VNCI, 2020)"},"properties":{"noteIndex":0},"schema":"https://github.com/citation-style-language/schema/raw/master/csl-citation.json"}</w:instrText>
      </w:r>
      <w:r w:rsidR="00780E56" w:rsidRPr="00E10B6E">
        <w:fldChar w:fldCharType="separate"/>
      </w:r>
      <w:r w:rsidR="00780E56" w:rsidRPr="00E10B6E">
        <w:rPr>
          <w:noProof/>
        </w:rPr>
        <w:t>(VNCI, 2020)</w:t>
      </w:r>
      <w:r w:rsidR="00780E56" w:rsidRPr="00E10B6E">
        <w:fldChar w:fldCharType="end"/>
      </w:r>
      <w:r w:rsidR="00563B72" w:rsidRPr="00E10B6E">
        <w:t>.</w:t>
      </w:r>
      <w:r w:rsidR="008741D6" w:rsidRPr="00E10B6E">
        <w:t xml:space="preserve"> </w:t>
      </w:r>
      <w:r w:rsidR="00F815A5" w:rsidRPr="00E10B6E">
        <w:t>Like many other European countries, the Netherlands has developed a national plan to achieve the targets agree</w:t>
      </w:r>
      <w:r w:rsidR="00563142" w:rsidRPr="00E10B6E">
        <w:t>d</w:t>
      </w:r>
      <w:r w:rsidR="00F815A5" w:rsidRPr="00E10B6E">
        <w:t xml:space="preserve"> on in the Paris Agreement</w:t>
      </w:r>
      <w:r w:rsidR="00563142" w:rsidRPr="00E10B6E">
        <w:t>, and</w:t>
      </w:r>
      <w:r w:rsidR="00F815A5" w:rsidRPr="00E10B6E">
        <w:t xml:space="preserve"> its</w:t>
      </w:r>
      <w:r w:rsidR="008262C4" w:rsidRPr="00E10B6E">
        <w:t xml:space="preserve"> </w:t>
      </w:r>
      <w:r w:rsidR="00892240" w:rsidRPr="00E10B6E">
        <w:t>“</w:t>
      </w:r>
      <w:r w:rsidR="00892240" w:rsidRPr="00E10B6E">
        <w:rPr>
          <w:i/>
          <w:iCs/>
        </w:rPr>
        <w:t>klimaat-akkoord</w:t>
      </w:r>
      <w:r w:rsidR="00892240" w:rsidRPr="00E10B6E">
        <w:t>”</w:t>
      </w:r>
      <w:r w:rsidR="008262C4" w:rsidRPr="00E10B6E">
        <w:t xml:space="preserve"> </w:t>
      </w:r>
      <w:r w:rsidR="00816392" w:rsidRPr="00E10B6E">
        <w:t xml:space="preserve">has the ambition of reducing GHG by 49% </w:t>
      </w:r>
      <w:r w:rsidR="00837516" w:rsidRPr="00E10B6E">
        <w:t>in</w:t>
      </w:r>
      <w:r w:rsidR="00816392" w:rsidRPr="00E10B6E">
        <w:t xml:space="preserve"> 2030 compared to 1990 levels, with the industrial sector alone </w:t>
      </w:r>
      <w:r w:rsidR="00837516" w:rsidRPr="00E10B6E">
        <w:t xml:space="preserve">reducing </w:t>
      </w:r>
      <w:r w:rsidR="00C67D2E" w:rsidRPr="00E10B6E">
        <w:t xml:space="preserve">its emissions by 59% </w:t>
      </w:r>
      <w:r w:rsidR="00C67D2E" w:rsidRPr="00E10B6E">
        <w:fldChar w:fldCharType="begin" w:fldLock="1"/>
      </w:r>
      <w:r w:rsidR="00B44428" w:rsidRPr="00E10B6E">
        <w:instrText>ADDIN CSL_CITATION {"citationItems":[{"id":"ITEM-1","itemData":{"URL":"https://www.klimaatakkoord.nl/documenten/publicaties/2019/06/28/national-climate-agreement-the-netherlands","accessed":{"date-parts":[["2020","3","9"]]},"author":[{"dropping-particle":"","family":"Klimaat-akkoord","given":"","non-dropping-particle":"","parse-names":false,"suffix":""}],"id":"ITEM-1","issued":{"date-parts":[["2019"]]},"title":"National Climate Agreement - The Netherlands Publication Climate agreement","type":"webpage"},"uris":["http://www.mendeley.com/documents/?uuid=8994766c-2daf-4258-a7cf-3cff057dc6be"]}],"mendeley":{"formattedCitation":"(Klimaat-akkoord, 2019)","plainTextFormattedCitation":"(Klimaat-akkoord, 2019)","previouslyFormattedCitation":"(Klimaat-akkoord, 2019)"},"properties":{"noteIndex":0},"schema":"https://github.com/citation-style-language/schema/raw/master/csl-citation.json"}</w:instrText>
      </w:r>
      <w:r w:rsidR="00C67D2E" w:rsidRPr="00E10B6E">
        <w:fldChar w:fldCharType="separate"/>
      </w:r>
      <w:r w:rsidR="00587D84" w:rsidRPr="00E10B6E">
        <w:rPr>
          <w:noProof/>
        </w:rPr>
        <w:t>(Klimaat-akkoord, 2019)</w:t>
      </w:r>
      <w:r w:rsidR="00C67D2E" w:rsidRPr="00E10B6E">
        <w:fldChar w:fldCharType="end"/>
      </w:r>
      <w:r w:rsidR="00C67D2E" w:rsidRPr="00E10B6E">
        <w:t>.</w:t>
      </w:r>
      <w:r w:rsidR="00FD454D" w:rsidRPr="00E10B6E">
        <w:t xml:space="preserve"> Among the other subsectors, manufacturers </w:t>
      </w:r>
      <w:r w:rsidR="00323B84" w:rsidRPr="00E10B6E">
        <w:t xml:space="preserve">of plastic monomers and polymers </w:t>
      </w:r>
      <w:r w:rsidR="005B7483" w:rsidRPr="00E10B6E">
        <w:t xml:space="preserve">are thus in the need of improving the energy and material efficiency of their production </w:t>
      </w:r>
      <w:r w:rsidR="00C915EE" w:rsidRPr="00E10B6E">
        <w:t>processes and reduce the associated GHG emissions.</w:t>
      </w:r>
      <w:r w:rsidR="00B32124" w:rsidRPr="00E10B6E">
        <w:t xml:space="preserve"> Additionally, </w:t>
      </w:r>
      <w:r w:rsidR="002B668B" w:rsidRPr="00E10B6E">
        <w:t xml:space="preserve">last year </w:t>
      </w:r>
      <w:r w:rsidR="00524B82" w:rsidRPr="00E10B6E">
        <w:t xml:space="preserve">the </w:t>
      </w:r>
      <w:r w:rsidR="002B668B" w:rsidRPr="00E10B6E">
        <w:t xml:space="preserve">Ministry of Infrastructure and Water Management launched </w:t>
      </w:r>
      <w:r w:rsidR="00E016ED" w:rsidRPr="00E10B6E">
        <w:t xml:space="preserve">the </w:t>
      </w:r>
      <w:r w:rsidR="00A82401" w:rsidRPr="00E10B6E">
        <w:t xml:space="preserve">Dutch </w:t>
      </w:r>
      <w:r w:rsidR="00E016ED" w:rsidRPr="00E10B6E">
        <w:t>Plastic Pact, signed by more than 90 manufacturers and retailers</w:t>
      </w:r>
      <w:r w:rsidR="00BD2E97" w:rsidRPr="00E10B6E">
        <w:t xml:space="preserve"> </w:t>
      </w:r>
      <w:r w:rsidR="00847EB6" w:rsidRPr="00E10B6E">
        <w:t xml:space="preserve">to make single-use plastic products and packaging more sustainable and more suitable for reuse </w:t>
      </w:r>
      <w:r w:rsidR="00847EB6" w:rsidRPr="00E10B6E">
        <w:fldChar w:fldCharType="begin" w:fldLock="1"/>
      </w:r>
      <w:r w:rsidR="00B44428" w:rsidRPr="00E10B6E">
        <w:instrText>ADDIN CSL_CITATION {"citationItems":[{"id":"ITEM-1","itemData":{"URL":"https://www.rivm.nl/publicaties/plastic-pact-nederland-monitor-nulmeting-2017-2018","accessed":{"date-parts":[["2020","3","13"]]},"author":[{"dropping-particle":"","family":"RIVM","given":"","non-dropping-particle":"","parse-names":false,"suffix":""}],"id":"ITEM-1","issued":{"date-parts":[["2020","2","14"]]},"title":"Plastic Pact Nederland : de Monitor Nulmeting (2017-2018) | RIVM","type":"webpage"},"uris":["http://www.mendeley.com/documents/?uuid=08a5025b-cb79-33e1-8c35-4ead6cef8362"]}],"mendeley":{"formattedCitation":"(RIVM, 2020)","plainTextFormattedCitation":"(RIVM, 2020)","previouslyFormattedCitation":"(RIVM, 2020)"},"properties":{"noteIndex":0},"schema":"https://github.com/citation-style-language/schema/raw/master/csl-citation.json"}</w:instrText>
      </w:r>
      <w:r w:rsidR="00847EB6" w:rsidRPr="00E10B6E">
        <w:fldChar w:fldCharType="separate"/>
      </w:r>
      <w:r w:rsidR="00847EB6" w:rsidRPr="00E10B6E">
        <w:rPr>
          <w:noProof/>
        </w:rPr>
        <w:t>(RIVM, 2020)</w:t>
      </w:r>
      <w:r w:rsidR="00847EB6" w:rsidRPr="00E10B6E">
        <w:fldChar w:fldCharType="end"/>
      </w:r>
      <w:r w:rsidR="00A82401" w:rsidRPr="00E10B6E">
        <w:t>, and a European Plastic Pact involving a vast network of companies, states</w:t>
      </w:r>
      <w:r w:rsidR="004D4F10" w:rsidRPr="00E10B6E">
        <w:t>,</w:t>
      </w:r>
      <w:r w:rsidR="00A82401" w:rsidRPr="00E10B6E">
        <w:t xml:space="preserve"> and organisations </w:t>
      </w:r>
      <w:r w:rsidR="00A82401" w:rsidRPr="00E10B6E">
        <w:fldChar w:fldCharType="begin" w:fldLock="1"/>
      </w:r>
      <w:r w:rsidR="00B44428" w:rsidRPr="00E10B6E">
        <w:instrText>ADDIN CSL_CITATION {"citationItems":[{"id":"ITEM-1","itemData":{"URL":"https://europeanplasticspact.org/faq/#1582282239050-8b51ea83-b17d","accessed":{"date-parts":[["2020","3","17"]]},"author":[{"dropping-particle":"","family":"EPP","given":"","non-dropping-particle":"","parse-names":false,"suffix":""}],"id":"ITEM-1","issued":{"date-parts":[["2020"]]},"title":"Frequently Asked Questions - European Plastics Pact","type":"webpage"},"uris":["http://www.mendeley.com/documents/?uuid=a959c850-b3fe-3fa6-84ed-d95a4142985f"]}],"mendeley":{"formattedCitation":"(EPP, 2020)","plainTextFormattedCitation":"(EPP, 2020)","previouslyFormattedCitation":"(EPP, 2020)"},"properties":{"noteIndex":0},"schema":"https://github.com/citation-style-language/schema/raw/master/csl-citation.json"}</w:instrText>
      </w:r>
      <w:r w:rsidR="00A82401" w:rsidRPr="00E10B6E">
        <w:fldChar w:fldCharType="separate"/>
      </w:r>
      <w:r w:rsidR="00A82401" w:rsidRPr="00E10B6E">
        <w:rPr>
          <w:noProof/>
        </w:rPr>
        <w:t>(EPP, 2020)</w:t>
      </w:r>
      <w:r w:rsidR="00A82401" w:rsidRPr="00E10B6E">
        <w:fldChar w:fldCharType="end"/>
      </w:r>
      <w:r w:rsidR="00847EB6" w:rsidRPr="00E10B6E">
        <w:t>.</w:t>
      </w:r>
    </w:p>
    <w:p w14:paraId="3174DB13" w14:textId="5BDDBF1B" w:rsidR="0015424F" w:rsidRPr="00E10B6E" w:rsidRDefault="00934B8D" w:rsidP="0015424F">
      <w:pPr>
        <w:pStyle w:val="Heading2"/>
      </w:pPr>
      <w:bookmarkStart w:id="4" w:name="_Toc54274776"/>
      <w:r w:rsidRPr="00E10B6E">
        <w:t xml:space="preserve">1.2 </w:t>
      </w:r>
      <w:r w:rsidR="0015424F" w:rsidRPr="00E10B6E">
        <w:t>Scientific background and knowledge gap</w:t>
      </w:r>
      <w:bookmarkEnd w:id="4"/>
    </w:p>
    <w:p w14:paraId="43E0BE30" w14:textId="55879AC4" w:rsidR="002A244B" w:rsidRPr="00E10B6E" w:rsidRDefault="00012E95" w:rsidP="00F2539B">
      <w:pPr>
        <w:jc w:val="both"/>
      </w:pPr>
      <w:r w:rsidRPr="00E10B6E">
        <w:t>Given the relevance of the topic, the scientific literature regarding energy savings and reduction of CO</w:t>
      </w:r>
      <w:r w:rsidRPr="00E10B6E">
        <w:rPr>
          <w:vertAlign w:val="subscript"/>
        </w:rPr>
        <w:t>2</w:t>
      </w:r>
      <w:r w:rsidRPr="00E10B6E">
        <w:t xml:space="preserve"> emissions is rich. </w:t>
      </w:r>
      <w:r w:rsidR="007E0680" w:rsidRPr="00E10B6E">
        <w:t xml:space="preserve">Dunkelberg and colleagues, for instance, </w:t>
      </w:r>
      <w:r w:rsidR="002C688B" w:rsidRPr="00E10B6E">
        <w:t xml:space="preserve">researched innovative options to optimize the </w:t>
      </w:r>
      <w:r w:rsidR="003679D5" w:rsidRPr="00E10B6E">
        <w:t>efficiency of</w:t>
      </w:r>
      <w:r w:rsidR="002C688B" w:rsidRPr="00E10B6E">
        <w:t xml:space="preserve"> the plastics industry in </w:t>
      </w:r>
      <w:r w:rsidR="006C7B19" w:rsidRPr="00E10B6E">
        <w:t>three different locations in the USA, Canada and Germany</w:t>
      </w:r>
      <w:r w:rsidR="00FD667C" w:rsidRPr="00E10B6E">
        <w:t xml:space="preserve">, focusing </w:t>
      </w:r>
      <w:r w:rsidR="00493927" w:rsidRPr="00E10B6E">
        <w:t xml:space="preserve">on innovative </w:t>
      </w:r>
      <w:r w:rsidR="003679D5" w:rsidRPr="00E10B6E">
        <w:t xml:space="preserve">smart-grids to shift the energy supply between electricity and gas </w:t>
      </w:r>
      <w:r w:rsidR="003679D5" w:rsidRPr="00E10B6E">
        <w:fldChar w:fldCharType="begin" w:fldLock="1"/>
      </w:r>
      <w:r w:rsidR="00B44428" w:rsidRPr="00E10B6E">
        <w:instrText>ADDIN CSL_CITATION {"citationItems":[{"id":"ITEM-1","itemData":{"DOI":"10.1016/j.jclepro.2018.04.254","ISSN":"09596526","abstract":"In the United States, approximately one third of the energy end-use is from the industry which makes the industrial sector ranked number one in terms of energy consumption. One way to lower the energy consumption and to enhance the energy efficiency in the industry is to combine intelligent linkage of energy consumer, distribution, storage, and energy supply. In this paper, the research is focused on the study of these combinations leading to a smart industrial consumer which can interact in a “smart grid” system. This model-based study considers the energy supply of a plastic processing company, the processing machines as well as the factory hall including a HVAC system. The energy flows of all technologies are linked and interdependent. Different energy efficiency measures are integrated, and an innovative flexible high-temperature system is introduced. The complex energy flows are shown and the end and primary energy demand as well as the CO2 emissions are determined. The plastic processing industry mainly uses electric power for their facilities. To obtain flexibility in using machines from many different energy sources such as combined heat and power plant (CHP), heat by the burning of natural gas, or electrical grid, the electrical heating method is changed to thermal oil heating in many production machines. The study shows the energy saving potential for a typical manufacturing company located in three different locations in Germany, Canada and the USA. Based on the results of the study, the end energy demand increases due to thermal losses. Besides the primary energy demand can be reduced up to 34 percent through a flexible use of different energy sources. Furthermore, a high degree of flexibility can be achieved.","author":[{"dropping-particle":"","family":"Dunkelberg","given":"Heiko","non-dropping-particle":"","parse-names":false,"suffix":""},{"dropping-particle":"","family":"Wagner","given":"Johannes","non-dropping-particle":"","parse-names":false,"suffix":""},{"dropping-particle":"","family":"Hannen","given":"Conrad","non-dropping-particle":"","parse-names":false,"suffix":""},{"dropping-particle":"","family":"Schlüter","given":"B. Alexander","non-dropping-particle":"","parse-names":false,"suffix":""},{"dropping-particle":"","family":"Phan","given":"Long","non-dropping-particle":"","parse-names":false,"suffix":""},{"dropping-particle":"","family":"Hesselbach","given":"Jens","non-dropping-particle":"","parse-names":false,"suffix":""},{"dropping-particle":"","family":"Lin","given":"Cheng Xian","non-dropping-particle":"","parse-names":false,"suffix":""}],"container-title":"Journal of Cleaner Production","id":"ITEM-1","issued":{"date-parts":[["2018","8","10"]]},"page":"790-800","publisher":"Elsevier Ltd","title":"Optimization of the energy supply in the plastics industry to reduce the primary energy demand","type":"article-journal","volume":"192"},"uris":["http://www.mendeley.com/documents/?uuid=0de66e24-b669-3708-a85e-ee11b05957f7"]}],"mendeley":{"formattedCitation":"(Dunkelberg et al., 2018)","plainTextFormattedCitation":"(Dunkelberg et al., 2018)","previouslyFormattedCitation":"(Dunkelberg et al., 2018)"},"properties":{"noteIndex":0},"schema":"https://github.com/citation-style-language/schema/raw/master/csl-citation.json"}</w:instrText>
      </w:r>
      <w:r w:rsidR="003679D5" w:rsidRPr="00E10B6E">
        <w:fldChar w:fldCharType="separate"/>
      </w:r>
      <w:r w:rsidR="003679D5" w:rsidRPr="00E10B6E">
        <w:rPr>
          <w:noProof/>
        </w:rPr>
        <w:t>(Dunkelberg et al., 2018)</w:t>
      </w:r>
      <w:r w:rsidR="003679D5" w:rsidRPr="00E10B6E">
        <w:fldChar w:fldCharType="end"/>
      </w:r>
      <w:r w:rsidR="00FC341E" w:rsidRPr="00E10B6E">
        <w:t xml:space="preserve"> A</w:t>
      </w:r>
      <w:r w:rsidR="002E0088" w:rsidRPr="00E10B6E">
        <w:t xml:space="preserve">nother study </w:t>
      </w:r>
      <w:r w:rsidR="00FB0860" w:rsidRPr="00E10B6E">
        <w:t>analysed energy</w:t>
      </w:r>
      <w:r w:rsidR="00F52340" w:rsidRPr="00E10B6E">
        <w:t>-</w:t>
      </w:r>
      <w:r w:rsidR="00FB0860" w:rsidRPr="00E10B6E">
        <w:t xml:space="preserve">saving measures </w:t>
      </w:r>
      <w:r w:rsidR="0090437C" w:rsidRPr="00E10B6E">
        <w:t xml:space="preserve">and waste heat recovery options </w:t>
      </w:r>
      <w:r w:rsidR="00FB0860" w:rsidRPr="00E10B6E">
        <w:t>for plastic</w:t>
      </w:r>
      <w:r w:rsidR="0090437C" w:rsidRPr="00E10B6E">
        <w:t xml:space="preserve"> processing plants </w:t>
      </w:r>
      <w:r w:rsidR="00804604" w:rsidRPr="00E10B6E">
        <w:fldChar w:fldCharType="begin" w:fldLock="1"/>
      </w:r>
      <w:r w:rsidR="00B44428" w:rsidRPr="00E10B6E">
        <w:instrText>ADDIN CSL_CITATION {"citationItems":[{"id":"ITEM-1","itemData":{"DOI":"10.1016/j.jclepro.2016.01.037","ISSN":"09596526","abstract":"Significant increases in industry energy efficiency are crucial for the transformation of the world's energy systems. Many production sites offer high energy savings capabilities, and if these are accompanied by short periods of economic amortization, companies should be willing to act. This case study provides a novel and extended energy assessment for plastics processing plants including primary energy, greenhouse gas emissions, and energy costs. The research distinguishes between the standard form of separate individual energy assessments and provides a more innovative holistic approach taking all relevant energy flows within the production system into account. Dynamic simulation offers a quick and effective way to predict the results of the possible energy saving measures highlighted in this analysis. The paper presents validated energy consumption simulations based on realistic processing conditions for two injection molding factories in different climatic zones. The results show that combining a number of separate energy saving measures can reduce the primary energy demand by around 26% for a German plant under temperate climate conditions and 20% for a Western Australian plant under Mediterranean conditions. However, when the separate energy saving measures are holistically combined the reduction in energy use significantly increases to 41% and 43% respectively. This holistic energy strategy involves incorporating better cogeneration and waste heat recovery options. For small and medium sized companies in particular major energy infrastructure investments may often be considered too expensive without examining the extended benefits from a holistic energy assessment perspective. In contrast, a holistic framework, like the one suggested in this paper could provide a number of new options for increasing energy efficiency that individually might normally not be accepted under conventional economic rate of return analysis.","author":[{"dropping-particle":"","family":"Schlüter","given":"B. Alexander","non-dropping-particle":"","parse-names":false,"suffix":""},{"dropping-particle":"","family":"Rosano","given":"Michele B.","non-dropping-particle":"","parse-names":false,"suffix":""}],"container-title":"Journal of Cleaner Production","id":"ITEM-1","issued":{"date-parts":[["2016","4","1"]]},"page":"19-28","publisher":"Elsevier Ltd","title":"A holistic approach to energy efficiency assessment in plastic processing","type":"article-journal","volume":"118"},"uris":["http://www.mendeley.com/documents/?uuid=37ea561b-ef82-36ae-a011-013d7f1e0ce4"]}],"mendeley":{"formattedCitation":"(Schlüter &amp; Rosano, 2016)","plainTextFormattedCitation":"(Schlüter &amp; Rosano, 2016)","previouslyFormattedCitation":"(Schlüter &amp; Rosano, 2016)"},"properties":{"noteIndex":0},"schema":"https://github.com/citation-style-language/schema/raw/master/csl-citation.json"}</w:instrText>
      </w:r>
      <w:r w:rsidR="00804604" w:rsidRPr="00E10B6E">
        <w:fldChar w:fldCharType="separate"/>
      </w:r>
      <w:r w:rsidR="00804604" w:rsidRPr="00E10B6E">
        <w:rPr>
          <w:noProof/>
        </w:rPr>
        <w:t>(Schlüter &amp; Rosano, 2016)</w:t>
      </w:r>
      <w:r w:rsidR="00804604" w:rsidRPr="00E10B6E">
        <w:fldChar w:fldCharType="end"/>
      </w:r>
      <w:r w:rsidR="00FC341E" w:rsidRPr="00E10B6E">
        <w:t xml:space="preserve">, and </w:t>
      </w:r>
      <w:r w:rsidR="00F93AD6" w:rsidRPr="00E10B6E">
        <w:t xml:space="preserve">the </w:t>
      </w:r>
      <w:r w:rsidR="00456BE9" w:rsidRPr="00E10B6E">
        <w:t xml:space="preserve">energy efficiency of plastic polymer plants </w:t>
      </w:r>
      <w:r w:rsidR="00522117" w:rsidRPr="00E10B6E">
        <w:t xml:space="preserve">operating under different climatic conditions has been investigated too </w:t>
      </w:r>
      <w:r w:rsidR="00522117" w:rsidRPr="00E10B6E">
        <w:fldChar w:fldCharType="begin" w:fldLock="1"/>
      </w:r>
      <w:r w:rsidR="00B44428" w:rsidRPr="00E10B6E">
        <w:instrText>ADDIN CSL_CITATION {"citationItems":[{"id":"ITEM-1","itemData":{"DOI":"10.1007/s40095-015-0200-2","ISSN":"22516832","abstract":"Polymer processing is an energy-intensive industry. The plastification of polymers requires a high volume of electric power for thermal energy. Electricity based power is the common form of energy in polymer processing and provides obvious potential for a reduction in energy use and costs. Measures to avoid production-based conversion losses, total conversion and transportation losses in energy used all have social, national, economic and business relevance. A bottom-up evaluation of four different production factories in this study assesses the potential for energy use improvements. The resulting theoretical assessment suggested that reducing primary energy demand is the most powerful target for reducing energy intensity in the polymer industry followed by the introduction of improved technologies to raise energy efficiency. The transferability of the conclusions was supported by the comparison between two different geographic locations for polymer production in Germany and Western Australia. The findings of this research suggest potential in their use in ‘green’ decision-making in the plastics industry.","author":[{"dropping-particle":"","family":"Khripko","given":"Diana","non-dropping-particle":"","parse-names":false,"suffix":""},{"dropping-particle":"","family":"Schlüter","given":"B. Alexander","non-dropping-particle":"","parse-names":false,"suffix":""},{"dropping-particle":"","family":"Rommel","given":"Benjamin","non-dropping-particle":"","parse-names":false,"suffix":""},{"dropping-particle":"","family":"Rosano","given":"Michele","non-dropping-particle":"","parse-names":false,"suffix":""},{"dropping-particle":"","family":"Hesselbach","given":"Jens","non-dropping-particle":"","parse-names":false,"suffix":""}],"container-title":"International Journal of Energy and Environmental Engineering","id":"ITEM-1","issue":"2","issued":{"date-parts":[["2016","6","1"]]},"page":"225-233","publisher":"Springer Verlag","title":"Energy demand and efficiency measures in polymer processing: comparison between temperate and Mediterranean operating plants","type":"article-journal","volume":"7"},"uris":["http://www.mendeley.com/documents/?uuid=63563db2-6e29-387a-9996-09a1f3d4ab5d"]}],"mendeley":{"formattedCitation":"(Khripko et al., 2016)","plainTextFormattedCitation":"(Khripko et al., 2016)","previouslyFormattedCitation":"(Khripko et al., 2016)"},"properties":{"noteIndex":0},"schema":"https://github.com/citation-style-language/schema/raw/master/csl-citation.json"}</w:instrText>
      </w:r>
      <w:r w:rsidR="00522117" w:rsidRPr="00E10B6E">
        <w:fldChar w:fldCharType="separate"/>
      </w:r>
      <w:r w:rsidR="00522117" w:rsidRPr="00E10B6E">
        <w:rPr>
          <w:noProof/>
        </w:rPr>
        <w:t>(Khripko et al., 2016)</w:t>
      </w:r>
      <w:r w:rsidR="00522117" w:rsidRPr="00E10B6E">
        <w:fldChar w:fldCharType="end"/>
      </w:r>
      <w:r w:rsidR="00522117" w:rsidRPr="00E10B6E">
        <w:t xml:space="preserve">. </w:t>
      </w:r>
      <w:r w:rsidR="00944698" w:rsidRPr="00E10B6E">
        <w:t>To the best of the author’s knowledge</w:t>
      </w:r>
      <w:r w:rsidR="00B31530" w:rsidRPr="00E10B6E">
        <w:t xml:space="preserve">, however, </w:t>
      </w:r>
      <w:r w:rsidR="00F52340" w:rsidRPr="00E10B6E">
        <w:t>no studies are</w:t>
      </w:r>
      <w:r w:rsidR="00944698" w:rsidRPr="00E10B6E">
        <w:t xml:space="preserve"> </w:t>
      </w:r>
      <w:r w:rsidR="00071DFA" w:rsidRPr="00E10B6E">
        <w:t>cover</w:t>
      </w:r>
      <w:r w:rsidR="00944698" w:rsidRPr="00E10B6E">
        <w:t>ing</w:t>
      </w:r>
      <w:r w:rsidR="00071DFA" w:rsidRPr="00E10B6E">
        <w:t xml:space="preserve"> the specific situation </w:t>
      </w:r>
      <w:r w:rsidR="00944698" w:rsidRPr="00E10B6E">
        <w:t>and/</w:t>
      </w:r>
      <w:r w:rsidR="00071DFA" w:rsidRPr="00E10B6E">
        <w:t>or provid</w:t>
      </w:r>
      <w:r w:rsidR="00944698" w:rsidRPr="00E10B6E">
        <w:t>ing</w:t>
      </w:r>
      <w:r w:rsidR="00071DFA" w:rsidRPr="00E10B6E">
        <w:t xml:space="preserve"> decarbonisation options and strategies for the </w:t>
      </w:r>
      <w:r w:rsidR="002A244B" w:rsidRPr="00E10B6E">
        <w:t xml:space="preserve">plastics industry in the </w:t>
      </w:r>
      <w:r w:rsidR="00071DFA" w:rsidRPr="00E10B6E">
        <w:t>Netherlands.</w:t>
      </w:r>
      <w:r w:rsidR="00944698" w:rsidRPr="00E10B6E">
        <w:t xml:space="preserve"> </w:t>
      </w:r>
      <w:r w:rsidR="009B694E" w:rsidRPr="00E10B6E">
        <w:t xml:space="preserve">To facilitate the </w:t>
      </w:r>
      <w:r w:rsidR="00B1467E" w:rsidRPr="00E10B6E">
        <w:t>achieve</w:t>
      </w:r>
      <w:r w:rsidR="009B694E" w:rsidRPr="00E10B6E">
        <w:t>ment of</w:t>
      </w:r>
      <w:r w:rsidR="00B1467E" w:rsidRPr="00E10B6E">
        <w:t xml:space="preserve"> its </w:t>
      </w:r>
      <w:r w:rsidR="00A13AF6" w:rsidRPr="00E10B6E">
        <w:t xml:space="preserve">national </w:t>
      </w:r>
      <w:r w:rsidR="00B1467E" w:rsidRPr="00E10B6E">
        <w:t>targets</w:t>
      </w:r>
      <w:r w:rsidR="002A244B" w:rsidRPr="00E10B6E">
        <w:t>, t</w:t>
      </w:r>
      <w:r w:rsidR="00E4489B" w:rsidRPr="00E10B6E">
        <w:t xml:space="preserve">he Dutch government </w:t>
      </w:r>
      <w:r w:rsidR="00B1467E" w:rsidRPr="00E10B6E">
        <w:t>has entrusted PBL (Netherlands Environmental Assessment Agency) and TNO (Netherlands Organisation for Applied Scientific Research) to fill this knowledge gap.</w:t>
      </w:r>
      <w:r w:rsidR="00A13AF6" w:rsidRPr="00E10B6E">
        <w:t xml:space="preserve"> The collaboration of the two entities resulted in the creation of the MIDDEN project (Manufacturing Industry Decarbonisation Data Exchange Network)</w:t>
      </w:r>
      <w:r w:rsidR="00D062D1" w:rsidRPr="00E10B6E">
        <w:t xml:space="preserve">, which has the goal </w:t>
      </w:r>
      <w:r w:rsidR="00D44C76" w:rsidRPr="00E10B6E">
        <w:t xml:space="preserve">of gathering up-to-date information on Dutch industrial locations, processes, and products, along with a wide variety of decarbonisation options for those processes </w:t>
      </w:r>
      <w:r w:rsidR="00325173" w:rsidRPr="00E10B6E">
        <w:fldChar w:fldCharType="begin" w:fldLock="1"/>
      </w:r>
      <w:r w:rsidR="00EC4E33" w:rsidRPr="00E10B6E">
        <w:instrText>ADDIN CSL_CITATION {"citationItems":[{"id":"ITEM-1","itemData":{"URL":"https://www.pbl.nl/en/middenweb/project-summary","accessed":{"date-parts":[["2020","3","10"]]},"author":[{"dropping-particle":"","family":"PBL","given":"","non-dropping-particle":"","parse-names":false,"suffix":""}],"id":"ITEM-1","issued":{"date-parts":[["2020"]]},"title":"MIDDEN: Manufacturing Industry Decarbonisation Data Exchange Network Project summary | PBL Netherlands Environmental Assessment Agency","type":"webpage"},"uris":["http://www.mendeley.com/documents/?uuid=4ede8eec-98bb-3a5b-8297-7624a358886d"]}],"mendeley":{"formattedCitation":"(PBL, 2020)","plainTextFormattedCitation":"(PBL, 2020)","previouslyFormattedCitation":"(PBL, 2020)"},"properties":{"noteIndex":0},"schema":"https://github.com/citation-style-language/schema/raw/master/csl-citation.json"}</w:instrText>
      </w:r>
      <w:r w:rsidR="00325173" w:rsidRPr="00E10B6E">
        <w:fldChar w:fldCharType="separate"/>
      </w:r>
      <w:r w:rsidR="00B44428" w:rsidRPr="00E10B6E">
        <w:rPr>
          <w:noProof/>
        </w:rPr>
        <w:t>(PBL, 2020)</w:t>
      </w:r>
      <w:r w:rsidR="00325173" w:rsidRPr="00E10B6E">
        <w:fldChar w:fldCharType="end"/>
      </w:r>
      <w:r w:rsidR="00D44C76" w:rsidRPr="00E10B6E">
        <w:t>.</w:t>
      </w:r>
      <w:r w:rsidR="00325173" w:rsidRPr="00E10B6E">
        <w:t xml:space="preserve"> </w:t>
      </w:r>
    </w:p>
    <w:p w14:paraId="52D2A624" w14:textId="4814DE2C" w:rsidR="0015424F" w:rsidRPr="00E10B6E" w:rsidRDefault="00934B8D" w:rsidP="0015424F">
      <w:pPr>
        <w:pStyle w:val="Heading2"/>
      </w:pPr>
      <w:bookmarkStart w:id="5" w:name="_Toc54274777"/>
      <w:r w:rsidRPr="00E10B6E">
        <w:t xml:space="preserve">1.3 </w:t>
      </w:r>
      <w:r w:rsidR="0015424F" w:rsidRPr="00E10B6E">
        <w:t xml:space="preserve">Research </w:t>
      </w:r>
      <w:r w:rsidR="002B45BD" w:rsidRPr="00E10B6E">
        <w:t xml:space="preserve">scope, </w:t>
      </w:r>
      <w:r w:rsidR="0015424F" w:rsidRPr="00E10B6E">
        <w:t>objective</w:t>
      </w:r>
      <w:r w:rsidR="004C1747" w:rsidRPr="00E10B6E">
        <w:t>,</w:t>
      </w:r>
      <w:r w:rsidR="0015424F" w:rsidRPr="00E10B6E">
        <w:t xml:space="preserve"> and questions</w:t>
      </w:r>
      <w:bookmarkEnd w:id="5"/>
    </w:p>
    <w:p w14:paraId="4A16C389" w14:textId="214E819A" w:rsidR="001810D8" w:rsidRPr="00E10B6E" w:rsidRDefault="001810D8" w:rsidP="00290348">
      <w:pPr>
        <w:jc w:val="both"/>
      </w:pPr>
      <w:r w:rsidRPr="00E10B6E">
        <w:t xml:space="preserve">As the MIDDEN covers the whole Dutch industrial sector, </w:t>
      </w:r>
      <w:r w:rsidR="0075233F" w:rsidRPr="00E10B6E">
        <w:t>many researchers from TNO and PBL are involved in the projects</w:t>
      </w:r>
      <w:r w:rsidR="00152539" w:rsidRPr="00E10B6E">
        <w:t xml:space="preserve">, each focusing on a different sub-sector (e.g. paper, ceramics, natural gas, etc). </w:t>
      </w:r>
      <w:r w:rsidR="000768EA" w:rsidRPr="00E10B6E">
        <w:t>This paper is dedicated to the production of polyolefin</w:t>
      </w:r>
      <w:r w:rsidR="00C95321" w:rsidRPr="00E10B6E">
        <w:t xml:space="preserve">s, namely polyethylene (PE) and polypropylene (PP), which together constitute half of the European demand for plastics </w:t>
      </w:r>
      <w:r w:rsidR="00C95321" w:rsidRPr="00E10B6E">
        <w:fldChar w:fldCharType="begin" w:fldLock="1"/>
      </w:r>
      <w:r w:rsidR="00DA070D"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C95321" w:rsidRPr="00E10B6E">
        <w:fldChar w:fldCharType="separate"/>
      </w:r>
      <w:r w:rsidR="00C95321" w:rsidRPr="00E10B6E">
        <w:rPr>
          <w:noProof/>
        </w:rPr>
        <w:t>(PlasticsEurope, 2019)</w:t>
      </w:r>
      <w:r w:rsidR="00C95321" w:rsidRPr="00E10B6E">
        <w:fldChar w:fldCharType="end"/>
      </w:r>
      <w:r w:rsidR="00C95321" w:rsidRPr="00E10B6E">
        <w:t>.</w:t>
      </w:r>
    </w:p>
    <w:p w14:paraId="5BA12C7A" w14:textId="0196BCB0" w:rsidR="000A5B70" w:rsidRPr="00E10B6E" w:rsidRDefault="000A5B70" w:rsidP="00290348">
      <w:pPr>
        <w:jc w:val="both"/>
      </w:pPr>
      <w:r w:rsidRPr="00E10B6E">
        <w:t xml:space="preserve">The goal of this master’s thesis and </w:t>
      </w:r>
      <w:r w:rsidR="00EA78EF" w:rsidRPr="00E10B6E">
        <w:t xml:space="preserve">connected </w:t>
      </w:r>
      <w:r w:rsidR="009A6CE0" w:rsidRPr="00E10B6E">
        <w:t xml:space="preserve">MIDDEN </w:t>
      </w:r>
      <w:r w:rsidR="00EA78EF" w:rsidRPr="00E10B6E">
        <w:t>report is</w:t>
      </w:r>
      <w:r w:rsidR="000914DD" w:rsidRPr="00E10B6E">
        <w:t xml:space="preserve"> thus</w:t>
      </w:r>
      <w:r w:rsidR="00EA78EF" w:rsidRPr="00E10B6E">
        <w:t xml:space="preserve"> to provide a complete and transparent overview of the </w:t>
      </w:r>
      <w:r w:rsidR="000914DD" w:rsidRPr="00E10B6E">
        <w:t>PE and PP</w:t>
      </w:r>
      <w:r w:rsidR="00EA78EF" w:rsidRPr="00E10B6E">
        <w:t xml:space="preserve"> </w:t>
      </w:r>
      <w:r w:rsidR="00AD295C" w:rsidRPr="00E10B6E">
        <w:t xml:space="preserve">industry in the Netherlands, the connected energy and material flows, </w:t>
      </w:r>
      <w:r w:rsidR="006053FF" w:rsidRPr="00E10B6E">
        <w:t xml:space="preserve">the associated emissions of </w:t>
      </w:r>
      <w:r w:rsidR="001D6F55" w:rsidRPr="00E10B6E">
        <w:t>GHG</w:t>
      </w:r>
      <w:r w:rsidR="006053FF" w:rsidRPr="00E10B6E">
        <w:t xml:space="preserve"> </w:t>
      </w:r>
      <w:r w:rsidR="00AD295C" w:rsidRPr="00E10B6E">
        <w:t xml:space="preserve">and the </w:t>
      </w:r>
      <w:r w:rsidR="00DE0396" w:rsidRPr="00E10B6E">
        <w:t xml:space="preserve">decarbonisation </w:t>
      </w:r>
      <w:r w:rsidR="00AD295C" w:rsidRPr="00E10B6E">
        <w:t xml:space="preserve">options </w:t>
      </w:r>
      <w:r w:rsidR="00DE0396" w:rsidRPr="00E10B6E">
        <w:t xml:space="preserve">able </w:t>
      </w:r>
      <w:r w:rsidR="00AD295C" w:rsidRPr="00E10B6E">
        <w:t xml:space="preserve">to reduce the impact </w:t>
      </w:r>
      <w:r w:rsidR="00E416A7" w:rsidRPr="00E10B6E">
        <w:t>o</w:t>
      </w:r>
      <w:r w:rsidR="00AD295C" w:rsidRPr="00E10B6E">
        <w:t>n the environment.</w:t>
      </w:r>
      <w:r w:rsidR="000138CF" w:rsidRPr="00E10B6E">
        <w:t xml:space="preserve"> Th</w:t>
      </w:r>
      <w:r w:rsidR="00A11A6E" w:rsidRPr="00E10B6E">
        <w:t xml:space="preserve">is </w:t>
      </w:r>
      <w:r w:rsidR="001D6F55" w:rsidRPr="00E10B6E">
        <w:t xml:space="preserve">objective will be achieved by answering the following </w:t>
      </w:r>
      <w:r w:rsidR="00A11A6E" w:rsidRPr="00E10B6E">
        <w:t>main</w:t>
      </w:r>
      <w:r w:rsidR="000138CF" w:rsidRPr="00E10B6E">
        <w:t xml:space="preserve"> research question:</w:t>
      </w:r>
    </w:p>
    <w:p w14:paraId="69D111D4" w14:textId="553B12C0" w:rsidR="00290348" w:rsidRPr="00E10B6E" w:rsidRDefault="00807F19" w:rsidP="00513980">
      <w:pPr>
        <w:ind w:left="720"/>
        <w:jc w:val="both"/>
        <w:rPr>
          <w:i/>
          <w:iCs/>
        </w:rPr>
      </w:pPr>
      <w:r w:rsidRPr="00E10B6E">
        <w:rPr>
          <w:i/>
          <w:iCs/>
        </w:rPr>
        <w:t xml:space="preserve">What is the </w:t>
      </w:r>
      <w:r w:rsidR="00CB74C2" w:rsidRPr="00E10B6E">
        <w:rPr>
          <w:i/>
          <w:iCs/>
        </w:rPr>
        <w:t xml:space="preserve">current state of polyolefins production </w:t>
      </w:r>
      <w:r w:rsidR="00CC2EE3" w:rsidRPr="00E10B6E">
        <w:rPr>
          <w:i/>
          <w:iCs/>
        </w:rPr>
        <w:t>in the Netherlands</w:t>
      </w:r>
      <w:r w:rsidR="00CB74C2" w:rsidRPr="00E10B6E">
        <w:rPr>
          <w:i/>
          <w:iCs/>
        </w:rPr>
        <w:t xml:space="preserve">, </w:t>
      </w:r>
      <w:r w:rsidR="00CC2EE3" w:rsidRPr="00E10B6E">
        <w:rPr>
          <w:i/>
          <w:iCs/>
        </w:rPr>
        <w:t xml:space="preserve">and what </w:t>
      </w:r>
      <w:r w:rsidR="00CB74C2" w:rsidRPr="00E10B6E">
        <w:rPr>
          <w:i/>
          <w:iCs/>
        </w:rPr>
        <w:t xml:space="preserve">are </w:t>
      </w:r>
      <w:r w:rsidR="00CC2EE3" w:rsidRPr="00E10B6E">
        <w:rPr>
          <w:i/>
          <w:iCs/>
        </w:rPr>
        <w:t>the potential decarbonisation options</w:t>
      </w:r>
      <w:r w:rsidR="006171D0" w:rsidRPr="00E10B6E">
        <w:rPr>
          <w:i/>
          <w:iCs/>
        </w:rPr>
        <w:t xml:space="preserve"> </w:t>
      </w:r>
      <w:r w:rsidR="00DF6F43" w:rsidRPr="00E10B6E">
        <w:rPr>
          <w:i/>
          <w:iCs/>
        </w:rPr>
        <w:t xml:space="preserve">to </w:t>
      </w:r>
      <w:r w:rsidR="0060373E" w:rsidRPr="00E10B6E">
        <w:rPr>
          <w:i/>
          <w:iCs/>
        </w:rPr>
        <w:t>mitigate</w:t>
      </w:r>
      <w:r w:rsidR="00DF6F43" w:rsidRPr="00E10B6E">
        <w:rPr>
          <w:i/>
          <w:iCs/>
        </w:rPr>
        <w:t xml:space="preserve"> </w:t>
      </w:r>
      <w:r w:rsidR="0060373E" w:rsidRPr="00E10B6E">
        <w:rPr>
          <w:i/>
          <w:iCs/>
        </w:rPr>
        <w:t xml:space="preserve">its impact on </w:t>
      </w:r>
      <w:r w:rsidR="005F45D6" w:rsidRPr="00E10B6E">
        <w:rPr>
          <w:i/>
          <w:iCs/>
        </w:rPr>
        <w:t>climate change</w:t>
      </w:r>
      <w:r w:rsidR="006171D0" w:rsidRPr="00E10B6E">
        <w:rPr>
          <w:i/>
          <w:iCs/>
        </w:rPr>
        <w:t>?</w:t>
      </w:r>
    </w:p>
    <w:p w14:paraId="4278ACC4" w14:textId="4E49359B" w:rsidR="000138CF" w:rsidRPr="00E10B6E" w:rsidRDefault="00290348" w:rsidP="00290348">
      <w:pPr>
        <w:jc w:val="both"/>
      </w:pPr>
      <w:r w:rsidRPr="00E10B6E">
        <w:t>This research question can be divided in</w:t>
      </w:r>
      <w:r w:rsidR="00F52340" w:rsidRPr="00E10B6E">
        <w:t>to</w:t>
      </w:r>
      <w:r w:rsidRPr="00E10B6E">
        <w:t xml:space="preserve"> </w:t>
      </w:r>
      <w:r w:rsidR="001C4216" w:rsidRPr="00E10B6E">
        <w:t>four</w:t>
      </w:r>
      <w:r w:rsidRPr="00E10B6E">
        <w:t xml:space="preserve"> sub-questions:</w:t>
      </w:r>
    </w:p>
    <w:p w14:paraId="0D6D6ADE" w14:textId="454FCCB2" w:rsidR="00183ACD" w:rsidRPr="00E10B6E" w:rsidRDefault="00183ACD" w:rsidP="00183ACD">
      <w:pPr>
        <w:pStyle w:val="ListParagraph"/>
        <w:numPr>
          <w:ilvl w:val="0"/>
          <w:numId w:val="14"/>
        </w:numPr>
        <w:jc w:val="both"/>
      </w:pPr>
      <w:r w:rsidRPr="00E10B6E">
        <w:rPr>
          <w:i/>
          <w:iCs/>
        </w:rPr>
        <w:lastRenderedPageBreak/>
        <w:t>What are the main applications of polyolefins, and what is the volume demand of each consumer sector in the Netherlands?</w:t>
      </w:r>
    </w:p>
    <w:p w14:paraId="216C971E" w14:textId="4EDE7F16" w:rsidR="00183ACD" w:rsidRPr="00E10B6E" w:rsidRDefault="00183ACD" w:rsidP="00183ACD">
      <w:pPr>
        <w:pStyle w:val="ListParagraph"/>
        <w:numPr>
          <w:ilvl w:val="0"/>
          <w:numId w:val="14"/>
        </w:numPr>
        <w:jc w:val="both"/>
      </w:pPr>
      <w:bookmarkStart w:id="6" w:name="_Hlk52027157"/>
      <w:r w:rsidRPr="00E10B6E">
        <w:rPr>
          <w:i/>
          <w:iCs/>
        </w:rPr>
        <w:t>Who are the main producers of polyolefins in the Netherlands, and what are their production volumes, energy use, and carbon emissions</w:t>
      </w:r>
      <w:bookmarkEnd w:id="6"/>
      <w:r w:rsidRPr="00E10B6E">
        <w:rPr>
          <w:i/>
          <w:iCs/>
        </w:rPr>
        <w:t>?</w:t>
      </w:r>
    </w:p>
    <w:p w14:paraId="05902B93" w14:textId="77777777" w:rsidR="00056F35" w:rsidRPr="00E10B6E" w:rsidRDefault="00445B9B" w:rsidP="00056F35">
      <w:pPr>
        <w:pStyle w:val="ListParagraph"/>
        <w:numPr>
          <w:ilvl w:val="0"/>
          <w:numId w:val="14"/>
        </w:numPr>
        <w:jc w:val="both"/>
      </w:pPr>
      <w:r w:rsidRPr="00E10B6E">
        <w:rPr>
          <w:i/>
          <w:iCs/>
        </w:rPr>
        <w:t>What are the main polymerisation processes, and what are their associated costs, energy and material uses, and CO</w:t>
      </w:r>
      <w:r w:rsidRPr="00E10B6E">
        <w:rPr>
          <w:i/>
          <w:iCs/>
          <w:vertAlign w:val="subscript"/>
        </w:rPr>
        <w:t>2</w:t>
      </w:r>
      <w:r w:rsidRPr="00E10B6E">
        <w:rPr>
          <w:i/>
          <w:iCs/>
        </w:rPr>
        <w:t xml:space="preserve"> emissions?</w:t>
      </w:r>
    </w:p>
    <w:p w14:paraId="6E8886B8" w14:textId="702A3D21" w:rsidR="000213A8" w:rsidRPr="00E10B6E" w:rsidRDefault="000213A8" w:rsidP="00056F35">
      <w:pPr>
        <w:pStyle w:val="ListParagraph"/>
        <w:numPr>
          <w:ilvl w:val="0"/>
          <w:numId w:val="14"/>
        </w:numPr>
        <w:jc w:val="both"/>
      </w:pPr>
      <w:r w:rsidRPr="00E10B6E">
        <w:rPr>
          <w:i/>
          <w:iCs/>
        </w:rPr>
        <w:t>Wh</w:t>
      </w:r>
      <w:r w:rsidR="00056F35" w:rsidRPr="00E10B6E">
        <w:rPr>
          <w:i/>
          <w:iCs/>
        </w:rPr>
        <w:t xml:space="preserve">ich </w:t>
      </w:r>
      <w:r w:rsidR="00560988" w:rsidRPr="00E10B6E">
        <w:rPr>
          <w:i/>
          <w:iCs/>
        </w:rPr>
        <w:t xml:space="preserve">available </w:t>
      </w:r>
      <w:r w:rsidR="0090352A" w:rsidRPr="00E10B6E">
        <w:rPr>
          <w:i/>
          <w:iCs/>
        </w:rPr>
        <w:t xml:space="preserve">decarbonisation </w:t>
      </w:r>
      <w:r w:rsidR="00056F35" w:rsidRPr="00E10B6E">
        <w:rPr>
          <w:i/>
          <w:iCs/>
        </w:rPr>
        <w:t>options are considered as most promising by the stakeholders, and to what extent</w:t>
      </w:r>
      <w:r w:rsidR="007E6BC0" w:rsidRPr="00E10B6E">
        <w:rPr>
          <w:i/>
          <w:iCs/>
        </w:rPr>
        <w:t xml:space="preserve"> are they technically, economically, and environmentally comparable to the current technologies?</w:t>
      </w:r>
    </w:p>
    <w:p w14:paraId="49C693DE" w14:textId="1E102466" w:rsidR="0015424F" w:rsidRPr="00E10B6E" w:rsidRDefault="00934B8D" w:rsidP="0015424F">
      <w:pPr>
        <w:pStyle w:val="Heading2"/>
      </w:pPr>
      <w:bookmarkStart w:id="7" w:name="_Toc54274778"/>
      <w:r w:rsidRPr="00E10B6E">
        <w:t xml:space="preserve">1.4 </w:t>
      </w:r>
      <w:r w:rsidR="0015424F" w:rsidRPr="00E10B6E">
        <w:t>Societal and scientific relevance</w:t>
      </w:r>
      <w:bookmarkEnd w:id="7"/>
    </w:p>
    <w:p w14:paraId="5ACA4C4F" w14:textId="699A646E" w:rsidR="00E17349" w:rsidRPr="00E10B6E" w:rsidRDefault="00AB20B4" w:rsidP="002527B5">
      <w:pPr>
        <w:jc w:val="both"/>
      </w:pPr>
      <w:r w:rsidRPr="00E10B6E">
        <w:t xml:space="preserve">The master’s thesis will be written while </w:t>
      </w:r>
      <w:r w:rsidR="00BC01AD" w:rsidRPr="00E10B6E">
        <w:t xml:space="preserve">working at TNO </w:t>
      </w:r>
      <w:r w:rsidR="00D32407" w:rsidRPr="00E10B6E">
        <w:t>Utrecht</w:t>
      </w:r>
      <w:r w:rsidR="00BC01AD" w:rsidRPr="00E10B6E">
        <w:t xml:space="preserve"> </w:t>
      </w:r>
      <w:r w:rsidR="00D32407" w:rsidRPr="00E10B6E">
        <w:t>as part of</w:t>
      </w:r>
      <w:r w:rsidR="009E7D69" w:rsidRPr="00E10B6E">
        <w:t xml:space="preserve"> the MIDDEN project</w:t>
      </w:r>
      <w:r w:rsidR="00D32407" w:rsidRPr="00E10B6E">
        <w:t xml:space="preserve">, </w:t>
      </w:r>
      <w:r w:rsidR="00EB2BBE" w:rsidRPr="00E10B6E">
        <w:t>with the goal of</w:t>
      </w:r>
      <w:r w:rsidR="00F022A2" w:rsidRPr="00E10B6E">
        <w:t xml:space="preserve"> supporting industry and policymakers in their </w:t>
      </w:r>
      <w:r w:rsidR="005176CA" w:rsidRPr="00E10B6E">
        <w:t xml:space="preserve">efforts to achieve deep decarbonisation in the Netherlands. </w:t>
      </w:r>
      <w:r w:rsidR="00FE37F0" w:rsidRPr="00E10B6E">
        <w:t xml:space="preserve">By answering the aforementioned research questions with both qualitative and quantitative </w:t>
      </w:r>
      <w:r w:rsidR="00602F27" w:rsidRPr="00E10B6E">
        <w:t>information</w:t>
      </w:r>
      <w:r w:rsidR="00FE37F0" w:rsidRPr="00E10B6E">
        <w:t>, t</w:t>
      </w:r>
      <w:r w:rsidR="005176CA" w:rsidRPr="00E10B6E">
        <w:t xml:space="preserve">his master’s thesis and the </w:t>
      </w:r>
      <w:r w:rsidR="00FE37F0" w:rsidRPr="00E10B6E">
        <w:t>associated</w:t>
      </w:r>
      <w:r w:rsidR="005176CA" w:rsidRPr="00E10B6E">
        <w:t xml:space="preserve"> MIDDEN report </w:t>
      </w:r>
      <w:r w:rsidR="00960291" w:rsidRPr="00E10B6E">
        <w:t xml:space="preserve">will </w:t>
      </w:r>
      <w:r w:rsidR="008E0F51" w:rsidRPr="00E10B6E">
        <w:t xml:space="preserve">provide </w:t>
      </w:r>
      <w:r w:rsidR="00881EC5" w:rsidRPr="00E10B6E">
        <w:t xml:space="preserve">the </w:t>
      </w:r>
      <w:r w:rsidR="00FE37F0" w:rsidRPr="00E10B6E">
        <w:t xml:space="preserve">Dutch </w:t>
      </w:r>
      <w:r w:rsidR="00881EC5" w:rsidRPr="00E10B6E">
        <w:t>government and plastics industry with</w:t>
      </w:r>
      <w:r w:rsidR="008E0F51" w:rsidRPr="00E10B6E">
        <w:t xml:space="preserve"> </w:t>
      </w:r>
      <w:r w:rsidR="003F1866" w:rsidRPr="00E10B6E">
        <w:t xml:space="preserve">the necessary </w:t>
      </w:r>
      <w:r w:rsidR="00881EC5" w:rsidRPr="00E10B6E">
        <w:t>data and tools to</w:t>
      </w:r>
      <w:r w:rsidR="008E0F51" w:rsidRPr="00E10B6E">
        <w:t xml:space="preserve"> improve</w:t>
      </w:r>
      <w:r w:rsidR="00960291" w:rsidRPr="00E10B6E">
        <w:t xml:space="preserve"> the decision-making process</w:t>
      </w:r>
      <w:r w:rsidR="00881EC5" w:rsidRPr="00E10B6E">
        <w:t xml:space="preserve">, thus further helping to achieve the national and European </w:t>
      </w:r>
      <w:r w:rsidR="003F1866" w:rsidRPr="00E10B6E">
        <w:t xml:space="preserve">goals of </w:t>
      </w:r>
      <w:r w:rsidR="00881EC5" w:rsidRPr="00E10B6E">
        <w:t>the Netherlands</w:t>
      </w:r>
      <w:r w:rsidR="00602F27" w:rsidRPr="00E10B6E">
        <w:t xml:space="preserve"> to tackle climate change and reduce the environmental impact of plastics production.</w:t>
      </w:r>
      <w:r w:rsidR="002457A5" w:rsidRPr="00E10B6E">
        <w:t xml:space="preserve"> Additionally, the methodological approach of this study </w:t>
      </w:r>
      <w:r w:rsidR="00720184" w:rsidRPr="00E10B6E">
        <w:t xml:space="preserve">may serve as </w:t>
      </w:r>
      <w:r w:rsidR="00F52340" w:rsidRPr="00E10B6E">
        <w:t xml:space="preserve">a </w:t>
      </w:r>
      <w:r w:rsidR="00720184" w:rsidRPr="00E10B6E">
        <w:t xml:space="preserve">model for future </w:t>
      </w:r>
      <w:r w:rsidR="00E416A7" w:rsidRPr="00E10B6E">
        <w:t>research</w:t>
      </w:r>
      <w:r w:rsidR="00720184" w:rsidRPr="00E10B6E">
        <w:t xml:space="preserve"> in other countries and/or sectors, possibly facilitating scientific findings and </w:t>
      </w:r>
      <w:r w:rsidR="000902B0" w:rsidRPr="00E10B6E">
        <w:t>decarbonisation roadmaps.</w:t>
      </w:r>
    </w:p>
    <w:p w14:paraId="4B2C62CE" w14:textId="77777777" w:rsidR="00865BF3" w:rsidRPr="00E10B6E" w:rsidRDefault="00865BF3">
      <w:pPr>
        <w:rPr>
          <w:rFonts w:asciiTheme="majorHAnsi" w:eastAsiaTheme="majorEastAsia" w:hAnsiTheme="majorHAnsi" w:cstheme="majorBidi"/>
          <w:b/>
          <w:bCs/>
          <w:color w:val="2F5496" w:themeColor="accent1" w:themeShade="BF"/>
          <w:sz w:val="32"/>
          <w:szCs w:val="32"/>
        </w:rPr>
      </w:pPr>
      <w:r w:rsidRPr="00E10B6E">
        <w:rPr>
          <w:b/>
          <w:bCs/>
        </w:rPr>
        <w:br w:type="page"/>
      </w:r>
    </w:p>
    <w:p w14:paraId="6D003243" w14:textId="641DBDA7" w:rsidR="0015424F" w:rsidRPr="00E10B6E" w:rsidRDefault="00AF5902" w:rsidP="0078694D">
      <w:pPr>
        <w:pStyle w:val="Heading1"/>
        <w:spacing w:before="480"/>
        <w:rPr>
          <w:b/>
          <w:bCs/>
          <w:sz w:val="40"/>
          <w:szCs w:val="40"/>
        </w:rPr>
      </w:pPr>
      <w:bookmarkStart w:id="8" w:name="_Toc54274779"/>
      <w:r w:rsidRPr="00E10B6E">
        <w:rPr>
          <w:b/>
          <w:bCs/>
          <w:sz w:val="40"/>
          <w:szCs w:val="40"/>
        </w:rPr>
        <w:lastRenderedPageBreak/>
        <w:t>2</w:t>
      </w:r>
      <w:r w:rsidR="001C1D78" w:rsidRPr="00E10B6E">
        <w:rPr>
          <w:b/>
          <w:bCs/>
          <w:sz w:val="40"/>
          <w:szCs w:val="40"/>
        </w:rPr>
        <w:t>.</w:t>
      </w:r>
      <w:r w:rsidRPr="00E10B6E">
        <w:rPr>
          <w:b/>
          <w:bCs/>
          <w:sz w:val="40"/>
          <w:szCs w:val="40"/>
        </w:rPr>
        <w:t xml:space="preserve"> BACKGROUND INFORMATION</w:t>
      </w:r>
      <w:bookmarkEnd w:id="8"/>
    </w:p>
    <w:p w14:paraId="54105DCA" w14:textId="558BA1C1" w:rsidR="008948D1" w:rsidRPr="00E10B6E" w:rsidRDefault="005B0669" w:rsidP="005B0669">
      <w:pPr>
        <w:pStyle w:val="Heading2"/>
      </w:pPr>
      <w:bookmarkStart w:id="9" w:name="_Toc54274780"/>
      <w:r w:rsidRPr="00E10B6E">
        <w:t xml:space="preserve">2.1 </w:t>
      </w:r>
      <w:r w:rsidR="00760613" w:rsidRPr="00E10B6E">
        <w:t>Plastics types</w:t>
      </w:r>
      <w:bookmarkEnd w:id="9"/>
    </w:p>
    <w:p w14:paraId="63822D7B" w14:textId="630BCA18" w:rsidR="00F54077" w:rsidRPr="00E10B6E" w:rsidRDefault="00124396" w:rsidP="00B6658F">
      <w:pPr>
        <w:jc w:val="both"/>
      </w:pPr>
      <w:r w:rsidRPr="00E10B6E">
        <w:t xml:space="preserve">Plastics (from the Greek word ''plastikos'', meaning fit for moulding) is the term used to describe the wide range of synthetic materials used in a wide and growing range of </w:t>
      </w:r>
      <w:r w:rsidR="00330D2B" w:rsidRPr="00E10B6E">
        <w:t xml:space="preserve">industrial and consumer </w:t>
      </w:r>
      <w:r w:rsidRPr="00E10B6E">
        <w:t xml:space="preserve">applications, from packaging and clothing to construction and electronics. Plastics are extremely </w:t>
      </w:r>
      <w:r w:rsidR="0028444D" w:rsidRPr="00E10B6E">
        <w:t>v</w:t>
      </w:r>
      <w:r w:rsidRPr="00E10B6E">
        <w:t>ersatile materials</w:t>
      </w:r>
      <w:r w:rsidR="00330D2B" w:rsidRPr="00E10B6E">
        <w:t xml:space="preserve"> with </w:t>
      </w:r>
      <w:r w:rsidRPr="00E10B6E">
        <w:t>lightweight</w:t>
      </w:r>
      <w:r w:rsidR="00330D2B" w:rsidRPr="00E10B6E">
        <w:t>,</w:t>
      </w:r>
      <w:r w:rsidRPr="00E10B6E">
        <w:t xml:space="preserve"> thermal and electrical insulation</w:t>
      </w:r>
      <w:r w:rsidR="00330D2B" w:rsidRPr="00E10B6E">
        <w:t>,</w:t>
      </w:r>
      <w:r w:rsidRPr="00E10B6E">
        <w:t xml:space="preserve"> </w:t>
      </w:r>
      <w:r w:rsidR="0028444D" w:rsidRPr="00E10B6E">
        <w:t xml:space="preserve">and </w:t>
      </w:r>
      <w:r w:rsidR="00330D2B" w:rsidRPr="00E10B6E">
        <w:t xml:space="preserve">resistance to </w:t>
      </w:r>
      <w:r w:rsidRPr="00E10B6E">
        <w:t>corrosion</w:t>
      </w:r>
      <w:r w:rsidR="0028444D" w:rsidRPr="00E10B6E">
        <w:t>. Their characteristic of being</w:t>
      </w:r>
      <w:r w:rsidRPr="00E10B6E">
        <w:t xml:space="preserve"> easily moulded into complex shapes</w:t>
      </w:r>
      <w:r w:rsidR="0028444D" w:rsidRPr="00E10B6E">
        <w:t xml:space="preserve"> allow them to be integrated into</w:t>
      </w:r>
      <w:r w:rsidR="00D417F0" w:rsidRPr="00E10B6E">
        <w:t xml:space="preserve"> composite products, and the aforementioned </w:t>
      </w:r>
      <w:r w:rsidRPr="00E10B6E">
        <w:t xml:space="preserve">properties can be </w:t>
      </w:r>
      <w:r w:rsidR="00D417F0" w:rsidRPr="00E10B6E">
        <w:t xml:space="preserve">enhanced or </w:t>
      </w:r>
      <w:r w:rsidRPr="00E10B6E">
        <w:t>modified with additi</w:t>
      </w:r>
      <w:r w:rsidR="00DC6408" w:rsidRPr="00E10B6E">
        <w:t>ves</w:t>
      </w:r>
      <w:r w:rsidRPr="00E10B6E">
        <w:t xml:space="preserve"> </w:t>
      </w:r>
      <w:r w:rsidR="00DC6408" w:rsidRPr="00E10B6E">
        <w:t>(e.g.</w:t>
      </w:r>
      <w:r w:rsidRPr="00E10B6E">
        <w:t xml:space="preserve"> flame retardants, </w:t>
      </w:r>
      <w:r w:rsidR="006C7D65" w:rsidRPr="00E10B6E">
        <w:t>colours, reinforcing fillers, and foaming agents</w:t>
      </w:r>
      <w:r w:rsidR="00DC6408" w:rsidRPr="00E10B6E">
        <w:t>)</w:t>
      </w:r>
      <w:r w:rsidRPr="00E10B6E">
        <w:t xml:space="preserve"> to meet the demands of specific application</w:t>
      </w:r>
      <w:r w:rsidR="006C7D65" w:rsidRPr="00E10B6E">
        <w:t>s</w:t>
      </w:r>
      <w:r w:rsidR="004D0BC9" w:rsidRPr="00E10B6E">
        <w:t xml:space="preserve"> </w:t>
      </w:r>
      <w:r w:rsidR="004D0BC9" w:rsidRPr="00E10B6E">
        <w:fldChar w:fldCharType="begin" w:fldLock="1"/>
      </w:r>
      <w:r w:rsidR="00A02D74" w:rsidRPr="00E10B6E">
        <w:instrText>ADDIN CSL_CITATION {"citationItems":[{"id":"ITEM-1","itemData":{"URL":"https://www.plasticseurope.org/en/about-plastics/what-are-plastics","accessed":{"date-parts":[["2020","3","9"]]},"author":[{"dropping-particle":"","family":"PlasticsEurope","given":"","non-dropping-particle":"","parse-names":false,"suffix":""}],"id":"ITEM-1","issued":{"date-parts":[["2020"]]},"title":"What are plastics","type":"webpage"},"uris":["http://www.mendeley.com/documents/?uuid=ee7c7bf9-fbb9-41d8-b30b-3644589b8240"]}],"mendeley":{"formattedCitation":"(PlasticsEurope, 2020a)","plainTextFormattedCitation":"(PlasticsEurope, 2020a)","previouslyFormattedCitation":"(PlasticsEurope, 2020a)"},"properties":{"noteIndex":0},"schema":"https://github.com/citation-style-language/schema/raw/master/csl-citation.json"}</w:instrText>
      </w:r>
      <w:r w:rsidR="004D0BC9" w:rsidRPr="00E10B6E">
        <w:fldChar w:fldCharType="separate"/>
      </w:r>
      <w:r w:rsidR="000258CF" w:rsidRPr="00E10B6E">
        <w:rPr>
          <w:noProof/>
        </w:rPr>
        <w:t>(PlasticsEurope, 2020a)</w:t>
      </w:r>
      <w:r w:rsidR="004D0BC9" w:rsidRPr="00E10B6E">
        <w:fldChar w:fldCharType="end"/>
      </w:r>
      <w:r w:rsidR="008325C7" w:rsidRPr="00E10B6E">
        <w:t>.</w:t>
      </w:r>
      <w:r w:rsidR="004B4DBB" w:rsidRPr="00E10B6E">
        <w:t xml:space="preserve"> </w:t>
      </w:r>
    </w:p>
    <w:p w14:paraId="42DBB636" w14:textId="5654D767" w:rsidR="001C134A" w:rsidRPr="00E10B6E" w:rsidRDefault="00B6658F" w:rsidP="00B6658F">
      <w:pPr>
        <w:jc w:val="both"/>
      </w:pPr>
      <w:r w:rsidRPr="00E10B6E">
        <w:t>Plastics can be divided in</w:t>
      </w:r>
      <w:r w:rsidR="00F52340" w:rsidRPr="00E10B6E">
        <w:t>to</w:t>
      </w:r>
      <w:r w:rsidRPr="00E10B6E">
        <w:t xml:space="preserve"> two major categories: thermoplastics and thermosets. The first group </w:t>
      </w:r>
      <w:r w:rsidR="00124396" w:rsidRPr="00E10B6E">
        <w:t>h</w:t>
      </w:r>
      <w:r w:rsidRPr="00E10B6E">
        <w:t>as</w:t>
      </w:r>
      <w:r w:rsidR="00124396" w:rsidRPr="00E10B6E">
        <w:t xml:space="preserve"> a simple structure </w:t>
      </w:r>
      <w:r w:rsidR="00B92DD6" w:rsidRPr="00E10B6E">
        <w:t>made by</w:t>
      </w:r>
      <w:r w:rsidR="00124396" w:rsidRPr="00E10B6E">
        <w:t xml:space="preserve"> chemically independent macromolecules</w:t>
      </w:r>
      <w:r w:rsidR="00B92DD6" w:rsidRPr="00E10B6E">
        <w:t xml:space="preserve"> then melt u</w:t>
      </w:r>
      <w:r w:rsidR="00124396" w:rsidRPr="00E10B6E">
        <w:t>pon heating</w:t>
      </w:r>
      <w:r w:rsidR="00B92DD6" w:rsidRPr="00E10B6E">
        <w:t xml:space="preserve"> and can</w:t>
      </w:r>
      <w:r w:rsidR="00124396" w:rsidRPr="00E10B6E">
        <w:t xml:space="preserve"> then shaped, welded, and solidified </w:t>
      </w:r>
      <w:r w:rsidR="00B92DD6" w:rsidRPr="00E10B6E">
        <w:t>after being</w:t>
      </w:r>
      <w:r w:rsidR="00124396" w:rsidRPr="00E10B6E">
        <w:t xml:space="preserve"> cooled</w:t>
      </w:r>
      <w:r w:rsidR="00F15A33" w:rsidRPr="00E10B6E">
        <w:t>;</w:t>
      </w:r>
      <w:r w:rsidR="00124396" w:rsidRPr="00E10B6E">
        <w:t xml:space="preserve"> </w:t>
      </w:r>
      <w:r w:rsidR="00F15A33" w:rsidRPr="00E10B6E">
        <w:t>t</w:t>
      </w:r>
      <w:r w:rsidR="005760E8" w:rsidRPr="00E10B6E">
        <w:t xml:space="preserve">his process can </w:t>
      </w:r>
      <w:r w:rsidR="00124396" w:rsidRPr="00E10B6E">
        <w:t>be repeated</w:t>
      </w:r>
      <w:r w:rsidR="005760E8" w:rsidRPr="00E10B6E">
        <w:t xml:space="preserve"> multiple times</w:t>
      </w:r>
      <w:r w:rsidR="00124396" w:rsidRPr="00E10B6E">
        <w:t xml:space="preserve">, allowing </w:t>
      </w:r>
      <w:r w:rsidR="005760E8" w:rsidRPr="00E10B6E">
        <w:t xml:space="preserve">thermoplastics to be </w:t>
      </w:r>
      <w:r w:rsidR="00124396" w:rsidRPr="00E10B6E">
        <w:t>reprocess</w:t>
      </w:r>
      <w:r w:rsidR="005760E8" w:rsidRPr="00E10B6E">
        <w:t>ed</w:t>
      </w:r>
      <w:r w:rsidR="00124396" w:rsidRPr="00E10B6E">
        <w:t xml:space="preserve"> and recyc</w:t>
      </w:r>
      <w:r w:rsidR="005760E8" w:rsidRPr="00E10B6E">
        <w:t>led</w:t>
      </w:r>
      <w:r w:rsidR="00124396" w:rsidRPr="00E10B6E">
        <w:t>.</w:t>
      </w:r>
      <w:r w:rsidR="00F15A33" w:rsidRPr="00E10B6E">
        <w:t xml:space="preserve"> The second group </w:t>
      </w:r>
      <w:r w:rsidR="00D719F8" w:rsidRPr="00E10B6E">
        <w:t xml:space="preserve">is made by crosslinking polymer chains and </w:t>
      </w:r>
      <w:r w:rsidR="000C6423" w:rsidRPr="00E10B6E">
        <w:t>is thus</w:t>
      </w:r>
      <w:r w:rsidR="00F15A33" w:rsidRPr="00E10B6E">
        <w:t xml:space="preserve"> generally stronger </w:t>
      </w:r>
      <w:r w:rsidR="00A12BB3" w:rsidRPr="00E10B6E">
        <w:t>than</w:t>
      </w:r>
      <w:r w:rsidR="000C6423" w:rsidRPr="00E10B6E">
        <w:t xml:space="preserve"> thermoplastic materials, but once hardened it cannot be reshaped.</w:t>
      </w:r>
      <w:r w:rsidR="00A12BB3" w:rsidRPr="00E10B6E">
        <w:t xml:space="preserve"> As seen in Figure 1, examples of thermosets include PUR (used for insulating foams, </w:t>
      </w:r>
      <w:r w:rsidR="00DB4C02" w:rsidRPr="00E10B6E">
        <w:t xml:space="preserve">flooring, </w:t>
      </w:r>
      <w:r w:rsidR="00A12BB3" w:rsidRPr="00E10B6E">
        <w:t xml:space="preserve">mattresses, etc) and </w:t>
      </w:r>
      <w:r w:rsidR="00B74066" w:rsidRPr="00E10B6E">
        <w:t xml:space="preserve">epoxy resins (used for protective coatings and sealings, casting and electronics </w:t>
      </w:r>
      <w:r w:rsidR="004F0641" w:rsidRPr="00E10B6E">
        <w:t>encapsulation, adhesives, etc).</w:t>
      </w:r>
    </w:p>
    <w:p w14:paraId="0C03B2F5" w14:textId="77777777" w:rsidR="00FC56A4" w:rsidRPr="00E10B6E" w:rsidRDefault="00346C15" w:rsidP="00FC56A4">
      <w:pPr>
        <w:keepNext/>
      </w:pPr>
      <w:r w:rsidRPr="00E10B6E">
        <w:rPr>
          <w:noProof/>
        </w:rPr>
        <w:drawing>
          <wp:inline distT="0" distB="0" distL="0" distR="0" wp14:anchorId="3036DB95" wp14:editId="0AC4DF14">
            <wp:extent cx="5667375" cy="4320000"/>
            <wp:effectExtent l="0" t="0" r="0" b="615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E8C5AB3" w14:textId="5561DD64" w:rsidR="005B0669" w:rsidRPr="00E10B6E" w:rsidRDefault="00FC56A4" w:rsidP="00FC56A4">
      <w:pPr>
        <w:pStyle w:val="Caption"/>
      </w:pPr>
      <w:r w:rsidRPr="00E10B6E">
        <w:t xml:space="preserve">Figure </w:t>
      </w:r>
      <w:r w:rsidR="00722F9A">
        <w:fldChar w:fldCharType="begin"/>
      </w:r>
      <w:r w:rsidR="00722F9A">
        <w:instrText xml:space="preserve"> SEQ Figure \* ARABIC </w:instrText>
      </w:r>
      <w:r w:rsidR="00722F9A">
        <w:fldChar w:fldCharType="separate"/>
      </w:r>
      <w:r w:rsidR="00983F73">
        <w:rPr>
          <w:noProof/>
        </w:rPr>
        <w:t>1</w:t>
      </w:r>
      <w:r w:rsidR="00722F9A">
        <w:rPr>
          <w:noProof/>
        </w:rPr>
        <w:fldChar w:fldCharType="end"/>
      </w:r>
      <w:r w:rsidRPr="00E10B6E">
        <w:t xml:space="preserve">: </w:t>
      </w:r>
      <w:r w:rsidR="0042042D" w:rsidRPr="00E10B6E">
        <w:t>Main c</w:t>
      </w:r>
      <w:r w:rsidRPr="00E10B6E">
        <w:t>ategories of plastics</w:t>
      </w:r>
      <w:r w:rsidR="00760613" w:rsidRPr="00E10B6E">
        <w:t>.</w:t>
      </w:r>
      <w:r w:rsidR="002815DA" w:rsidRPr="00E10B6E">
        <w:t xml:space="preserve"> Compiled from a collection of sources.</w:t>
      </w:r>
    </w:p>
    <w:p w14:paraId="0B5F84B9" w14:textId="54C72879" w:rsidR="004D0BC9" w:rsidRPr="00E10B6E" w:rsidRDefault="0042042D" w:rsidP="0042042D">
      <w:pPr>
        <w:pStyle w:val="Heading2"/>
      </w:pPr>
      <w:bookmarkStart w:id="10" w:name="_Toc54274781"/>
      <w:r w:rsidRPr="00E10B6E">
        <w:lastRenderedPageBreak/>
        <w:t xml:space="preserve">2.2 European </w:t>
      </w:r>
      <w:r w:rsidR="00AE7236" w:rsidRPr="00E10B6E">
        <w:t>plastic</w:t>
      </w:r>
      <w:r w:rsidR="00484F41" w:rsidRPr="00E10B6E">
        <w:t xml:space="preserve">s </w:t>
      </w:r>
      <w:r w:rsidRPr="00E10B6E">
        <w:t>market</w:t>
      </w:r>
      <w:bookmarkEnd w:id="10"/>
    </w:p>
    <w:p w14:paraId="0E5553EC" w14:textId="39A13D30" w:rsidR="006A07EB" w:rsidRPr="00E10B6E" w:rsidRDefault="00701F3A" w:rsidP="00FB5447">
      <w:pPr>
        <w:jc w:val="both"/>
      </w:pPr>
      <w:r w:rsidRPr="00E10B6E">
        <w:t>In 201</w:t>
      </w:r>
      <w:r w:rsidR="00543257" w:rsidRPr="00E10B6E">
        <w:t>8</w:t>
      </w:r>
      <w:r w:rsidRPr="00E10B6E">
        <w:t xml:space="preserve">, </w:t>
      </w:r>
      <w:r w:rsidR="00320D24" w:rsidRPr="00E10B6E">
        <w:t>plastic production reached 3</w:t>
      </w:r>
      <w:r w:rsidR="00543257" w:rsidRPr="00E10B6E">
        <w:t>6</w:t>
      </w:r>
      <w:r w:rsidR="00320D24" w:rsidRPr="00E10B6E">
        <w:t>0 million tonnes</w:t>
      </w:r>
      <w:r w:rsidR="006A0E3F" w:rsidRPr="00E10B6E">
        <w:t xml:space="preserve"> globally and 60 million tonnes in Europe</w:t>
      </w:r>
      <w:r w:rsidR="00F31F7A" w:rsidRPr="00E10B6E">
        <w:t xml:space="preserve">, of which </w:t>
      </w:r>
      <w:r w:rsidR="005B048C" w:rsidRPr="00E10B6E">
        <w:t>almost 8</w:t>
      </w:r>
      <w:r w:rsidR="00F31F7A" w:rsidRPr="00E10B6E">
        <w:t xml:space="preserve">0% was consumed by </w:t>
      </w:r>
      <w:r w:rsidR="00A4072E" w:rsidRPr="00E10B6E">
        <w:t>the six largest European countries (</w:t>
      </w:r>
      <w:r w:rsidR="00F31F7A" w:rsidRPr="00E10B6E">
        <w:t>Germany, Italy</w:t>
      </w:r>
      <w:r w:rsidR="00FB5447" w:rsidRPr="00E10B6E">
        <w:t>, France, Spain, United Kingdom</w:t>
      </w:r>
      <w:r w:rsidR="00177EC0" w:rsidRPr="00E10B6E">
        <w:t>,</w:t>
      </w:r>
      <w:r w:rsidR="00FB5447" w:rsidRPr="00E10B6E">
        <w:t xml:space="preserve"> and Poland</w:t>
      </w:r>
      <w:r w:rsidR="00A4072E" w:rsidRPr="00E10B6E">
        <w:t>) and the Benelux countries (</w:t>
      </w:r>
      <w:r w:rsidR="00177EC0" w:rsidRPr="00E10B6E">
        <w:t>Belgium, Netherlands, and Luxembourg)</w:t>
      </w:r>
      <w:r w:rsidR="00F77C82" w:rsidRPr="00E10B6E">
        <w:t xml:space="preserve"> </w:t>
      </w:r>
      <w:r w:rsidR="00F77C82" w:rsidRPr="00E10B6E">
        <w:fldChar w:fldCharType="begin" w:fldLock="1"/>
      </w:r>
      <w:r w:rsidR="00B44428"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F77C82" w:rsidRPr="00E10B6E">
        <w:fldChar w:fldCharType="separate"/>
      </w:r>
      <w:r w:rsidR="00F77C82" w:rsidRPr="00E10B6E">
        <w:rPr>
          <w:noProof/>
        </w:rPr>
        <w:t>(PlasticsEurope, 2019)</w:t>
      </w:r>
      <w:r w:rsidR="00F77C82" w:rsidRPr="00E10B6E">
        <w:fldChar w:fldCharType="end"/>
      </w:r>
      <w:r w:rsidR="00FB5447" w:rsidRPr="00E10B6E">
        <w:t>.</w:t>
      </w:r>
      <w:r w:rsidR="006B0EB8" w:rsidRPr="00E10B6E">
        <w:t xml:space="preserve"> Despite the existence of </w:t>
      </w:r>
      <w:r w:rsidR="006A6D93" w:rsidRPr="00E10B6E">
        <w:t xml:space="preserve">dozens of plastic types, Figure 2 shows how </w:t>
      </w:r>
      <w:r w:rsidR="00944768" w:rsidRPr="00E10B6E">
        <w:t xml:space="preserve">almost </w:t>
      </w:r>
      <w:r w:rsidR="006A6D93" w:rsidRPr="00E10B6E">
        <w:t xml:space="preserve">half of the European consumptions </w:t>
      </w:r>
      <w:r w:rsidR="00B45C42" w:rsidRPr="00E10B6E">
        <w:t xml:space="preserve">consists just of </w:t>
      </w:r>
      <w:r w:rsidR="00484F41" w:rsidRPr="00E10B6E">
        <w:t>polyethylene (PE) and polypro</w:t>
      </w:r>
      <w:r w:rsidR="002B55A8" w:rsidRPr="00E10B6E">
        <w:t>p</w:t>
      </w:r>
      <w:r w:rsidR="00484F41" w:rsidRPr="00E10B6E">
        <w:t>ylene (</w:t>
      </w:r>
      <w:r w:rsidR="00B45C42" w:rsidRPr="00E10B6E">
        <w:t>PP</w:t>
      </w:r>
      <w:r w:rsidR="00484F41" w:rsidRPr="00E10B6E">
        <w:t>)</w:t>
      </w:r>
      <w:r w:rsidR="002B55A8" w:rsidRPr="00E10B6E">
        <w:t xml:space="preserve">. </w:t>
      </w:r>
    </w:p>
    <w:p w14:paraId="4AA76D54" w14:textId="77777777" w:rsidR="005C0218" w:rsidRPr="00E10B6E" w:rsidRDefault="006827EE" w:rsidP="005C0218">
      <w:pPr>
        <w:keepNext/>
        <w:jc w:val="both"/>
      </w:pPr>
      <w:r w:rsidRPr="00E10B6E">
        <w:rPr>
          <w:noProof/>
        </w:rPr>
        <w:drawing>
          <wp:inline distT="0" distB="0" distL="0" distR="0" wp14:anchorId="722148B5" wp14:editId="7768946D">
            <wp:extent cx="5686425" cy="28289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56CD47" w14:textId="00A818D4" w:rsidR="00B45C42" w:rsidRPr="00E10B6E" w:rsidRDefault="005C0218" w:rsidP="005C0218">
      <w:pPr>
        <w:pStyle w:val="Caption"/>
        <w:jc w:val="both"/>
      </w:pPr>
      <w:r w:rsidRPr="00E10B6E">
        <w:t xml:space="preserve">Figure </w:t>
      </w:r>
      <w:r w:rsidR="00722F9A">
        <w:fldChar w:fldCharType="begin"/>
      </w:r>
      <w:r w:rsidR="00722F9A">
        <w:instrText xml:space="preserve"> SEQ Figure \* ARABIC </w:instrText>
      </w:r>
      <w:r w:rsidR="00722F9A">
        <w:fldChar w:fldCharType="separate"/>
      </w:r>
      <w:r w:rsidR="00983F73">
        <w:rPr>
          <w:noProof/>
        </w:rPr>
        <w:t>2</w:t>
      </w:r>
      <w:r w:rsidR="00722F9A">
        <w:rPr>
          <w:noProof/>
        </w:rPr>
        <w:fldChar w:fldCharType="end"/>
      </w:r>
      <w:r w:rsidRPr="00E10B6E">
        <w:t>: Distribution of European plastic demand in 201</w:t>
      </w:r>
      <w:r w:rsidR="003F3B2C" w:rsidRPr="00E10B6E">
        <w:t>8</w:t>
      </w:r>
      <w:r w:rsidR="00F518B9" w:rsidRPr="00E10B6E">
        <w:t>, based on</w:t>
      </w:r>
      <w:r w:rsidRPr="00E10B6E">
        <w:t xml:space="preserve"> data from</w:t>
      </w:r>
      <w:r w:rsidR="00F77C82" w:rsidRPr="00E10B6E">
        <w:t xml:space="preserve"> </w:t>
      </w:r>
      <w:r w:rsidR="00F77C82" w:rsidRPr="00E10B6E">
        <w:fldChar w:fldCharType="begin" w:fldLock="1"/>
      </w:r>
      <w:r w:rsidR="00B44428"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F77C82" w:rsidRPr="00E10B6E">
        <w:fldChar w:fldCharType="separate"/>
      </w:r>
      <w:r w:rsidR="00F77C82" w:rsidRPr="00E10B6E">
        <w:rPr>
          <w:i w:val="0"/>
          <w:noProof/>
        </w:rPr>
        <w:t>(PlasticsEurope, 2019)</w:t>
      </w:r>
      <w:r w:rsidR="00F77C82" w:rsidRPr="00E10B6E">
        <w:fldChar w:fldCharType="end"/>
      </w:r>
      <w:r w:rsidR="00944768" w:rsidRPr="00E10B6E">
        <w:t>.</w:t>
      </w:r>
    </w:p>
    <w:p w14:paraId="79392B08" w14:textId="4F949E37" w:rsidR="006A07EB" w:rsidRPr="00E10B6E" w:rsidRDefault="006A07EB" w:rsidP="006A07EB">
      <w:pPr>
        <w:jc w:val="both"/>
      </w:pPr>
      <w:r w:rsidRPr="00E10B6E">
        <w:t>Overall, the European manufacturing and processing plastics industry had a turnover of more than 360 billion euros with a positive trade balance of more than 15 billion euros with extra-European countries, thus being the 7</w:t>
      </w:r>
      <w:r w:rsidRPr="00E10B6E">
        <w:rPr>
          <w:vertAlign w:val="superscript"/>
        </w:rPr>
        <w:t>th</w:t>
      </w:r>
      <w:r w:rsidRPr="00E10B6E">
        <w:t xml:space="preserve"> most important sector for industrial value added </w:t>
      </w:r>
      <w:r w:rsidRPr="00E10B6E">
        <w:fldChar w:fldCharType="begin" w:fldLock="1"/>
      </w:r>
      <w:r w:rsidR="00B44428"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w:t>
      </w:r>
    </w:p>
    <w:p w14:paraId="25B73D9F" w14:textId="2EAB1AA7" w:rsidR="00DD2FE0" w:rsidRPr="00E10B6E" w:rsidRDefault="00BA40B3" w:rsidP="00DD2FE0">
      <w:pPr>
        <w:pStyle w:val="Heading2"/>
      </w:pPr>
      <w:bookmarkStart w:id="11" w:name="_Toc54274782"/>
      <w:r w:rsidRPr="00E10B6E">
        <w:t>2.</w:t>
      </w:r>
      <w:r w:rsidR="0042042D" w:rsidRPr="00E10B6E">
        <w:t>3</w:t>
      </w:r>
      <w:r w:rsidRPr="00E10B6E">
        <w:t xml:space="preserve"> </w:t>
      </w:r>
      <w:r w:rsidR="00DD2FE0" w:rsidRPr="00E10B6E">
        <w:t xml:space="preserve">Development history of </w:t>
      </w:r>
      <w:r w:rsidR="00B6603F" w:rsidRPr="00E10B6E">
        <w:t>p</w:t>
      </w:r>
      <w:r w:rsidR="00DD2FE0" w:rsidRPr="00E10B6E">
        <w:t>olyethylene (PE)</w:t>
      </w:r>
      <w:bookmarkEnd w:id="11"/>
    </w:p>
    <w:p w14:paraId="1E776382" w14:textId="7A5B589D" w:rsidR="00655DE4" w:rsidRPr="00E10B6E" w:rsidRDefault="00DD2FE0" w:rsidP="00655DE4">
      <w:pPr>
        <w:jc w:val="both"/>
      </w:pPr>
      <w:r w:rsidRPr="00E10B6E">
        <w:t>Polyethylene was first synthe</w:t>
      </w:r>
      <w:r w:rsidR="00F52340" w:rsidRPr="00E10B6E">
        <w:t>s</w:t>
      </w:r>
      <w:r w:rsidRPr="00E10B6E">
        <w:t>ized in 1930 by Professor Carl Shipp Marvel after an experiment involving ethylene gas and an organometallic catalyst at high temperatures, but DuPont, the company Marvel was working for, failed to realise the commercial possibilities of the product</w:t>
      </w:r>
      <w:r w:rsidR="00BE2CB9" w:rsidRPr="00E10B6E">
        <w:t xml:space="preserve"> </w:t>
      </w:r>
      <w:r w:rsidR="007A4BF3" w:rsidRPr="00E10B6E">
        <w:fldChar w:fldCharType="begin" w:fldLock="1"/>
      </w:r>
      <w:r w:rsidR="00B44428" w:rsidRPr="00E10B6E">
        <w:instrText>ADDIN CSL_CITATION {"citationItems":[{"id":"ITEM-1","itemData":{"DOI":"10.1007/978-3-319-25982-6_2","abstract":"This book describes industrial applications of polyolefins from the researchers' perspective. Polyolefins constitute today arguably the most important class of polymers and polymeric materials for widespread industrial applications. This book summarizes the present state of the art. Starting from fundamental aspects, such as the polymerization techniques to synthesize polyolefins, the book introduces the topic. Basic knowledge about polyolefin composites and blends is explained, before applications aspects in different industry sectors are discussed.The spectrum comprises a wide range of applications and industry sectors, such as the packaging and food industry, the textile industry, automotive and buildings, and even biomedical applications. Topics, which are addressed in the various chapters, comprise synthesis and processing of the materials; their classification; mechanical, physical and technical requirements and properties; their characterization; and many more. In the end of the book, even the disposal, degradation and recycling of polyolefins are addressed, and light is shed on their commercial significance and economic value.In this way, the book follows the entire 'lifetime' of polyolefin compounds and materials: from their synthesis and processing, over applications, to the recycling and reuse of disposed or degraded polyolefin substrates.","author":[{"dropping-particle":"","family":"Hutley","given":"Trevor J.","non-dropping-particle":"","parse-names":false,"suffix":""},{"dropping-particle":"","family":"Ouederni","given":"Mabrouk","non-dropping-particle":"","parse-names":false,"suffix":""}],"container-title":"Polyolefin Compounds and Materials ","editor":[{"dropping-particle":"","family":"Ma'adeed","given":"M","non-dropping-particle":"Al","parse-names":false,"suffix":""},{"dropping-particle":"","family":"Krupa","given":"I","non-dropping-particle":"","parse-names":false,"suffix":""}],"id":"ITEM-1","issued":{"date-parts":[["2016"]]},"page":"13-50","publisher":"Springer","publisher-place":"Berlin","title":"Polyolefins—The History and Economic Impact","type":"chapter"},"uris":["http://www.mendeley.com/documents/?uuid=b9347f75-f38d-372c-aaf4-8e9037b4b5b1"]}],"mendeley":{"formattedCitation":"(Hutley &amp; Ouederni, 2016)","plainTextFormattedCitation":"(Hutley &amp; Ouederni, 2016)","previouslyFormattedCitation":"(Hutley &amp; Ouederni, 2016)"},"properties":{"noteIndex":0},"schema":"https://github.com/citation-style-language/schema/raw/master/csl-citation.json"}</w:instrText>
      </w:r>
      <w:r w:rsidR="007A4BF3" w:rsidRPr="00E10B6E">
        <w:fldChar w:fldCharType="separate"/>
      </w:r>
      <w:r w:rsidR="007A4BF3" w:rsidRPr="00E10B6E">
        <w:rPr>
          <w:noProof/>
        </w:rPr>
        <w:t>(Hutley &amp; Ouederni, 2016)</w:t>
      </w:r>
      <w:r w:rsidR="007A4BF3" w:rsidRPr="00E10B6E">
        <w:fldChar w:fldCharType="end"/>
      </w:r>
      <w:r w:rsidRPr="00E10B6E">
        <w:t>. In 1933, another experiment by Eric William Fawcett and Reginald Oswald Gibson of the Imperial Chemical Industries (ICI) Research Laboratory led to the high-pressure polymerization of what is now called low-density polyethylene (LDPE)</w:t>
      </w:r>
      <w:r w:rsidR="007A4BF3" w:rsidRPr="00E10B6E">
        <w:t xml:space="preserve"> </w:t>
      </w:r>
      <w:r w:rsidR="007A4BF3" w:rsidRPr="00E10B6E">
        <w:fldChar w:fldCharType="begin" w:fldLock="1"/>
      </w:r>
      <w:r w:rsidR="00B44428" w:rsidRPr="00E10B6E">
        <w:instrText>ADDIN CSL_CITATION {"citationItems":[{"id":"ITEM-1","itemData":{"URL":"https://www.thechemicalengineer.com/features/cewctw-dermot-manning-and-colleagues-at-ici-plastic-fantastic/","accessed":{"date-parts":[["2020","3","9"]]},"author":[{"dropping-particle":"","family":"Flavell-While","given":"Claudia","non-dropping-particle":"","parse-names":false,"suffix":""}],"id":"ITEM-1","issued":{"date-parts":[["2020"]]},"title":"Dermot Manning and colleagues at ICI – Plastic Fantastic - Features - The Chemical Engineer","type":"webpage"},"uris":["http://www.mendeley.com/documents/?uuid=2ccfb608-bf22-3fcf-9892-7b86e0d5ec98"]}],"mendeley":{"formattedCitation":"(Flavell-While, 2020)","plainTextFormattedCitation":"(Flavell-While, 2020)","previouslyFormattedCitation":"(Flavell-While, 2020)"},"properties":{"noteIndex":0},"schema":"https://github.com/citation-style-language/schema/raw/master/csl-citation.json"}</w:instrText>
      </w:r>
      <w:r w:rsidR="007A4BF3" w:rsidRPr="00E10B6E">
        <w:fldChar w:fldCharType="separate"/>
      </w:r>
      <w:r w:rsidR="007A4BF3" w:rsidRPr="00E10B6E">
        <w:rPr>
          <w:noProof/>
        </w:rPr>
        <w:t>(Flavell-While, 2020)</w:t>
      </w:r>
      <w:r w:rsidR="007A4BF3" w:rsidRPr="00E10B6E">
        <w:fldChar w:fldCharType="end"/>
      </w:r>
      <w:r w:rsidRPr="00E10B6E">
        <w:t xml:space="preserve">. The process was patented by ICI in 1937 and in the following years many PE manufacturing plants were built to satisfy the increasing demand of telegraph cable insulation and, later, the high-frequency radar cables used during World War II by the Allied forces. LDPE is </w:t>
      </w:r>
      <w:r w:rsidR="003B4187" w:rsidRPr="00E10B6E">
        <w:t xml:space="preserve">a very flexible and durable plastic, and nowadays it is </w:t>
      </w:r>
      <w:r w:rsidRPr="00E10B6E">
        <w:t xml:space="preserve">mostly used to </w:t>
      </w:r>
      <w:r w:rsidR="003B4187" w:rsidRPr="00E10B6E">
        <w:t>manufacture</w:t>
      </w:r>
      <w:r w:rsidRPr="00E10B6E">
        <w:t xml:space="preserve"> reusable </w:t>
      </w:r>
      <w:r w:rsidR="00E27B68" w:rsidRPr="00E10B6E">
        <w:t xml:space="preserve">food </w:t>
      </w:r>
      <w:r w:rsidRPr="00E10B6E">
        <w:t>containers</w:t>
      </w:r>
      <w:r w:rsidR="004C009B" w:rsidRPr="00E10B6E">
        <w:t xml:space="preserve"> and</w:t>
      </w:r>
      <w:r w:rsidRPr="00E10B6E">
        <w:t xml:space="preserve"> trays, </w:t>
      </w:r>
      <w:r w:rsidR="00E27B68" w:rsidRPr="00E10B6E">
        <w:t>disposable shopping</w:t>
      </w:r>
      <w:r w:rsidR="003B4187" w:rsidRPr="00E10B6E">
        <w:t xml:space="preserve"> </w:t>
      </w:r>
      <w:r w:rsidRPr="00E10B6E">
        <w:t>bags</w:t>
      </w:r>
      <w:r w:rsidR="00E27B68" w:rsidRPr="00E10B6E">
        <w:t xml:space="preserve"> and packaging</w:t>
      </w:r>
      <w:r w:rsidRPr="00E10B6E">
        <w:t xml:space="preserve">, </w:t>
      </w:r>
      <w:r w:rsidR="004C009B" w:rsidRPr="00E10B6E">
        <w:t xml:space="preserve">squeezable bottles </w:t>
      </w:r>
      <w:r w:rsidRPr="00E10B6E">
        <w:t xml:space="preserve">and </w:t>
      </w:r>
      <w:r w:rsidR="004C009B" w:rsidRPr="00E10B6E">
        <w:t>cling-</w:t>
      </w:r>
      <w:r w:rsidRPr="00E10B6E">
        <w:t>film</w:t>
      </w:r>
      <w:r w:rsidR="007A4BF3" w:rsidRPr="00E10B6E">
        <w:t xml:space="preserve"> </w:t>
      </w:r>
      <w:r w:rsidR="007A4BF3" w:rsidRPr="00E10B6E">
        <w:fldChar w:fldCharType="begin" w:fldLock="1"/>
      </w:r>
      <w:r w:rsidR="00B44428" w:rsidRPr="00E10B6E">
        <w:instrText>ADDIN CSL_CITATION {"citationItems":[{"id":"ITEM-1","itemData":{"URL":"https://www.acplasticsinc.com/informationcenter/r/7-different-types-of-plastic-and-how-they-are-used","accessed":{"date-parts":[["2020","3","9"]]},"author":[{"dropping-particle":"","family":"A&amp;C Plastics","given":"","non-dropping-particle":"","parse-names":false,"suffix":""}],"id":"ITEM-1","issued":{"date-parts":[["2020"]]},"title":"What is Plastic Made Of - 7 Types of Plastic to Use for Your Project","type":"webpage"},"uris":["http://www.mendeley.com/documents/?uuid=922ef302-170d-32ab-8216-32dfb1aa5b9f"]}],"mendeley":{"formattedCitation":"(A&amp;C Plastics, 2020)","plainTextFormattedCitation":"(A&amp;C Plastics, 2020)","previouslyFormattedCitation":"(A&amp;C Plastics, 2020)"},"properties":{"noteIndex":0},"schema":"https://github.com/citation-style-language/schema/raw/master/csl-citation.json"}</w:instrText>
      </w:r>
      <w:r w:rsidR="007A4BF3" w:rsidRPr="00E10B6E">
        <w:fldChar w:fldCharType="separate"/>
      </w:r>
      <w:r w:rsidR="007A4BF3" w:rsidRPr="00E10B6E">
        <w:rPr>
          <w:noProof/>
        </w:rPr>
        <w:t>(A&amp;C Plastics, 2020)</w:t>
      </w:r>
      <w:r w:rsidR="007A4BF3" w:rsidRPr="00E10B6E">
        <w:fldChar w:fldCharType="end"/>
      </w:r>
      <w:r w:rsidRPr="00E10B6E">
        <w:t>. The process to produce high-density polyethylene (HDPE) was then discovered in 1953 by researchers Hogan and Banks of Phillips Petroleum Company using an innovative chromium oxide</w:t>
      </w:r>
      <w:r w:rsidR="00B37BE5" w:rsidRPr="00E10B6E">
        <w:t xml:space="preserve"> catalyst</w:t>
      </w:r>
      <w:r w:rsidRPr="00E10B6E">
        <w:t>. Although the process was patented and manufacturing plants were built, the product did not match with the market needs and the company faced some financial problems, until it partnered with the Wham-O Company to make over 100 million HulaHoops with HDPE tubes</w:t>
      </w:r>
      <w:r w:rsidR="007A4BF3" w:rsidRPr="00E10B6E">
        <w:t xml:space="preserve"> </w:t>
      </w:r>
      <w:r w:rsidR="007A4BF3" w:rsidRPr="00E10B6E">
        <w:fldChar w:fldCharType="begin" w:fldLock="1"/>
      </w:r>
      <w:r w:rsidR="00B44428" w:rsidRPr="00E10B6E">
        <w:instrText>ADDIN CSL_CITATION {"citationItems":[{"id":"ITEM-1","itemData":{"DOI":"10.1007/978-3-319-25982-6_2","abstract":"This book describes industrial applications of polyolefins from the researchers' perspective. Polyolefins constitute today arguably the most important class of polymers and polymeric materials for widespread industrial applications. This book summarizes the present state of the art. Starting from fundamental aspects, such as the polymerization techniques to synthesize polyolefins, the book introduces the topic. Basic knowledge about polyolefin composites and blends is explained, before applications aspects in different industry sectors are discussed.The spectrum comprises a wide range of applications and industry sectors, such as the packaging and food industry, the textile industry, automotive and buildings, and even biomedical applications. Topics, which are addressed in the various chapters, comprise synthesis and processing of the materials; their classification; mechanical, physical and technical requirements and properties; their characterization; and many more. In the end of the book, even the disposal, degradation and recycling of polyolefins are addressed, and light is shed on their commercial significance and economic value.In this way, the book follows the entire 'lifetime' of polyolefin compounds and materials: from their synthesis and processing, over applications, to the recycling and reuse of disposed or degraded polyolefin substrates.","author":[{"dropping-particle":"","family":"Hutley","given":"Trevor J.","non-dropping-particle":"","parse-names":false,"suffix":""},{"dropping-particle":"","family":"Ouederni","given":"Mabrouk","non-dropping-particle":"","parse-names":false,"suffix":""}],"container-title":"Polyolefin Compounds and Materials ","editor":[{"dropping-particle":"","family":"Ma'adeed","given":"M","non-dropping-particle":"Al","parse-names":false,"suffix":""},{"dropping-particle":"","family":"Krupa","given":"I","non-dropping-particle":"","parse-names":false,"suffix":""}],"id":"ITEM-1","issued":{"date-parts":[["2016"]]},"page":"13-50","publisher":"Springer","publisher-place":"Berlin","title":"Polyolefins—The History and Economic Impact","type":"chapter"},"uris":["http://www.mendeley.com/documents/?uuid=b9347f75-f38d-372c-aaf4-8e9037b4b5b1"]}],"mendeley":{"formattedCitation":"(Hutley &amp; Ouederni, 2016)","plainTextFormattedCitation":"(Hutley &amp; Ouederni, 2016)","previouslyFormattedCitation":"(Hutley &amp; Ouederni, 2016)"},"properties":{"noteIndex":0},"schema":"https://github.com/citation-style-language/schema/raw/master/csl-citation.json"}</w:instrText>
      </w:r>
      <w:r w:rsidR="007A4BF3" w:rsidRPr="00E10B6E">
        <w:fldChar w:fldCharType="separate"/>
      </w:r>
      <w:r w:rsidR="007A4BF3" w:rsidRPr="00E10B6E">
        <w:rPr>
          <w:noProof/>
        </w:rPr>
        <w:t>(Hutley &amp; Ouederni, 2016)</w:t>
      </w:r>
      <w:r w:rsidR="007A4BF3" w:rsidRPr="00E10B6E">
        <w:fldChar w:fldCharType="end"/>
      </w:r>
      <w:r w:rsidRPr="00E10B6E">
        <w:t xml:space="preserve">. The catalyst and the process were then licenced to other manufacturers, the market evolved, and HDPE became one of the most used polymers in the world for </w:t>
      </w:r>
      <w:r w:rsidR="004E5D90" w:rsidRPr="00E10B6E">
        <w:t>reusable bags and</w:t>
      </w:r>
      <w:r w:rsidRPr="00E10B6E">
        <w:t xml:space="preserve"> bottles, </w:t>
      </w:r>
      <w:r w:rsidR="004E5D90" w:rsidRPr="00E10B6E">
        <w:t xml:space="preserve">toys, </w:t>
      </w:r>
      <w:r w:rsidRPr="00E10B6E">
        <w:t>pipes</w:t>
      </w:r>
      <w:r w:rsidR="004E5D90" w:rsidRPr="00E10B6E">
        <w:t xml:space="preserve"> for water and sewage</w:t>
      </w:r>
      <w:r w:rsidRPr="00E10B6E">
        <w:t xml:space="preserve">, </w:t>
      </w:r>
      <w:r w:rsidR="003D2280" w:rsidRPr="00E10B6E">
        <w:t xml:space="preserve">folding chairs </w:t>
      </w:r>
      <w:r w:rsidRPr="00E10B6E">
        <w:t>and houseware</w:t>
      </w:r>
      <w:r w:rsidR="007A4BF3" w:rsidRPr="00E10B6E">
        <w:t xml:space="preserve"> </w:t>
      </w:r>
      <w:r w:rsidR="007A4BF3" w:rsidRPr="00E10B6E">
        <w:fldChar w:fldCharType="begin" w:fldLock="1"/>
      </w:r>
      <w:r w:rsidR="00B44428" w:rsidRPr="00E10B6E">
        <w:instrText>ADDIN CSL_CITATION {"citationItems":[{"id":"ITEM-1","itemData":{"URL":"https://www.acplasticsinc.com/informationcenter/r/7-different-types-of-plastic-and-how-they-are-used","accessed":{"date-parts":[["2020","3","9"]]},"author":[{"dropping-particle":"","family":"A&amp;C Plastics","given":"","non-dropping-particle":"","parse-names":false,"suffix":""}],"id":"ITEM-1","issued":{"date-parts":[["2020"]]},"title":"What is Plastic Made Of - 7 Types of Plastic to Use for Your Project","type":"webpage"},"uris":["http://www.mendeley.com/documents/?uuid=922ef302-170d-32ab-8216-32dfb1aa5b9f"]}],"mendeley":{"formattedCitation":"(A&amp;C Plastics, 2020)","plainTextFormattedCitation":"(A&amp;C Plastics, 2020)","previouslyFormattedCitation":"(A&amp;C Plastics, 2020)"},"properties":{"noteIndex":0},"schema":"https://github.com/citation-style-language/schema/raw/master/csl-citation.json"}</w:instrText>
      </w:r>
      <w:r w:rsidR="007A4BF3" w:rsidRPr="00E10B6E">
        <w:fldChar w:fldCharType="separate"/>
      </w:r>
      <w:r w:rsidR="007A4BF3" w:rsidRPr="00E10B6E">
        <w:rPr>
          <w:noProof/>
        </w:rPr>
        <w:t>(A&amp;C Plastics, 2020)</w:t>
      </w:r>
      <w:r w:rsidR="007A4BF3" w:rsidRPr="00E10B6E">
        <w:fldChar w:fldCharType="end"/>
      </w:r>
      <w:r w:rsidRPr="00E10B6E">
        <w:t xml:space="preserve">. Finally, the patent for linear low-density polyethylene (LLDPE) </w:t>
      </w:r>
      <w:r w:rsidRPr="00E10B6E">
        <w:lastRenderedPageBreak/>
        <w:t>was filed by the DuPont Company in 1957, but the production remained low until in 1978 the Union Carbide Company announced their Unipol process and coined the name of the product, which is now the main choice for packaging film, especially in the food sector</w:t>
      </w:r>
      <w:r w:rsidR="007A4BF3" w:rsidRPr="00E10B6E">
        <w:t xml:space="preserve"> </w:t>
      </w:r>
      <w:r w:rsidR="007A4BF3" w:rsidRPr="00E10B6E">
        <w:fldChar w:fldCharType="begin" w:fldLock="1"/>
      </w:r>
      <w:r w:rsidR="00B44428" w:rsidRPr="00E10B6E">
        <w:instrText>ADDIN CSL_CITATION {"citationItems":[{"id":"ITEM-1","itemData":{"DOI":"10.1007/978-3-319-25982-6_2","abstract":"This book describes industrial applications of polyolefins from the researchers' perspective. Polyolefins constitute today arguably the most important class of polymers and polymeric materials for widespread industrial applications. This book summarizes the present state of the art. Starting from fundamental aspects, such as the polymerization techniques to synthesize polyolefins, the book introduces the topic. Basic knowledge about polyolefin composites and blends is explained, before applications aspects in different industry sectors are discussed.The spectrum comprises a wide range of applications and industry sectors, such as the packaging and food industry, the textile industry, automotive and buildings, and even biomedical applications. Topics, which are addressed in the various chapters, comprise synthesis and processing of the materials; their classification; mechanical, physical and technical requirements and properties; their characterization; and many more. In the end of the book, even the disposal, degradation and recycling of polyolefins are addressed, and light is shed on their commercial significance and economic value.In this way, the book follows the entire 'lifetime' of polyolefin compounds and materials: from their synthesis and processing, over applications, to the recycling and reuse of disposed or degraded polyolefin substrates.","author":[{"dropping-particle":"","family":"Hutley","given":"Trevor J.","non-dropping-particle":"","parse-names":false,"suffix":""},{"dropping-particle":"","family":"Ouederni","given":"Mabrouk","non-dropping-particle":"","parse-names":false,"suffix":""}],"container-title":"Polyolefin Compounds and Materials ","editor":[{"dropping-particle":"","family":"Ma'adeed","given":"M","non-dropping-particle":"Al","parse-names":false,"suffix":""},{"dropping-particle":"","family":"Krupa","given":"I","non-dropping-particle":"","parse-names":false,"suffix":""}],"id":"ITEM-1","issued":{"date-parts":[["2016"]]},"page":"13-50","publisher":"Springer","publisher-place":"Berlin","title":"Polyolefins—The History and Economic Impact","type":"chapter"},"uris":["http://www.mendeley.com/documents/?uuid=b9347f75-f38d-372c-aaf4-8e9037b4b5b1"]}],"mendeley":{"formattedCitation":"(Hutley &amp; Ouederni, 2016)","plainTextFormattedCitation":"(Hutley &amp; Ouederni, 2016)","previouslyFormattedCitation":"(Hutley &amp; Ouederni, 2016)"},"properties":{"noteIndex":0},"schema":"https://github.com/citation-style-language/schema/raw/master/csl-citation.json"}</w:instrText>
      </w:r>
      <w:r w:rsidR="007A4BF3" w:rsidRPr="00E10B6E">
        <w:fldChar w:fldCharType="separate"/>
      </w:r>
      <w:r w:rsidR="007A4BF3" w:rsidRPr="00E10B6E">
        <w:rPr>
          <w:noProof/>
        </w:rPr>
        <w:t>(Hutley &amp; Ouederni, 2016)</w:t>
      </w:r>
      <w:r w:rsidR="007A4BF3" w:rsidRPr="00E10B6E">
        <w:fldChar w:fldCharType="end"/>
      </w:r>
      <w:r w:rsidR="00401FFA" w:rsidRPr="00E10B6E">
        <w:t>.</w:t>
      </w:r>
      <w:r w:rsidR="00BA40B3" w:rsidRPr="00E10B6E">
        <w:t xml:space="preserve"> As shown in Figure </w:t>
      </w:r>
      <w:r w:rsidR="007434EA" w:rsidRPr="00E10B6E">
        <w:t>3</w:t>
      </w:r>
      <w:r w:rsidR="00BA40B3" w:rsidRPr="00E10B6E">
        <w:t xml:space="preserve">, the three major types of polyethylene (LDPE, HDPE, and LLDPE) currently form a market of over 100 </w:t>
      </w:r>
      <w:r w:rsidR="00613E0F" w:rsidRPr="00E10B6E">
        <w:rPr>
          <w:noProof/>
        </w:rPr>
        <w:drawing>
          <wp:anchor distT="0" distB="0" distL="114300" distR="114300" simplePos="0" relativeHeight="251664384" behindDoc="0" locked="0" layoutInCell="1" allowOverlap="1" wp14:anchorId="58A6DC10" wp14:editId="700AE8D9">
            <wp:simplePos x="0" y="0"/>
            <wp:positionH relativeFrom="margin">
              <wp:align>center</wp:align>
            </wp:positionH>
            <wp:positionV relativeFrom="paragraph">
              <wp:posOffset>1011555</wp:posOffset>
            </wp:positionV>
            <wp:extent cx="5760000" cy="3976353"/>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3976353"/>
                    </a:xfrm>
                    <a:prstGeom prst="rect">
                      <a:avLst/>
                    </a:prstGeom>
                  </pic:spPr>
                </pic:pic>
              </a:graphicData>
            </a:graphic>
            <wp14:sizeRelH relativeFrom="page">
              <wp14:pctWidth>0</wp14:pctWidth>
            </wp14:sizeRelH>
            <wp14:sizeRelV relativeFrom="page">
              <wp14:pctHeight>0</wp14:pctHeight>
            </wp14:sizeRelV>
          </wp:anchor>
        </w:drawing>
      </w:r>
      <w:r w:rsidR="00BA40B3" w:rsidRPr="00E10B6E">
        <w:t>million tons and a value of over 180 billion dollars.</w:t>
      </w:r>
    </w:p>
    <w:p w14:paraId="01784545" w14:textId="3C2C4696" w:rsidR="00DD2FE0" w:rsidRPr="00E10B6E" w:rsidRDefault="004E44B7" w:rsidP="004E44B7">
      <w:pPr>
        <w:pStyle w:val="Caption"/>
      </w:pPr>
      <w:r w:rsidRPr="00E10B6E">
        <w:t xml:space="preserve">Figure </w:t>
      </w:r>
      <w:r w:rsidR="00722F9A">
        <w:fldChar w:fldCharType="begin"/>
      </w:r>
      <w:r w:rsidR="00722F9A">
        <w:instrText xml:space="preserve"> SEQ Figure \* ARABIC </w:instrText>
      </w:r>
      <w:r w:rsidR="00722F9A">
        <w:fldChar w:fldCharType="separate"/>
      </w:r>
      <w:r w:rsidR="00983F73">
        <w:rPr>
          <w:noProof/>
        </w:rPr>
        <w:t>3</w:t>
      </w:r>
      <w:r w:rsidR="00722F9A">
        <w:rPr>
          <w:noProof/>
        </w:rPr>
        <w:fldChar w:fldCharType="end"/>
      </w:r>
      <w:r w:rsidRPr="00E10B6E">
        <w:t>:Global polyethylene production</w:t>
      </w:r>
      <w:r w:rsidR="00D058ED" w:rsidRPr="00E10B6E">
        <w:t xml:space="preserve"> in </w:t>
      </w:r>
      <w:r w:rsidR="000B7C74" w:rsidRPr="00E10B6E">
        <w:t>kt</w:t>
      </w:r>
      <w:r w:rsidR="007A4BF3" w:rsidRPr="00E10B6E">
        <w:t xml:space="preserve"> </w:t>
      </w:r>
      <w:r w:rsidR="007A4BF3" w:rsidRPr="00E10B6E">
        <w:fldChar w:fldCharType="begin" w:fldLock="1"/>
      </w:r>
      <w:r w:rsidR="00B44428" w:rsidRPr="00E10B6E">
        <w:instrText>ADDIN CSL_CITATION {"citationItems":[{"id":"ITEM-1","itemData":{"DOI":"10.1007/978-3-319-25982-6_2","abstract":"This book describes industrial applications of polyolefins from the researchers' perspective. Polyolefins constitute today arguably the most important class of polymers and polymeric materials for widespread industrial applications. This book summarizes the present state of the art. Starting from fundamental aspects, such as the polymerization techniques to synthesize polyolefins, the book introduces the topic. Basic knowledge about polyolefin composites and blends is explained, before applications aspects in different industry sectors are discussed.The spectrum comprises a wide range of applications and industry sectors, such as the packaging and food industry, the textile industry, automotive and buildings, and even biomedical applications. Topics, which are addressed in the various chapters, comprise synthesis and processing of the materials; their classification; mechanical, physical and technical requirements and properties; their characterization; and many more. In the end of the book, even the disposal, degradation and recycling of polyolefins are addressed, and light is shed on their commercial significance and economic value.In this way, the book follows the entire 'lifetime' of polyolefin compounds and materials: from their synthesis and processing, over applications, to the recycling and reuse of disposed or degraded polyolefin substrates.","author":[{"dropping-particle":"","family":"Hutley","given":"Trevor J.","non-dropping-particle":"","parse-names":false,"suffix":""},{"dropping-particle":"","family":"Ouederni","given":"Mabrouk","non-dropping-particle":"","parse-names":false,"suffix":""}],"container-title":"Polyolefin Compounds and Materials ","editor":[{"dropping-particle":"","family":"Ma'adeed","given":"M","non-dropping-particle":"Al","parse-names":false,"suffix":""},{"dropping-particle":"","family":"Krupa","given":"I","non-dropping-particle":"","parse-names":false,"suffix":""}],"id":"ITEM-1","issued":{"date-parts":[["2016"]]},"page":"13-50","publisher":"Springer","publisher-place":"Berlin","title":"Polyolefins—The History and Economic Impact","type":"chapter"},"uris":["http://www.mendeley.com/documents/?uuid=b9347f75-f38d-372c-aaf4-8e9037b4b5b1"]}],"mendeley":{"formattedCitation":"(Hutley &amp; Ouederni, 2016)","plainTextFormattedCitation":"(Hutley &amp; Ouederni, 2016)","previouslyFormattedCitation":"(Hutley &amp; Ouederni, 2016)"},"properties":{"noteIndex":0},"schema":"https://github.com/citation-style-language/schema/raw/master/csl-citation.json"}</w:instrText>
      </w:r>
      <w:r w:rsidR="007A4BF3" w:rsidRPr="00E10B6E">
        <w:fldChar w:fldCharType="separate"/>
      </w:r>
      <w:r w:rsidR="007A4BF3" w:rsidRPr="00E10B6E">
        <w:rPr>
          <w:i w:val="0"/>
          <w:noProof/>
        </w:rPr>
        <w:t>(Hutley &amp; Ouederni, 2016)</w:t>
      </w:r>
      <w:r w:rsidR="007A4BF3" w:rsidRPr="00E10B6E">
        <w:fldChar w:fldCharType="end"/>
      </w:r>
      <w:r w:rsidR="00D058ED" w:rsidRPr="00E10B6E">
        <w:t>.</w:t>
      </w:r>
    </w:p>
    <w:p w14:paraId="638BA791" w14:textId="0E277BA5" w:rsidR="00655DE4" w:rsidRPr="00E10B6E" w:rsidRDefault="001B484B" w:rsidP="00655DE4">
      <w:r w:rsidRPr="00E10B6E">
        <w:t>The milestones of polyethylene development history can be s</w:t>
      </w:r>
      <w:r w:rsidR="00655DE4" w:rsidRPr="00E10B6E">
        <w:t xml:space="preserve">ummarized </w:t>
      </w:r>
      <w:r w:rsidRPr="00E10B6E">
        <w:t>as follows</w:t>
      </w:r>
      <w:r w:rsidR="00655DE4" w:rsidRPr="00E10B6E">
        <w:t>:</w:t>
      </w:r>
    </w:p>
    <w:p w14:paraId="7FA84C79" w14:textId="7130B5C8" w:rsidR="00655DE4" w:rsidRPr="00E10B6E" w:rsidRDefault="00655DE4" w:rsidP="00655DE4">
      <w:pPr>
        <w:pStyle w:val="ListParagraph"/>
        <w:numPr>
          <w:ilvl w:val="0"/>
          <w:numId w:val="2"/>
        </w:numPr>
      </w:pPr>
      <w:r w:rsidRPr="00E10B6E">
        <w:t>1937: First commercialization of LDPE</w:t>
      </w:r>
    </w:p>
    <w:p w14:paraId="768AC640" w14:textId="6FEC3504" w:rsidR="00655DE4" w:rsidRPr="00E10B6E" w:rsidRDefault="00655DE4" w:rsidP="00655DE4">
      <w:pPr>
        <w:pStyle w:val="ListParagraph"/>
        <w:numPr>
          <w:ilvl w:val="0"/>
          <w:numId w:val="2"/>
        </w:numPr>
      </w:pPr>
      <w:r w:rsidRPr="00E10B6E">
        <w:t>1953: First commercialization of HDPE</w:t>
      </w:r>
    </w:p>
    <w:p w14:paraId="44E46EAD" w14:textId="77777777" w:rsidR="00655DE4" w:rsidRPr="00E10B6E" w:rsidRDefault="00655DE4" w:rsidP="00655DE4">
      <w:pPr>
        <w:pStyle w:val="ListParagraph"/>
        <w:numPr>
          <w:ilvl w:val="0"/>
          <w:numId w:val="2"/>
        </w:numPr>
      </w:pPr>
      <w:r w:rsidRPr="00E10B6E">
        <w:t>1975: PE plastics reach a global production of 10,000 tons</w:t>
      </w:r>
    </w:p>
    <w:p w14:paraId="0A76AC35" w14:textId="77777777" w:rsidR="00655DE4" w:rsidRPr="00E10B6E" w:rsidRDefault="00655DE4" w:rsidP="00655DE4">
      <w:pPr>
        <w:pStyle w:val="ListParagraph"/>
        <w:numPr>
          <w:ilvl w:val="0"/>
          <w:numId w:val="2"/>
        </w:numPr>
      </w:pPr>
      <w:r w:rsidRPr="00E10B6E">
        <w:t>1978: First commercialization of LLDPE</w:t>
      </w:r>
    </w:p>
    <w:p w14:paraId="05B91A11" w14:textId="77777777" w:rsidR="00655DE4" w:rsidRPr="00E10B6E" w:rsidRDefault="00655DE4" w:rsidP="00655DE4">
      <w:pPr>
        <w:pStyle w:val="ListParagraph"/>
        <w:numPr>
          <w:ilvl w:val="0"/>
          <w:numId w:val="2"/>
        </w:numPr>
      </w:pPr>
      <w:r w:rsidRPr="00E10B6E">
        <w:t>2000: PE plastics reach a global production of 50,000 tons</w:t>
      </w:r>
    </w:p>
    <w:p w14:paraId="263046EE" w14:textId="2B495376" w:rsidR="00655DE4" w:rsidRPr="00E10B6E" w:rsidRDefault="00655DE4" w:rsidP="00655DE4">
      <w:pPr>
        <w:pStyle w:val="ListParagraph"/>
        <w:numPr>
          <w:ilvl w:val="0"/>
          <w:numId w:val="2"/>
        </w:numPr>
      </w:pPr>
      <w:r w:rsidRPr="00E10B6E">
        <w:t>2018: PE plastics reach a global production of 100,000 tons</w:t>
      </w:r>
    </w:p>
    <w:p w14:paraId="7E0620EF" w14:textId="397D9A9F" w:rsidR="00DD2FE0" w:rsidRPr="00E10B6E" w:rsidRDefault="00BA40B3" w:rsidP="00BA40B3">
      <w:pPr>
        <w:pStyle w:val="Heading2"/>
      </w:pPr>
      <w:bookmarkStart w:id="12" w:name="_Toc54274783"/>
      <w:r w:rsidRPr="00E10B6E">
        <w:t>2.</w:t>
      </w:r>
      <w:r w:rsidR="0042042D" w:rsidRPr="00E10B6E">
        <w:t>4</w:t>
      </w:r>
      <w:r w:rsidRPr="00E10B6E">
        <w:t xml:space="preserve"> </w:t>
      </w:r>
      <w:r w:rsidR="00DD2FE0" w:rsidRPr="00E10B6E">
        <w:t xml:space="preserve">Development history of </w:t>
      </w:r>
      <w:r w:rsidR="00B6603F" w:rsidRPr="00E10B6E">
        <w:t>p</w:t>
      </w:r>
      <w:r w:rsidR="00DD2FE0" w:rsidRPr="00E10B6E">
        <w:t>olypropylene (PP)</w:t>
      </w:r>
      <w:bookmarkEnd w:id="12"/>
    </w:p>
    <w:p w14:paraId="766BB865" w14:textId="1BBF14A1" w:rsidR="006D17BA" w:rsidRPr="00E10B6E" w:rsidRDefault="008B3430" w:rsidP="009838BE">
      <w:pPr>
        <w:jc w:val="both"/>
      </w:pPr>
      <w:r w:rsidRPr="00E10B6E">
        <w:t xml:space="preserve">In 1953, Professor Karl Ziegler and researcher Heinz Breil </w:t>
      </w:r>
      <w:r w:rsidR="003F17B2" w:rsidRPr="00E10B6E">
        <w:t xml:space="preserve">of the Max-Planck Institute </w:t>
      </w:r>
      <w:r w:rsidR="00B347DA" w:rsidRPr="00E10B6E">
        <w:t>discovered</w:t>
      </w:r>
      <w:r w:rsidR="00824331" w:rsidRPr="00E10B6E">
        <w:t xml:space="preserve"> a</w:t>
      </w:r>
      <w:r w:rsidR="000344D3" w:rsidRPr="00E10B6E">
        <w:t xml:space="preserve">n innovative </w:t>
      </w:r>
      <w:r w:rsidR="00824331" w:rsidRPr="00E10B6E">
        <w:t>method to prepare high-density</w:t>
      </w:r>
      <w:r w:rsidR="000344D3" w:rsidRPr="00E10B6E">
        <w:t xml:space="preserve"> </w:t>
      </w:r>
      <w:r w:rsidR="00F93E53" w:rsidRPr="00E10B6E">
        <w:t>PE</w:t>
      </w:r>
      <w:r w:rsidR="000344D3" w:rsidRPr="00E10B6E">
        <w:t xml:space="preserve"> using a new organo-metallic catalyst</w:t>
      </w:r>
      <w:r w:rsidR="000D4D7E" w:rsidRPr="00E10B6E">
        <w:t xml:space="preserve">, and </w:t>
      </w:r>
      <w:r w:rsidR="008C3541" w:rsidRPr="00E10B6E">
        <w:t xml:space="preserve">adopted an aggressive licensing approach, earning </w:t>
      </w:r>
      <w:r w:rsidR="00007CD8" w:rsidRPr="00E10B6E">
        <w:t>enough money to sustain the Max-Planck Institute budget for the next 40 years</w:t>
      </w:r>
      <w:r w:rsidR="007A4BF3" w:rsidRPr="00E10B6E">
        <w:t xml:space="preserve"> </w:t>
      </w:r>
      <w:r w:rsidR="007A4BF3" w:rsidRPr="00E10B6E">
        <w:fldChar w:fldCharType="begin" w:fldLock="1"/>
      </w:r>
      <w:r w:rsidR="00B44428" w:rsidRPr="00E10B6E">
        <w:instrText>ADDIN CSL_CITATION {"citationItems":[{"id":"ITEM-1","itemData":{"DOI":"10.1002/9783527610402","ISBN":"9783527318094","abstract":"This is the fascinating, first-hand story of the groundbreaking invention by Nobel prizewinner Karl Ziegler and the patent fights between his research team at the Max Planck Institute of Carbon Research in Germany and the \"giants\" of the petrochemicals industry, such as Du Pont and Esso. The author joined Ziegler's group throughout the entire period, providing an entertaining case study of an innovative chemical discovery, presenting interesting historical as well as scientific information. An impressive example of the fights between academia and industry concerning patent rights and the economic utilization of academic research innovations. © 2007 Wiley-VCH Verlag GmbH &amp; Co. KGaA.","author":[{"dropping-particle":"","family":"Martin","given":"Heinz","non-dropping-particle":"","parse-names":false,"suffix":""}],"container-title":"Polymers, Patents, Profits: A Classic Case Study for Patent Infighting","id":"ITEM-1","issued":{"date-parts":[["2007","2","9"]]},"number-of-pages":"1-273","publisher":"Wiley-VCH","title":"Polymers, Patents, Profits: A Classic Case Study for Patent Infighting","type":"book"},"uris":["http://www.mendeley.com/documents/?uuid=3aa12080-5348-38b3-ba45-9ed76717d781"]}],"mendeley":{"formattedCitation":"(Martin, 2007)","plainTextFormattedCitation":"(Martin, 2007)","previouslyFormattedCitation":"(Martin, 2007)"},"properties":{"noteIndex":0},"schema":"https://github.com/citation-style-language/schema/raw/master/csl-citation.json"}</w:instrText>
      </w:r>
      <w:r w:rsidR="007A4BF3" w:rsidRPr="00E10B6E">
        <w:fldChar w:fldCharType="separate"/>
      </w:r>
      <w:r w:rsidR="007A4BF3" w:rsidRPr="00E10B6E">
        <w:rPr>
          <w:noProof/>
        </w:rPr>
        <w:t>(Martin, 2007)</w:t>
      </w:r>
      <w:r w:rsidR="007A4BF3" w:rsidRPr="00E10B6E">
        <w:fldChar w:fldCharType="end"/>
      </w:r>
      <w:r w:rsidR="00007CD8" w:rsidRPr="00E10B6E">
        <w:t xml:space="preserve">. </w:t>
      </w:r>
      <w:r w:rsidR="003F17B2" w:rsidRPr="00E10B6E">
        <w:t xml:space="preserve">After </w:t>
      </w:r>
      <w:r w:rsidR="003E5E94" w:rsidRPr="00E10B6E">
        <w:t xml:space="preserve">hearing one of </w:t>
      </w:r>
      <w:r w:rsidR="003F17B2" w:rsidRPr="00E10B6E">
        <w:t>Ziegler</w:t>
      </w:r>
      <w:r w:rsidR="003E5E94" w:rsidRPr="00E10B6E">
        <w:t xml:space="preserve"> lectures</w:t>
      </w:r>
      <w:r w:rsidR="003F17B2" w:rsidRPr="00E10B6E">
        <w:t>, Professor Giulio Natta</w:t>
      </w:r>
      <w:r w:rsidR="003E5E94" w:rsidRPr="00E10B6E">
        <w:t xml:space="preserve"> </w:t>
      </w:r>
      <w:r w:rsidR="004A0329" w:rsidRPr="00E10B6E">
        <w:t>and his team</w:t>
      </w:r>
      <w:r w:rsidR="003E5E94" w:rsidRPr="00E10B6E">
        <w:t xml:space="preserve"> </w:t>
      </w:r>
      <w:r w:rsidR="00A63C18" w:rsidRPr="00E10B6E">
        <w:t xml:space="preserve">carried out experiments </w:t>
      </w:r>
      <w:r w:rsidR="00F93E53" w:rsidRPr="00E10B6E">
        <w:t>with the</w:t>
      </w:r>
      <w:r w:rsidR="00A63C18" w:rsidRPr="00E10B6E">
        <w:t xml:space="preserve"> new catalyst</w:t>
      </w:r>
      <w:r w:rsidR="004A0329" w:rsidRPr="00E10B6E">
        <w:t xml:space="preserve"> </w:t>
      </w:r>
      <w:r w:rsidR="00F93E53" w:rsidRPr="00E10B6E">
        <w:t xml:space="preserve">and using propylene as a feedstock, </w:t>
      </w:r>
      <w:r w:rsidR="004A0329" w:rsidRPr="00E10B6E">
        <w:t>and in 1954</w:t>
      </w:r>
      <w:r w:rsidR="00A63C18" w:rsidRPr="00E10B6E">
        <w:t xml:space="preserve"> manag</w:t>
      </w:r>
      <w:r w:rsidR="004A0329" w:rsidRPr="00E10B6E">
        <w:t>ed</w:t>
      </w:r>
      <w:r w:rsidR="00A63C18" w:rsidRPr="00E10B6E">
        <w:t xml:space="preserve"> to </w:t>
      </w:r>
      <w:r w:rsidR="00E65666" w:rsidRPr="00E10B6E">
        <w:t>produce polypropylene (PP)</w:t>
      </w:r>
      <w:r w:rsidR="000D213E" w:rsidRPr="00E10B6E">
        <w:t xml:space="preserve">, a result that Ziegler’s team had not </w:t>
      </w:r>
      <w:r w:rsidR="00B81A9C" w:rsidRPr="00E10B6E">
        <w:t xml:space="preserve">yet </w:t>
      </w:r>
      <w:r w:rsidR="000D213E" w:rsidRPr="00E10B6E">
        <w:t xml:space="preserve">achieved </w:t>
      </w:r>
      <w:r w:rsidR="00B81A9C" w:rsidRPr="00E10B6E">
        <w:t>at the time</w:t>
      </w:r>
      <w:r w:rsidR="007A4BF3" w:rsidRPr="00E10B6E">
        <w:t xml:space="preserve"> </w:t>
      </w:r>
      <w:r w:rsidR="007A4BF3" w:rsidRPr="00E10B6E">
        <w:fldChar w:fldCharType="begin" w:fldLock="1"/>
      </w:r>
      <w:r w:rsidR="00B44428" w:rsidRPr="00E10B6E">
        <w:instrText>ADDIN CSL_CITATION {"citationItems":[{"id":"ITEM-1","itemData":{"DOI":"10.1007/978-3-319-25982-6_2","abstract":"This book describes industrial applications of polyolefins from the researchers' perspective. Polyolefins constitute today arguably the most important class of polymers and polymeric materials for widespread industrial applications. This book summarizes the present state of the art. Starting from fundamental aspects, such as the polymerization techniques to synthesize polyolefins, the book introduces the topic. Basic knowledge about polyolefin composites and blends is explained, before applications aspects in different industry sectors are discussed.The spectrum comprises a wide range of applications and industry sectors, such as the packaging and food industry, the textile industry, automotive and buildings, and even biomedical applications. Topics, which are addressed in the various chapters, comprise synthesis and processing of the materials; their classification; mechanical, physical and technical requirements and properties; their characterization; and many more. In the end of the book, even the disposal, degradation and recycling of polyolefins are addressed, and light is shed on their commercial significance and economic value.In this way, the book follows the entire 'lifetime' of polyolefin compounds and materials: from their synthesis and processing, over applications, to the recycling and reuse of disposed or degraded polyolefin substrates.","author":[{"dropping-particle":"","family":"Hutley","given":"Trevor J.","non-dropping-particle":"","parse-names":false,"suffix":""},{"dropping-particle":"","family":"Ouederni","given":"Mabrouk","non-dropping-particle":"","parse-names":false,"suffix":""}],"container-title":"Polyolefin Compounds and Materials ","editor":[{"dropping-particle":"","family":"Ma'adeed","given":"M","non-dropping-particle":"Al","parse-names":false,"suffix":""},{"dropping-particle":"","family":"Krupa","given":"I","non-dropping-particle":"","parse-names":false,"suffix":""}],"id":"ITEM-1","issued":{"date-parts":[["2016"]]},"page":"13-50","publisher":"Springer","publisher-place":"Berlin","title":"Polyolefins—The History and Economic Impact","type":"chapter"},"uris":["http://www.mendeley.com/documents/?uuid=b9347f75-f38d-372c-aaf4-8e9037b4b5b1"]}],"mendeley":{"formattedCitation":"(Hutley &amp; Ouederni, 2016)","plainTextFormattedCitation":"(Hutley &amp; Ouederni, 2016)","previouslyFormattedCitation":"(Hutley &amp; Ouederni, 2016)"},"properties":{"noteIndex":0},"schema":"https://github.com/citation-style-language/schema/raw/master/csl-citation.json"}</w:instrText>
      </w:r>
      <w:r w:rsidR="007A4BF3" w:rsidRPr="00E10B6E">
        <w:fldChar w:fldCharType="separate"/>
      </w:r>
      <w:r w:rsidR="007A4BF3" w:rsidRPr="00E10B6E">
        <w:rPr>
          <w:noProof/>
        </w:rPr>
        <w:t>(Hutley &amp; Ouederni, 2016)</w:t>
      </w:r>
      <w:r w:rsidR="007A4BF3" w:rsidRPr="00E10B6E">
        <w:fldChar w:fldCharType="end"/>
      </w:r>
      <w:r w:rsidR="00E65666" w:rsidRPr="00E10B6E">
        <w:t xml:space="preserve">. </w:t>
      </w:r>
      <w:r w:rsidR="00963522" w:rsidRPr="00E10B6E">
        <w:t>For the discovery of the catalyst, and for its application to produce PP, both Ziegler and Natta won a Nobel Prize in Chemistry</w:t>
      </w:r>
      <w:r w:rsidR="00B81A9C" w:rsidRPr="00E10B6E">
        <w:t xml:space="preserve"> in 1963</w:t>
      </w:r>
      <w:r w:rsidR="00D12041" w:rsidRPr="00E10B6E">
        <w:t>.</w:t>
      </w:r>
      <w:r w:rsidR="005A38AD" w:rsidRPr="00E10B6E">
        <w:t xml:space="preserve"> </w:t>
      </w:r>
      <w:r w:rsidR="0010119B" w:rsidRPr="00E10B6E">
        <w:t>Polypropylene was first made in 1951 by Hogan and Banks of Phillips Petroleum</w:t>
      </w:r>
      <w:r w:rsidR="00B37BE5" w:rsidRPr="00E10B6E">
        <w:t xml:space="preserve"> while experimenting on th</w:t>
      </w:r>
      <w:r w:rsidR="009B74AE" w:rsidRPr="00E10B6E">
        <w:t>e chromium catalyst for HDPE, but due to legal procedures with the US Patent Office, the</w:t>
      </w:r>
      <w:r w:rsidR="00997423" w:rsidRPr="00E10B6E">
        <w:t>ir patent was issued only in 1983</w:t>
      </w:r>
      <w:r w:rsidR="00857729" w:rsidRPr="00E10B6E">
        <w:t xml:space="preserve"> </w:t>
      </w:r>
      <w:r w:rsidR="00857729" w:rsidRPr="00E10B6E">
        <w:fldChar w:fldCharType="begin" w:fldLock="1"/>
      </w:r>
      <w:r w:rsidR="00B44428" w:rsidRPr="00E10B6E">
        <w:instrText>ADDIN CSL_CITATION {"citationItems":[{"id":"ITEM-1","itemData":{"DOI":"10.1080/08109029108631912","ISSN":"0810-9028","author":[{"dropping-particle":"","family":"Hammond","given":"Laurie","non-dropping-particle":"","parse-names":false,"suffix":""},{"dropping-particle":"","family":"Saunders","given":"Pete","non-dropping-particle":"","parse-names":false,"suffix":""}],"container-title":"Prometheus","id":"ITEM-1","issue":"1","issued":{"date-parts":[["1991","6"]]},"page":"150-153","publisher":"Informa UK Limited","title":" Science and Corporate Strategy: Du Pont R&amp;D, 1902 – 1980 by David A. Hounshell and John Kenly Smith, Jr . (Cambridge University Press, New York, 1988), pp. xx + 756, $99.00, ISBN 0-521-32767-9 ","type":"article-journal","volume":"9"},"uris":["http://www.mendeley.com/documents/?uuid=1afd74ab-244d-33ed-a05f-3c4e1a5d2947"]}],"mendeley":{"formattedCitation":"(Hammond &amp; Saunders, 1991)","plainTextFormattedCitation":"(Hammond &amp; Saunders, 1991)","previouslyFormattedCitation":"(Hammond &amp; Saunders, 1991)"},"properties":{"noteIndex":0},"schema":"https://github.com/citation-style-language/schema/raw/master/csl-citation.json"}</w:instrText>
      </w:r>
      <w:r w:rsidR="00857729" w:rsidRPr="00E10B6E">
        <w:fldChar w:fldCharType="separate"/>
      </w:r>
      <w:r w:rsidR="00857729" w:rsidRPr="00E10B6E">
        <w:rPr>
          <w:noProof/>
        </w:rPr>
        <w:t xml:space="preserve">(Hammond &amp; </w:t>
      </w:r>
      <w:r w:rsidR="00857729" w:rsidRPr="00E10B6E">
        <w:rPr>
          <w:noProof/>
        </w:rPr>
        <w:lastRenderedPageBreak/>
        <w:t>Saunders, 1991)</w:t>
      </w:r>
      <w:r w:rsidR="00857729" w:rsidRPr="00E10B6E">
        <w:fldChar w:fldCharType="end"/>
      </w:r>
      <w:r w:rsidR="00B75E8A" w:rsidRPr="00E10B6E">
        <w:t>.</w:t>
      </w:r>
      <w:r w:rsidR="00CC2DC7" w:rsidRPr="00E10B6E">
        <w:t xml:space="preserve"> PP is flexible, durable, </w:t>
      </w:r>
      <w:r w:rsidR="003D4CF2" w:rsidRPr="00E10B6E">
        <w:t>and resistant to heat and acids, and it thus t</w:t>
      </w:r>
      <w:r w:rsidR="00CC2DC7" w:rsidRPr="00E10B6E">
        <w:t>he plastic of choice</w:t>
      </w:r>
      <w:r w:rsidR="003D4CF2" w:rsidRPr="00E10B6E">
        <w:t xml:space="preserve"> for food containers (e.g. Tupperware)</w:t>
      </w:r>
      <w:r w:rsidR="00560B04" w:rsidRPr="00E10B6E">
        <w:t>, laboratory equipment, and automotive components</w:t>
      </w:r>
      <w:r w:rsidR="00857729" w:rsidRPr="00E10B6E">
        <w:t xml:space="preserve"> </w:t>
      </w:r>
      <w:r w:rsidR="00857729" w:rsidRPr="00E10B6E">
        <w:fldChar w:fldCharType="begin" w:fldLock="1"/>
      </w:r>
      <w:r w:rsidR="00B44428" w:rsidRPr="00E10B6E">
        <w:instrText>ADDIN CSL_CITATION {"citationItems":[{"id":"ITEM-1","itemData":{"URL":"https://www.acplasticsinc.com/informationcenter/r/7-different-types-of-plastic-and-how-they-are-used","accessed":{"date-parts":[["2020","3","9"]]},"author":[{"dropping-particle":"","family":"A&amp;C Plastics","given":"","non-dropping-particle":"","parse-names":false,"suffix":""}],"id":"ITEM-1","issued":{"date-parts":[["2020"]]},"title":"What is Plastic Made Of - 7 Types of Plastic to Use for Your Project","type":"webpage"},"uris":["http://www.mendeley.com/documents/?uuid=922ef302-170d-32ab-8216-32dfb1aa5b9f"]}],"mendeley":{"formattedCitation":"(A&amp;C Plastics, 2020)","plainTextFormattedCitation":"(A&amp;C Plastics, 2020)","previouslyFormattedCitation":"(A&amp;C Plastics, 2020)"},"properties":{"noteIndex":0},"schema":"https://github.com/citation-style-language/schema/raw/master/csl-citation.json"}</w:instrText>
      </w:r>
      <w:r w:rsidR="00857729" w:rsidRPr="00E10B6E">
        <w:fldChar w:fldCharType="separate"/>
      </w:r>
      <w:r w:rsidR="00857729" w:rsidRPr="00E10B6E">
        <w:rPr>
          <w:noProof/>
        </w:rPr>
        <w:t>(A&amp;C Plastics, 2020)</w:t>
      </w:r>
      <w:r w:rsidR="00857729" w:rsidRPr="00E10B6E">
        <w:fldChar w:fldCharType="end"/>
      </w:r>
      <w:r w:rsidR="00560B04" w:rsidRPr="00E10B6E">
        <w:t>.</w:t>
      </w:r>
      <w:r w:rsidR="009838BE" w:rsidRPr="00E10B6E">
        <w:t xml:space="preserve"> </w:t>
      </w:r>
      <w:r w:rsidR="00C218B4" w:rsidRPr="00E10B6E">
        <w:t xml:space="preserve">As seen in Figure </w:t>
      </w:r>
      <w:r w:rsidR="007434EA" w:rsidRPr="00E10B6E">
        <w:t>4</w:t>
      </w:r>
      <w:r w:rsidR="00C218B4" w:rsidRPr="00E10B6E">
        <w:t>,</w:t>
      </w:r>
      <w:r w:rsidR="00DD2FE0" w:rsidRPr="00E10B6E">
        <w:t xml:space="preserve"> </w:t>
      </w:r>
      <w:r w:rsidR="006D17BA" w:rsidRPr="00E10B6E">
        <w:t xml:space="preserve">PP </w:t>
      </w:r>
      <w:r w:rsidR="00C218B4" w:rsidRPr="00E10B6E">
        <w:t xml:space="preserve">currently </w:t>
      </w:r>
      <w:r w:rsidR="006D17BA" w:rsidRPr="00E10B6E">
        <w:t>form</w:t>
      </w:r>
      <w:r w:rsidR="00C218B4" w:rsidRPr="00E10B6E">
        <w:t>s</w:t>
      </w:r>
      <w:r w:rsidR="006D17BA" w:rsidRPr="00E10B6E">
        <w:t xml:space="preserve"> a market of almost 90 million </w:t>
      </w:r>
      <w:r w:rsidR="00613E0F" w:rsidRPr="00E10B6E">
        <w:rPr>
          <w:noProof/>
        </w:rPr>
        <w:drawing>
          <wp:anchor distT="0" distB="0" distL="114300" distR="114300" simplePos="0" relativeHeight="251663360" behindDoc="0" locked="0" layoutInCell="1" allowOverlap="1" wp14:anchorId="1DA2FDF6" wp14:editId="0E51B7F5">
            <wp:simplePos x="0" y="0"/>
            <wp:positionH relativeFrom="margin">
              <wp:align>center</wp:align>
            </wp:positionH>
            <wp:positionV relativeFrom="paragraph">
              <wp:posOffset>811530</wp:posOffset>
            </wp:positionV>
            <wp:extent cx="5760000" cy="3991669"/>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3991669"/>
                    </a:xfrm>
                    <a:prstGeom prst="rect">
                      <a:avLst/>
                    </a:prstGeom>
                  </pic:spPr>
                </pic:pic>
              </a:graphicData>
            </a:graphic>
            <wp14:sizeRelH relativeFrom="page">
              <wp14:pctWidth>0</wp14:pctWidth>
            </wp14:sizeRelH>
            <wp14:sizeRelV relativeFrom="page">
              <wp14:pctHeight>0</wp14:pctHeight>
            </wp14:sizeRelV>
          </wp:anchor>
        </w:drawing>
      </w:r>
      <w:r w:rsidR="006D17BA" w:rsidRPr="00E10B6E">
        <w:t>ton and over 130 billion dollars.</w:t>
      </w:r>
    </w:p>
    <w:p w14:paraId="058853D4" w14:textId="7B1323F5" w:rsidR="00DD2FE0" w:rsidRPr="00E10B6E" w:rsidRDefault="006D17BA" w:rsidP="006D17BA">
      <w:pPr>
        <w:pStyle w:val="Caption"/>
      </w:pPr>
      <w:r w:rsidRPr="00E10B6E">
        <w:t xml:space="preserve">Figure </w:t>
      </w:r>
      <w:r w:rsidR="00722F9A">
        <w:fldChar w:fldCharType="begin"/>
      </w:r>
      <w:r w:rsidR="00722F9A">
        <w:instrText xml:space="preserve"> SEQ Figure \* ARABIC </w:instrText>
      </w:r>
      <w:r w:rsidR="00722F9A">
        <w:fldChar w:fldCharType="separate"/>
      </w:r>
      <w:r w:rsidR="00983F73">
        <w:rPr>
          <w:noProof/>
        </w:rPr>
        <w:t>4</w:t>
      </w:r>
      <w:r w:rsidR="00722F9A">
        <w:rPr>
          <w:noProof/>
        </w:rPr>
        <w:fldChar w:fldCharType="end"/>
      </w:r>
      <w:r w:rsidRPr="00E10B6E">
        <w:t xml:space="preserve">:Global polypropylene production </w:t>
      </w:r>
      <w:r w:rsidR="00D058ED" w:rsidRPr="00E10B6E">
        <w:t xml:space="preserve">in </w:t>
      </w:r>
      <w:r w:rsidR="000B7C74" w:rsidRPr="00E10B6E">
        <w:t>kt</w:t>
      </w:r>
      <w:r w:rsidR="00857729" w:rsidRPr="00E10B6E">
        <w:t xml:space="preserve"> </w:t>
      </w:r>
      <w:r w:rsidR="00857729" w:rsidRPr="00E10B6E">
        <w:fldChar w:fldCharType="begin" w:fldLock="1"/>
      </w:r>
      <w:r w:rsidR="00B44428" w:rsidRPr="00E10B6E">
        <w:instrText>ADDIN CSL_CITATION {"citationItems":[{"id":"ITEM-1","itemData":{"DOI":"10.1007/978-3-319-25982-6_2","abstract":"This book describes industrial applications of polyolefins from the researchers' perspective. Polyolefins constitute today arguably the most important class of polymers and polymeric materials for widespread industrial applications. This book summarizes the present state of the art. Starting from fundamental aspects, such as the polymerization techniques to synthesize polyolefins, the book introduces the topic. Basic knowledge about polyolefin composites and blends is explained, before applications aspects in different industry sectors are discussed.The spectrum comprises a wide range of applications and industry sectors, such as the packaging and food industry, the textile industry, automotive and buildings, and even biomedical applications. Topics, which are addressed in the various chapters, comprise synthesis and processing of the materials; their classification; mechanical, physical and technical requirements and properties; their characterization; and many more. In the end of the book, even the disposal, degradation and recycling of polyolefins are addressed, and light is shed on their commercial significance and economic value.In this way, the book follows the entire 'lifetime' of polyolefin compounds and materials: from their synthesis and processing, over applications, to the recycling and reuse of disposed or degraded polyolefin substrates.","author":[{"dropping-particle":"","family":"Hutley","given":"Trevor J.","non-dropping-particle":"","parse-names":false,"suffix":""},{"dropping-particle":"","family":"Ouederni","given":"Mabrouk","non-dropping-particle":"","parse-names":false,"suffix":""}],"container-title":"Polyolefin Compounds and Materials ","editor":[{"dropping-particle":"","family":"Ma'adeed","given":"M","non-dropping-particle":"Al","parse-names":false,"suffix":""},{"dropping-particle":"","family":"Krupa","given":"I","non-dropping-particle":"","parse-names":false,"suffix":""}],"id":"ITEM-1","issued":{"date-parts":[["2016"]]},"page":"13-50","publisher":"Springer","publisher-place":"Berlin","title":"Polyolefins—The History and Economic Impact","type":"chapter"},"uris":["http://www.mendeley.com/documents/?uuid=b9347f75-f38d-372c-aaf4-8e9037b4b5b1"]}],"mendeley":{"formattedCitation":"(Hutley &amp; Ouederni, 2016)","plainTextFormattedCitation":"(Hutley &amp; Ouederni, 2016)","previouslyFormattedCitation":"(Hutley &amp; Ouederni, 2016)"},"properties":{"noteIndex":0},"schema":"https://github.com/citation-style-language/schema/raw/master/csl-citation.json"}</w:instrText>
      </w:r>
      <w:r w:rsidR="00857729" w:rsidRPr="00E10B6E">
        <w:fldChar w:fldCharType="separate"/>
      </w:r>
      <w:r w:rsidR="00857729" w:rsidRPr="00E10B6E">
        <w:rPr>
          <w:i w:val="0"/>
          <w:noProof/>
        </w:rPr>
        <w:t>(Hutley &amp; Ouederni, 2016)</w:t>
      </w:r>
      <w:r w:rsidR="00857729" w:rsidRPr="00E10B6E">
        <w:fldChar w:fldCharType="end"/>
      </w:r>
      <w:r w:rsidR="00D058ED" w:rsidRPr="00E10B6E">
        <w:t>.</w:t>
      </w:r>
    </w:p>
    <w:p w14:paraId="1AA6F95A" w14:textId="38894F8E" w:rsidR="009838BE" w:rsidRPr="00E10B6E" w:rsidRDefault="009838BE" w:rsidP="009838BE">
      <w:r w:rsidRPr="00E10B6E">
        <w:t>The milestones of polypropylene development history can be summarized as follows:</w:t>
      </w:r>
    </w:p>
    <w:p w14:paraId="12B8C22C" w14:textId="0EBE2C9A" w:rsidR="009838BE" w:rsidRPr="00E10B6E" w:rsidRDefault="009838BE" w:rsidP="009838BE">
      <w:pPr>
        <w:pStyle w:val="ListParagraph"/>
        <w:numPr>
          <w:ilvl w:val="0"/>
          <w:numId w:val="2"/>
        </w:numPr>
      </w:pPr>
      <w:r w:rsidRPr="00E10B6E">
        <w:t>1954: First commercialization of PP</w:t>
      </w:r>
    </w:p>
    <w:p w14:paraId="54FDC89B" w14:textId="2F270A21" w:rsidR="009838BE" w:rsidRPr="00E10B6E" w:rsidRDefault="009838BE" w:rsidP="009838BE">
      <w:pPr>
        <w:pStyle w:val="ListParagraph"/>
        <w:numPr>
          <w:ilvl w:val="0"/>
          <w:numId w:val="2"/>
        </w:numPr>
      </w:pPr>
      <w:r w:rsidRPr="00E10B6E">
        <w:t>1987: PP plastics reach a global production of 10,000 tons</w:t>
      </w:r>
    </w:p>
    <w:p w14:paraId="2705CC1C" w14:textId="3C1BB33F" w:rsidR="009838BE" w:rsidRPr="00E10B6E" w:rsidRDefault="009838BE" w:rsidP="009838BE">
      <w:pPr>
        <w:pStyle w:val="ListParagraph"/>
        <w:numPr>
          <w:ilvl w:val="0"/>
          <w:numId w:val="2"/>
        </w:numPr>
      </w:pPr>
      <w:r w:rsidRPr="00E10B6E">
        <w:t>2010: PP plastics reach a global production of 50,000 tons</w:t>
      </w:r>
    </w:p>
    <w:p w14:paraId="24383070" w14:textId="0630A507" w:rsidR="009838BE" w:rsidRPr="00E10B6E" w:rsidRDefault="009838BE" w:rsidP="009838BE">
      <w:pPr>
        <w:pStyle w:val="ListParagraph"/>
        <w:numPr>
          <w:ilvl w:val="0"/>
          <w:numId w:val="2"/>
        </w:numPr>
      </w:pPr>
      <w:r w:rsidRPr="00E10B6E">
        <w:t>2018: PP plastics reach a global production of 90,000 tons</w:t>
      </w:r>
    </w:p>
    <w:p w14:paraId="5D7AA050" w14:textId="05706C8A" w:rsidR="00865BF3" w:rsidRPr="00E10B6E" w:rsidRDefault="00865BF3" w:rsidP="00845F81">
      <w:pPr>
        <w:jc w:val="both"/>
      </w:pPr>
      <w:r w:rsidRPr="00E10B6E">
        <w:br w:type="page"/>
      </w:r>
    </w:p>
    <w:p w14:paraId="0CD1362A" w14:textId="2EEDAE1C" w:rsidR="00934B8D" w:rsidRPr="00E10B6E" w:rsidRDefault="00BD54EB" w:rsidP="0078694D">
      <w:pPr>
        <w:pStyle w:val="Heading1"/>
        <w:spacing w:before="480"/>
        <w:rPr>
          <w:b/>
          <w:bCs/>
        </w:rPr>
      </w:pPr>
      <w:bookmarkStart w:id="13" w:name="_Toc54274784"/>
      <w:r w:rsidRPr="00E10B6E">
        <w:rPr>
          <w:b/>
          <w:bCs/>
          <w:sz w:val="40"/>
          <w:szCs w:val="40"/>
        </w:rPr>
        <w:lastRenderedPageBreak/>
        <w:t>3</w:t>
      </w:r>
      <w:r w:rsidR="001C1D78" w:rsidRPr="00E10B6E">
        <w:rPr>
          <w:b/>
          <w:bCs/>
          <w:sz w:val="40"/>
          <w:szCs w:val="40"/>
        </w:rPr>
        <w:t>.</w:t>
      </w:r>
      <w:r w:rsidRPr="00E10B6E">
        <w:rPr>
          <w:b/>
          <w:bCs/>
          <w:sz w:val="40"/>
          <w:szCs w:val="40"/>
        </w:rPr>
        <w:t xml:space="preserve"> METHOD</w:t>
      </w:r>
      <w:r w:rsidR="008178B3" w:rsidRPr="00E10B6E">
        <w:rPr>
          <w:b/>
          <w:bCs/>
          <w:sz w:val="40"/>
          <w:szCs w:val="40"/>
        </w:rPr>
        <w:t>OLOG</w:t>
      </w:r>
      <w:r w:rsidR="00FA1C79" w:rsidRPr="00E10B6E">
        <w:rPr>
          <w:b/>
          <w:bCs/>
          <w:sz w:val="40"/>
          <w:szCs w:val="40"/>
        </w:rPr>
        <w:t>Y</w:t>
      </w:r>
      <w:bookmarkEnd w:id="13"/>
    </w:p>
    <w:p w14:paraId="37694584" w14:textId="28B4E003" w:rsidR="00DA139C" w:rsidRPr="00E10B6E" w:rsidRDefault="00C9560B" w:rsidP="00A509AB">
      <w:pPr>
        <w:jc w:val="both"/>
      </w:pPr>
      <w:r w:rsidRPr="00E10B6E">
        <w:t xml:space="preserve">A general and summarized overview </w:t>
      </w:r>
      <w:r w:rsidR="004B2236" w:rsidRPr="00E10B6E">
        <w:t>of</w:t>
      </w:r>
      <w:r w:rsidR="00955879" w:rsidRPr="00E10B6E">
        <w:t xml:space="preserve"> </w:t>
      </w:r>
      <w:r w:rsidR="004B2236" w:rsidRPr="00E10B6E">
        <w:t xml:space="preserve">the research steps </w:t>
      </w:r>
      <w:r w:rsidRPr="00E10B6E">
        <w:t xml:space="preserve">can be seen in </w:t>
      </w:r>
      <w:r w:rsidR="00955879" w:rsidRPr="00E10B6E">
        <w:fldChar w:fldCharType="begin"/>
      </w:r>
      <w:r w:rsidR="00955879" w:rsidRPr="00E10B6E">
        <w:instrText xml:space="preserve"> REF _Ref51863586 \h </w:instrText>
      </w:r>
      <w:r w:rsidR="00955879" w:rsidRPr="00E10B6E">
        <w:fldChar w:fldCharType="separate"/>
      </w:r>
      <w:r w:rsidR="00983F73" w:rsidRPr="00E10B6E">
        <w:t xml:space="preserve">Figure </w:t>
      </w:r>
      <w:r w:rsidR="00983F73">
        <w:rPr>
          <w:noProof/>
        </w:rPr>
        <w:t>5</w:t>
      </w:r>
      <w:r w:rsidR="00955879" w:rsidRPr="00E10B6E">
        <w:fldChar w:fldCharType="end"/>
      </w:r>
      <w:r w:rsidR="003B2389" w:rsidRPr="00E10B6E">
        <w:t>, linking together questions, methods, and expected results.</w:t>
      </w:r>
    </w:p>
    <w:p w14:paraId="0C255B36" w14:textId="77777777" w:rsidR="00022476" w:rsidRPr="00E10B6E" w:rsidRDefault="00022476" w:rsidP="004B2236">
      <w:pPr>
        <w:jc w:val="both"/>
      </w:pPr>
    </w:p>
    <w:p w14:paraId="1D090078" w14:textId="77777777" w:rsidR="00955879" w:rsidRPr="00E10B6E" w:rsidRDefault="003556C6" w:rsidP="00955879">
      <w:pPr>
        <w:keepNext/>
        <w:jc w:val="both"/>
      </w:pPr>
      <w:r w:rsidRPr="00E10B6E">
        <w:rPr>
          <w:noProof/>
        </w:rPr>
        <w:drawing>
          <wp:inline distT="0" distB="0" distL="0" distR="0" wp14:anchorId="59A4F376" wp14:editId="768EFB21">
            <wp:extent cx="5753100" cy="592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5924550"/>
                    </a:xfrm>
                    <a:prstGeom prst="rect">
                      <a:avLst/>
                    </a:prstGeom>
                    <a:noFill/>
                    <a:ln>
                      <a:noFill/>
                    </a:ln>
                  </pic:spPr>
                </pic:pic>
              </a:graphicData>
            </a:graphic>
          </wp:inline>
        </w:drawing>
      </w:r>
    </w:p>
    <w:p w14:paraId="7A9F0CA8" w14:textId="5D599C75" w:rsidR="00CD61E9" w:rsidRPr="00E10B6E" w:rsidRDefault="00955879" w:rsidP="00955879">
      <w:pPr>
        <w:pStyle w:val="Caption"/>
        <w:jc w:val="both"/>
      </w:pPr>
      <w:bookmarkStart w:id="14" w:name="_Ref51863586"/>
      <w:r w:rsidRPr="00E10B6E">
        <w:t xml:space="preserve">Figure </w:t>
      </w:r>
      <w:r w:rsidR="00722F9A">
        <w:fldChar w:fldCharType="begin"/>
      </w:r>
      <w:r w:rsidR="00722F9A">
        <w:instrText xml:space="preserve"> SEQ Figure \* A</w:instrText>
      </w:r>
      <w:r w:rsidR="00722F9A">
        <w:instrText xml:space="preserve">RABIC </w:instrText>
      </w:r>
      <w:r w:rsidR="00722F9A">
        <w:fldChar w:fldCharType="separate"/>
      </w:r>
      <w:r w:rsidR="00983F73">
        <w:rPr>
          <w:noProof/>
        </w:rPr>
        <w:t>5</w:t>
      </w:r>
      <w:r w:rsidR="00722F9A">
        <w:rPr>
          <w:noProof/>
        </w:rPr>
        <w:fldChar w:fldCharType="end"/>
      </w:r>
      <w:bookmarkEnd w:id="14"/>
      <w:r w:rsidRPr="00E10B6E">
        <w:t xml:space="preserve">: Research </w:t>
      </w:r>
      <w:r w:rsidR="00346352" w:rsidRPr="00E10B6E">
        <w:t xml:space="preserve">framework showing the connection between </w:t>
      </w:r>
      <w:r w:rsidRPr="00E10B6E">
        <w:t>questions, methodologies, and results.</w:t>
      </w:r>
    </w:p>
    <w:p w14:paraId="0EB4163B" w14:textId="423D18E1" w:rsidR="00A647BB" w:rsidRPr="00E10B6E" w:rsidRDefault="003B2389" w:rsidP="00A647BB">
      <w:pPr>
        <w:jc w:val="both"/>
      </w:pPr>
      <w:r w:rsidRPr="00E10B6E">
        <w:t xml:space="preserve">The following sections will present in detail the specific methodologies used to </w:t>
      </w:r>
      <w:r w:rsidR="00A647BB" w:rsidRPr="00E10B6E">
        <w:t>gather and process the data relative to each research question.</w:t>
      </w:r>
    </w:p>
    <w:p w14:paraId="3CF044B5" w14:textId="77777777" w:rsidR="00A647BB" w:rsidRPr="00E10B6E" w:rsidRDefault="00A647BB">
      <w:r w:rsidRPr="00E10B6E">
        <w:br w:type="page"/>
      </w:r>
    </w:p>
    <w:p w14:paraId="58975FA5" w14:textId="77777777" w:rsidR="00022476" w:rsidRPr="00E10B6E" w:rsidRDefault="00022476">
      <w:pPr>
        <w:rPr>
          <w:rFonts w:asciiTheme="majorHAnsi" w:eastAsiaTheme="majorEastAsia" w:hAnsiTheme="majorHAnsi" w:cstheme="majorBidi"/>
          <w:color w:val="2F5496" w:themeColor="accent1" w:themeShade="BF"/>
          <w:sz w:val="26"/>
          <w:szCs w:val="26"/>
        </w:rPr>
      </w:pPr>
    </w:p>
    <w:p w14:paraId="4304C779" w14:textId="26CD5CD7" w:rsidR="005F3019" w:rsidRPr="00E10B6E" w:rsidRDefault="005F3019" w:rsidP="005F3019">
      <w:pPr>
        <w:pStyle w:val="Heading2"/>
      </w:pPr>
      <w:bookmarkStart w:id="15" w:name="_Toc54274785"/>
      <w:r w:rsidRPr="00E10B6E">
        <w:t xml:space="preserve">3.1 </w:t>
      </w:r>
      <w:r w:rsidR="00B200A5" w:rsidRPr="00E10B6E">
        <w:t xml:space="preserve">Market analysis of </w:t>
      </w:r>
      <w:r w:rsidRPr="00E10B6E">
        <w:t>Polyolefin products and applications</w:t>
      </w:r>
      <w:bookmarkEnd w:id="15"/>
    </w:p>
    <w:p w14:paraId="243C716C" w14:textId="06BDC90A" w:rsidR="00B43B2E" w:rsidRPr="00E10B6E" w:rsidRDefault="00876C2D" w:rsidP="00F47708">
      <w:pPr>
        <w:jc w:val="both"/>
      </w:pPr>
      <w:r w:rsidRPr="00E10B6E">
        <w:t xml:space="preserve">The first </w:t>
      </w:r>
      <w:r w:rsidR="00BA49E5" w:rsidRPr="00E10B6E">
        <w:t>part of the research was dedicated to answer</w:t>
      </w:r>
      <w:r w:rsidR="00F52340" w:rsidRPr="00E10B6E">
        <w:t>ing</w:t>
      </w:r>
      <w:r w:rsidR="00BA49E5" w:rsidRPr="00E10B6E">
        <w:t xml:space="preserve"> the question: “</w:t>
      </w:r>
      <w:r w:rsidR="00BC6441" w:rsidRPr="00E10B6E">
        <w:rPr>
          <w:i/>
          <w:iCs/>
        </w:rPr>
        <w:t>What are the main applications of polyolefins, and what is the volume demand of each consumer sector in the Netherlands?</w:t>
      </w:r>
      <w:r w:rsidR="00BA49E5" w:rsidRPr="00E10B6E">
        <w:t xml:space="preserve">”. </w:t>
      </w:r>
    </w:p>
    <w:p w14:paraId="78DF2E96" w14:textId="6B38F013" w:rsidR="001847E9" w:rsidRPr="00E10B6E" w:rsidRDefault="00B43B2E" w:rsidP="00F47708">
      <w:pPr>
        <w:jc w:val="both"/>
      </w:pPr>
      <w:r w:rsidRPr="00E10B6E">
        <w:t xml:space="preserve">The first part of the question was </w:t>
      </w:r>
      <w:r w:rsidR="007C36C3" w:rsidRPr="00E10B6E">
        <w:t>answered by reviewing a huge amount of scientific literature, reports, websites, and other online sources</w:t>
      </w:r>
      <w:r w:rsidR="001E0A16" w:rsidRPr="00E10B6E">
        <w:t xml:space="preserve"> regarding polyolefin products and applications. </w:t>
      </w:r>
      <w:r w:rsidR="00022476" w:rsidRPr="00E10B6E">
        <w:t>The</w:t>
      </w:r>
      <w:r w:rsidR="001847E9" w:rsidRPr="00E10B6E">
        <w:t xml:space="preserve"> description of each polyolefin was </w:t>
      </w:r>
      <w:r w:rsidR="00022476" w:rsidRPr="00E10B6E">
        <w:t xml:space="preserve">coupled with </w:t>
      </w:r>
      <w:r w:rsidR="00F52340" w:rsidRPr="00E10B6E">
        <w:t>a</w:t>
      </w:r>
      <w:r w:rsidR="00022476" w:rsidRPr="00E10B6E">
        <w:t>n overview of its physical properties, namely:</w:t>
      </w:r>
    </w:p>
    <w:p w14:paraId="1BE4C689" w14:textId="025EEAEA" w:rsidR="00022476" w:rsidRPr="00E10B6E" w:rsidRDefault="00022476" w:rsidP="00022476">
      <w:pPr>
        <w:pStyle w:val="ListParagraph"/>
        <w:numPr>
          <w:ilvl w:val="0"/>
          <w:numId w:val="16"/>
        </w:numPr>
        <w:spacing w:after="0" w:line="260" w:lineRule="atLeast"/>
        <w:jc w:val="both"/>
      </w:pPr>
      <w:r w:rsidRPr="00E10B6E">
        <w:rPr>
          <w:b/>
          <w:bCs/>
        </w:rPr>
        <w:t>Density</w:t>
      </w:r>
      <w:r w:rsidRPr="00E10B6E">
        <w:t>: the ratio between the mass and the volume of the material, it is measured in g/cm</w:t>
      </w:r>
      <w:r w:rsidRPr="00E10B6E">
        <w:rPr>
          <w:vertAlign w:val="superscript"/>
        </w:rPr>
        <w:t>3</w:t>
      </w:r>
      <w:r w:rsidRPr="00E10B6E">
        <w:t xml:space="preserve"> or kg/m</w:t>
      </w:r>
      <w:r w:rsidRPr="00E10B6E">
        <w:rPr>
          <w:vertAlign w:val="superscript"/>
        </w:rPr>
        <w:t>3</w:t>
      </w:r>
      <w:r w:rsidRPr="00E10B6E">
        <w:t>.</w:t>
      </w:r>
    </w:p>
    <w:p w14:paraId="32A13CE1" w14:textId="0E66B69A" w:rsidR="00022476" w:rsidRPr="00E10B6E" w:rsidRDefault="00022476" w:rsidP="00022476">
      <w:pPr>
        <w:pStyle w:val="ListParagraph"/>
        <w:numPr>
          <w:ilvl w:val="0"/>
          <w:numId w:val="16"/>
        </w:numPr>
        <w:spacing w:after="0" w:line="260" w:lineRule="atLeast"/>
        <w:jc w:val="both"/>
      </w:pPr>
      <w:r w:rsidRPr="00E10B6E">
        <w:rPr>
          <w:b/>
          <w:bCs/>
        </w:rPr>
        <w:t>Tensile yield strength</w:t>
      </w:r>
      <w:r w:rsidRPr="00E10B6E">
        <w:t>: the stress a material can withstand without permanent deformation, it is measured in MPa or N/mm</w:t>
      </w:r>
      <w:r w:rsidRPr="00E10B6E">
        <w:rPr>
          <w:vertAlign w:val="superscript"/>
        </w:rPr>
        <w:t>2</w:t>
      </w:r>
      <w:r w:rsidRPr="00E10B6E">
        <w:t>.</w:t>
      </w:r>
    </w:p>
    <w:p w14:paraId="6EA945AC" w14:textId="77777777" w:rsidR="00022476" w:rsidRPr="00E10B6E" w:rsidRDefault="00022476" w:rsidP="00022476">
      <w:pPr>
        <w:pStyle w:val="ListParagraph"/>
        <w:numPr>
          <w:ilvl w:val="0"/>
          <w:numId w:val="16"/>
        </w:numPr>
        <w:spacing w:after="0" w:line="260" w:lineRule="atLeast"/>
        <w:jc w:val="both"/>
      </w:pPr>
      <w:r w:rsidRPr="00E10B6E">
        <w:rPr>
          <w:b/>
          <w:bCs/>
        </w:rPr>
        <w:t>Shore hardness (D scale)</w:t>
      </w:r>
      <w:r w:rsidRPr="00E10B6E">
        <w:t>: it measures the resistance of a material to be penetrated by an indenter, it goes from 0 (softest) to 100 (hardest).</w:t>
      </w:r>
    </w:p>
    <w:p w14:paraId="6EE2D1B1" w14:textId="77777777" w:rsidR="00022476" w:rsidRPr="00E10B6E" w:rsidRDefault="00022476" w:rsidP="00022476">
      <w:pPr>
        <w:pStyle w:val="ListParagraph"/>
        <w:numPr>
          <w:ilvl w:val="0"/>
          <w:numId w:val="16"/>
        </w:numPr>
        <w:spacing w:after="0" w:line="260" w:lineRule="atLeast"/>
        <w:jc w:val="both"/>
      </w:pPr>
      <w:r w:rsidRPr="00E10B6E">
        <w:rPr>
          <w:b/>
          <w:bCs/>
        </w:rPr>
        <w:t>Continuous service temperature</w:t>
      </w:r>
      <w:r w:rsidRPr="00E10B6E">
        <w:t>: the maximum temperature (measured in Celsius) above which the mechanical properties of the material degrade significantly.</w:t>
      </w:r>
    </w:p>
    <w:p w14:paraId="3CF1DEFB" w14:textId="3544566B" w:rsidR="000948E6" w:rsidRPr="00E10B6E" w:rsidRDefault="00A647BB" w:rsidP="00590387">
      <w:pPr>
        <w:jc w:val="both"/>
      </w:pPr>
      <w:r w:rsidRPr="00E10B6E">
        <w:br/>
      </w:r>
      <w:r w:rsidR="001E0A16" w:rsidRPr="00E10B6E">
        <w:t xml:space="preserve">Finding the volume demand of each Dutch consumer sector, however, was more complicated. </w:t>
      </w:r>
      <w:r w:rsidR="00D16F45" w:rsidRPr="00E10B6E">
        <w:t xml:space="preserve">The </w:t>
      </w:r>
      <w:r w:rsidR="00F47708" w:rsidRPr="00E10B6E">
        <w:t>main</w:t>
      </w:r>
      <w:r w:rsidR="00D16F45" w:rsidRPr="00E10B6E">
        <w:t xml:space="preserve"> source</w:t>
      </w:r>
      <w:r w:rsidR="00F52340" w:rsidRPr="00E10B6E">
        <w:t>s</w:t>
      </w:r>
      <w:r w:rsidR="00D16F45" w:rsidRPr="00E10B6E">
        <w:t xml:space="preserve"> for information w</w:t>
      </w:r>
      <w:r w:rsidR="00F47708" w:rsidRPr="00E10B6E">
        <w:t>ere</w:t>
      </w:r>
      <w:r w:rsidR="00D16F45" w:rsidRPr="00E10B6E">
        <w:t xml:space="preserve"> the report</w:t>
      </w:r>
      <w:r w:rsidR="00F47708" w:rsidRPr="00E10B6E">
        <w:t>s</w:t>
      </w:r>
      <w:r w:rsidR="00D16F45" w:rsidRPr="00E10B6E">
        <w:t xml:space="preserve"> prepared by PlasticsEurope, the leading association of plastic manufacturers in Europe.</w:t>
      </w:r>
      <w:r w:rsidR="00F47708" w:rsidRPr="00E10B6E">
        <w:t xml:space="preserve"> </w:t>
      </w:r>
      <w:r w:rsidR="00DF20B7" w:rsidRPr="00E10B6E">
        <w:t xml:space="preserve">Having more than 100 member companies, </w:t>
      </w:r>
      <w:r w:rsidR="00594F27" w:rsidRPr="00E10B6E">
        <w:t>which are responsible for more than 90% of the polymers produced in the European Union</w:t>
      </w:r>
      <w:r w:rsidR="00BF49DF" w:rsidRPr="00E10B6E">
        <w:t xml:space="preserve"> </w:t>
      </w:r>
      <w:r w:rsidR="000258CF" w:rsidRPr="00E10B6E">
        <w:fldChar w:fldCharType="begin" w:fldLock="1"/>
      </w:r>
      <w:r w:rsidR="00A02D74" w:rsidRPr="00E10B6E">
        <w:instrText>ADDIN CSL_CITATION {"citationItems":[{"id":"ITEM-1","itemData":{"URL":"https://www.plasticseurope.org/en/about-us/who-we-are","accessed":{"date-parts":[["2020","9","24"]]},"author":[{"dropping-particle":"","family":"PlasticsEurope","given":"","non-dropping-particle":"","parse-names":false,"suffix":""}],"id":"ITEM-1","issued":{"date-parts":[["2020"]]},"title":"Who we are :: PlasticsEurope","type":"webpage"},"uris":["http://www.mendeley.com/documents/?uuid=5d5e6527-ad34-3a30-a864-9dacd62de987"]}],"mendeley":{"formattedCitation":"(PlasticsEurope, 2020b)","plainTextFormattedCitation":"(PlasticsEurope, 2020b)","previouslyFormattedCitation":"(PlasticsEurope, 2020b)"},"properties":{"noteIndex":0},"schema":"https://github.com/citation-style-language/schema/raw/master/csl-citation.json"}</w:instrText>
      </w:r>
      <w:r w:rsidR="000258CF" w:rsidRPr="00E10B6E">
        <w:fldChar w:fldCharType="separate"/>
      </w:r>
      <w:r w:rsidR="000258CF" w:rsidRPr="00E10B6E">
        <w:rPr>
          <w:noProof/>
        </w:rPr>
        <w:t>(PlasticsEurope, 2020b)</w:t>
      </w:r>
      <w:r w:rsidR="000258CF" w:rsidRPr="00E10B6E">
        <w:fldChar w:fldCharType="end"/>
      </w:r>
      <w:r w:rsidR="00594F27" w:rsidRPr="00E10B6E">
        <w:t xml:space="preserve">, PlasticsEurope </w:t>
      </w:r>
      <w:r w:rsidR="00E467ED" w:rsidRPr="00E10B6E">
        <w:t>was</w:t>
      </w:r>
      <w:r w:rsidR="00594F27" w:rsidRPr="00E10B6E">
        <w:t xml:space="preserve"> considered a reliable source </w:t>
      </w:r>
      <w:r w:rsidR="00BF49DF" w:rsidRPr="00E10B6E">
        <w:t xml:space="preserve">to get data regarding the use of polyolefins. </w:t>
      </w:r>
      <w:r w:rsidR="00C91967" w:rsidRPr="00E10B6E">
        <w:t>Nevertheless</w:t>
      </w:r>
      <w:r w:rsidR="007C7912" w:rsidRPr="00E10B6E">
        <w:t>, a</w:t>
      </w:r>
      <w:r w:rsidR="00E467ED" w:rsidRPr="00E10B6E">
        <w:t>lthough</w:t>
      </w:r>
      <w:r w:rsidR="000204E4" w:rsidRPr="00E10B6E">
        <w:t xml:space="preserve"> the organisation </w:t>
      </w:r>
      <w:r w:rsidR="00E467ED" w:rsidRPr="00E10B6E">
        <w:t xml:space="preserve">gathers and publishes </w:t>
      </w:r>
      <w:r w:rsidR="003A5562" w:rsidRPr="00E10B6E">
        <w:t xml:space="preserve">many facts and </w:t>
      </w:r>
      <w:r w:rsidR="000948E6" w:rsidRPr="00E10B6E">
        <w:t>graphs</w:t>
      </w:r>
      <w:r w:rsidR="003A5562" w:rsidRPr="00E10B6E">
        <w:t xml:space="preserve"> about plastic</w:t>
      </w:r>
      <w:r w:rsidR="000948E6" w:rsidRPr="00E10B6E">
        <w:t xml:space="preserve"> production and consumption</w:t>
      </w:r>
      <w:r w:rsidR="003A5562" w:rsidRPr="00E10B6E">
        <w:t xml:space="preserve">, it </w:t>
      </w:r>
      <w:r w:rsidR="000948E6" w:rsidRPr="00E10B6E">
        <w:t xml:space="preserve">does not share </w:t>
      </w:r>
      <w:r w:rsidR="00BD77FA" w:rsidRPr="00E10B6E">
        <w:t xml:space="preserve">the exact </w:t>
      </w:r>
      <w:r w:rsidR="00C91967" w:rsidRPr="00E10B6E">
        <w:t>numbers</w:t>
      </w:r>
      <w:r w:rsidR="00BD77FA" w:rsidRPr="00E10B6E">
        <w:t xml:space="preserve"> </w:t>
      </w:r>
      <w:r w:rsidR="000948E6" w:rsidRPr="00E10B6E">
        <w:t>to the public</w:t>
      </w:r>
      <w:r w:rsidR="00BD77FA" w:rsidRPr="00E10B6E">
        <w:t>. To get</w:t>
      </w:r>
      <w:r w:rsidR="003A5562" w:rsidRPr="00E10B6E">
        <w:t xml:space="preserve"> the values regarding the use of polyolefin</w:t>
      </w:r>
      <w:r w:rsidR="004763FF" w:rsidRPr="00E10B6E">
        <w:t xml:space="preserve"> products in the main economic sectors of the Netherlands</w:t>
      </w:r>
      <w:r w:rsidR="00BD77FA" w:rsidRPr="00E10B6E">
        <w:t>, it was thus necessary to</w:t>
      </w:r>
      <w:r w:rsidR="007C7912" w:rsidRPr="00E10B6E">
        <w:t xml:space="preserve"> </w:t>
      </w:r>
      <w:r w:rsidR="003A16D0" w:rsidRPr="00E10B6E">
        <w:t xml:space="preserve">use some creativity and </w:t>
      </w:r>
      <w:r w:rsidR="007C7912" w:rsidRPr="00E10B6E">
        <w:t xml:space="preserve">connect the </w:t>
      </w:r>
      <w:r w:rsidR="003A16D0" w:rsidRPr="00E10B6E">
        <w:t>clues</w:t>
      </w:r>
      <w:r w:rsidR="00F91B19" w:rsidRPr="00E10B6E">
        <w:t>.</w:t>
      </w:r>
    </w:p>
    <w:p w14:paraId="54FE1690" w14:textId="3F438F68" w:rsidR="005F3019" w:rsidRPr="00E10B6E" w:rsidRDefault="00575D3D" w:rsidP="00F47708">
      <w:pPr>
        <w:jc w:val="both"/>
      </w:pPr>
      <w:r w:rsidRPr="00E10B6E">
        <w:t xml:space="preserve">As seen in </w:t>
      </w:r>
      <w:r w:rsidR="00DF4D1E" w:rsidRPr="00E10B6E">
        <w:rPr>
          <w:highlight w:val="yellow"/>
        </w:rPr>
        <w:fldChar w:fldCharType="begin"/>
      </w:r>
      <w:r w:rsidR="00DF4D1E" w:rsidRPr="00E10B6E">
        <w:rPr>
          <w:highlight w:val="yellow"/>
        </w:rPr>
        <w:instrText xml:space="preserve"> REF _Ref51854629 \h </w:instrText>
      </w:r>
      <w:r w:rsidR="00DF4D1E" w:rsidRPr="00E10B6E">
        <w:rPr>
          <w:highlight w:val="yellow"/>
        </w:rPr>
      </w:r>
      <w:r w:rsidR="00DF4D1E" w:rsidRPr="00E10B6E">
        <w:rPr>
          <w:highlight w:val="yellow"/>
        </w:rPr>
        <w:fldChar w:fldCharType="separate"/>
      </w:r>
      <w:r w:rsidR="00983F73" w:rsidRPr="00E10B6E">
        <w:t xml:space="preserve">Figure </w:t>
      </w:r>
      <w:r w:rsidR="00983F73">
        <w:rPr>
          <w:noProof/>
        </w:rPr>
        <w:t>6</w:t>
      </w:r>
      <w:r w:rsidR="00DF4D1E" w:rsidRPr="00E10B6E">
        <w:rPr>
          <w:highlight w:val="yellow"/>
        </w:rPr>
        <w:fldChar w:fldCharType="end"/>
      </w:r>
      <w:r w:rsidRPr="00E10B6E">
        <w:t xml:space="preserve">, </w:t>
      </w:r>
      <w:r w:rsidR="007D3308" w:rsidRPr="00E10B6E">
        <w:t xml:space="preserve">the </w:t>
      </w:r>
      <w:r w:rsidR="004763FF" w:rsidRPr="00E10B6E">
        <w:t xml:space="preserve">graph </w:t>
      </w:r>
      <w:r w:rsidR="00440172" w:rsidRPr="00E10B6E">
        <w:t xml:space="preserve">presented by PlasticsEurope </w:t>
      </w:r>
      <w:r w:rsidR="00E433CC" w:rsidRPr="00E10B6E">
        <w:t xml:space="preserve">offers a visual overview of the consumption of many polymer types (including </w:t>
      </w:r>
      <w:r w:rsidR="003D6A2B" w:rsidRPr="00E10B6E">
        <w:t xml:space="preserve">polyolefins) by different economic sectors. The only </w:t>
      </w:r>
      <w:r w:rsidR="00AF4185" w:rsidRPr="00E10B6E">
        <w:t>explicit numbers, however, are the</w:t>
      </w:r>
      <w:r w:rsidR="0013159F" w:rsidRPr="00E10B6E">
        <w:t xml:space="preserve"> total shares of each sector, without a distinction </w:t>
      </w:r>
      <w:r w:rsidR="008402CF" w:rsidRPr="00E10B6E">
        <w:t>per polymer type. Using only the information of this graph it was not possible, for example, to know the amount of polypropylene (PP) used by the automotive sector</w:t>
      </w:r>
      <w:r w:rsidR="00B661C6" w:rsidRPr="00E10B6E">
        <w:t xml:space="preserve"> or the amount of High-density Polyethylene (HDPE) used for building and constructions.</w:t>
      </w:r>
    </w:p>
    <w:p w14:paraId="13C1E708" w14:textId="77777777" w:rsidR="005A2403" w:rsidRPr="00E10B6E" w:rsidRDefault="000948E6" w:rsidP="005A2403">
      <w:pPr>
        <w:keepNext/>
        <w:jc w:val="both"/>
      </w:pPr>
      <w:r w:rsidRPr="00E10B6E">
        <w:rPr>
          <w:noProof/>
        </w:rPr>
        <w:lastRenderedPageBreak/>
        <w:drawing>
          <wp:inline distT="0" distB="0" distL="0" distR="0" wp14:anchorId="0495F26C" wp14:editId="3909D654">
            <wp:extent cx="5760000" cy="60598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60000" cy="6059892"/>
                    </a:xfrm>
                    <a:prstGeom prst="rect">
                      <a:avLst/>
                    </a:prstGeom>
                  </pic:spPr>
                </pic:pic>
              </a:graphicData>
            </a:graphic>
          </wp:inline>
        </w:drawing>
      </w:r>
    </w:p>
    <w:p w14:paraId="04E6175C" w14:textId="49999BA4" w:rsidR="000948E6" w:rsidRPr="00E10B6E" w:rsidRDefault="005A2403" w:rsidP="00B44428">
      <w:pPr>
        <w:pStyle w:val="Caption"/>
        <w:jc w:val="both"/>
      </w:pPr>
      <w:bookmarkStart w:id="16" w:name="_Ref51854629"/>
      <w:bookmarkStart w:id="17" w:name="_Ref51854616"/>
      <w:r w:rsidRPr="00E10B6E">
        <w:t xml:space="preserve">Figure </w:t>
      </w:r>
      <w:r w:rsidR="00722F9A">
        <w:fldChar w:fldCharType="begin"/>
      </w:r>
      <w:r w:rsidR="00722F9A">
        <w:instrText xml:space="preserve"> SEQ Figure \* ARABIC </w:instrText>
      </w:r>
      <w:r w:rsidR="00722F9A">
        <w:fldChar w:fldCharType="separate"/>
      </w:r>
      <w:r w:rsidR="00983F73">
        <w:rPr>
          <w:noProof/>
        </w:rPr>
        <w:t>6</w:t>
      </w:r>
      <w:r w:rsidR="00722F9A">
        <w:rPr>
          <w:noProof/>
        </w:rPr>
        <w:fldChar w:fldCharType="end"/>
      </w:r>
      <w:bookmarkEnd w:id="16"/>
      <w:r w:rsidRPr="00E10B6E">
        <w:t>:</w:t>
      </w:r>
      <w:r w:rsidR="00B44428" w:rsidRPr="00E10B6E">
        <w:t xml:space="preserve"> Plastics demand by segments and polymer types in 2018 </w:t>
      </w:r>
      <w:r w:rsidR="00B44428" w:rsidRPr="00E10B6E">
        <w:fldChar w:fldCharType="begin" w:fldLock="1"/>
      </w:r>
      <w:r w:rsidR="00EC4E33"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B44428" w:rsidRPr="00E10B6E">
        <w:fldChar w:fldCharType="separate"/>
      </w:r>
      <w:r w:rsidR="00B44428" w:rsidRPr="00E10B6E">
        <w:rPr>
          <w:i w:val="0"/>
          <w:noProof/>
        </w:rPr>
        <w:t>(PlasticsEurope, 2019)</w:t>
      </w:r>
      <w:r w:rsidR="00B44428" w:rsidRPr="00E10B6E">
        <w:fldChar w:fldCharType="end"/>
      </w:r>
      <w:r w:rsidR="00B44428" w:rsidRPr="00E10B6E">
        <w:t>.</w:t>
      </w:r>
      <w:bookmarkEnd w:id="17"/>
    </w:p>
    <w:p w14:paraId="64C97923" w14:textId="097EB749" w:rsidR="007732C7" w:rsidRPr="00E10B6E" w:rsidRDefault="00143BCE" w:rsidP="00F47708">
      <w:pPr>
        <w:jc w:val="both"/>
      </w:pPr>
      <w:r w:rsidRPr="00E10B6E">
        <w:t xml:space="preserve">It was thus necessary to extract these values from the graph. </w:t>
      </w:r>
      <w:r w:rsidR="00F95A26" w:rsidRPr="00E10B6E">
        <w:t xml:space="preserve">To convert the visual data in actual numbers, the free software </w:t>
      </w:r>
      <w:r w:rsidR="00A730E8" w:rsidRPr="00E10B6E">
        <w:t>Web Plot Digitizer was used to measure the area of each sphere in pixels</w:t>
      </w:r>
      <w:r w:rsidR="007732C7" w:rsidRPr="00E10B6E">
        <w:t xml:space="preserve">, as seen in </w:t>
      </w:r>
      <w:r w:rsidRPr="00E10B6E">
        <w:rPr>
          <w:highlight w:val="yellow"/>
        </w:rPr>
        <w:fldChar w:fldCharType="begin"/>
      </w:r>
      <w:r w:rsidRPr="00E10B6E">
        <w:instrText xml:space="preserve"> REF _Ref51854695 \h </w:instrText>
      </w:r>
      <w:r w:rsidRPr="00E10B6E">
        <w:rPr>
          <w:highlight w:val="yellow"/>
        </w:rPr>
      </w:r>
      <w:r w:rsidRPr="00E10B6E">
        <w:rPr>
          <w:highlight w:val="yellow"/>
        </w:rPr>
        <w:fldChar w:fldCharType="separate"/>
      </w:r>
      <w:r w:rsidR="00983F73" w:rsidRPr="00E10B6E">
        <w:t xml:space="preserve">Figure </w:t>
      </w:r>
      <w:r w:rsidR="00983F73">
        <w:rPr>
          <w:noProof/>
        </w:rPr>
        <w:t>7</w:t>
      </w:r>
      <w:r w:rsidRPr="00E10B6E">
        <w:rPr>
          <w:highlight w:val="yellow"/>
        </w:rPr>
        <w:fldChar w:fldCharType="end"/>
      </w:r>
      <w:r w:rsidR="00A730E8" w:rsidRPr="00E10B6E">
        <w:t>.</w:t>
      </w:r>
    </w:p>
    <w:p w14:paraId="3D509B7F" w14:textId="77777777" w:rsidR="006C2EA9" w:rsidRPr="00E10B6E" w:rsidRDefault="00D85B7B" w:rsidP="006C2EA9">
      <w:pPr>
        <w:keepNext/>
        <w:jc w:val="both"/>
      </w:pPr>
      <w:r w:rsidRPr="00E10B6E">
        <w:rPr>
          <w:noProof/>
        </w:rPr>
        <w:lastRenderedPageBreak/>
        <w:drawing>
          <wp:inline distT="0" distB="0" distL="0" distR="0" wp14:anchorId="315C4EB1" wp14:editId="0F3B37FA">
            <wp:extent cx="5760000" cy="3328322"/>
            <wp:effectExtent l="0" t="0" r="0" b="5715"/>
            <wp:docPr id="16" name="Picture 1">
              <a:extLst xmlns:a="http://schemas.openxmlformats.org/drawingml/2006/main">
                <a:ext uri="{FF2B5EF4-FFF2-40B4-BE49-F238E27FC236}">
                  <a16:creationId xmlns:a16="http://schemas.microsoft.com/office/drawing/2014/main" id="{451C435D-102A-4EF4-A00E-2502DE70E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1C435D-102A-4EF4-A00E-2502DE70EB4B}"/>
                        </a:ext>
                      </a:extLst>
                    </pic:cNvPr>
                    <pic:cNvPicPr>
                      <a:picLocks noChangeAspect="1"/>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37065" t="9946" r="25376"/>
                    <a:stretch/>
                  </pic:blipFill>
                  <pic:spPr bwMode="auto">
                    <a:xfrm>
                      <a:off x="0" y="0"/>
                      <a:ext cx="5760000" cy="3328322"/>
                    </a:xfrm>
                    <a:prstGeom prst="rect">
                      <a:avLst/>
                    </a:prstGeom>
                    <a:ln>
                      <a:noFill/>
                    </a:ln>
                    <a:extLst>
                      <a:ext uri="{53640926-AAD7-44D8-BBD7-CCE9431645EC}">
                        <a14:shadowObscured xmlns:a14="http://schemas.microsoft.com/office/drawing/2010/main"/>
                      </a:ext>
                    </a:extLst>
                  </pic:spPr>
                </pic:pic>
              </a:graphicData>
            </a:graphic>
          </wp:inline>
        </w:drawing>
      </w:r>
    </w:p>
    <w:p w14:paraId="04A9308A" w14:textId="7F036CD9" w:rsidR="00D85B7B" w:rsidRPr="00E10B6E" w:rsidRDefault="006C2EA9" w:rsidP="006C2EA9">
      <w:pPr>
        <w:pStyle w:val="Caption"/>
        <w:jc w:val="both"/>
      </w:pPr>
      <w:bookmarkStart w:id="18" w:name="_Ref51854695"/>
      <w:r w:rsidRPr="00E10B6E">
        <w:t xml:space="preserve">Figure </w:t>
      </w:r>
      <w:r w:rsidR="00722F9A">
        <w:fldChar w:fldCharType="begin"/>
      </w:r>
      <w:r w:rsidR="00722F9A">
        <w:instrText xml:space="preserve"> SEQ Figure \* ARABIC </w:instrText>
      </w:r>
      <w:r w:rsidR="00722F9A">
        <w:fldChar w:fldCharType="separate"/>
      </w:r>
      <w:r w:rsidR="00983F73">
        <w:rPr>
          <w:noProof/>
        </w:rPr>
        <w:t>7</w:t>
      </w:r>
      <w:r w:rsidR="00722F9A">
        <w:rPr>
          <w:noProof/>
        </w:rPr>
        <w:fldChar w:fldCharType="end"/>
      </w:r>
      <w:bookmarkEnd w:id="18"/>
      <w:r w:rsidRPr="00E10B6E">
        <w:t xml:space="preserve">: </w:t>
      </w:r>
      <w:r w:rsidR="00531182" w:rsidRPr="00E10B6E">
        <w:t>Screenshot of the m</w:t>
      </w:r>
      <w:r w:rsidR="00061611" w:rsidRPr="00E10B6E">
        <w:t xml:space="preserve">easuring process </w:t>
      </w:r>
      <w:r w:rsidR="00531182" w:rsidRPr="00E10B6E">
        <w:t xml:space="preserve">using Web Plot Digitizer. </w:t>
      </w:r>
      <w:r w:rsidR="00663ACC" w:rsidRPr="00E10B6E">
        <w:t xml:space="preserve">The </w:t>
      </w:r>
      <w:r w:rsidR="00061611" w:rsidRPr="00E10B6E">
        <w:t>area</w:t>
      </w:r>
      <w:r w:rsidR="00663ACC" w:rsidRPr="00E10B6E">
        <w:t>s</w:t>
      </w:r>
      <w:r w:rsidR="00061611" w:rsidRPr="00E10B6E">
        <w:t xml:space="preserve"> of the circles</w:t>
      </w:r>
      <w:r w:rsidR="00663ACC" w:rsidRPr="00E10B6E">
        <w:t xml:space="preserve"> were measured in pixels.</w:t>
      </w:r>
    </w:p>
    <w:p w14:paraId="73807AED" w14:textId="17CE8221" w:rsidR="001E5781" w:rsidRPr="00E10B6E" w:rsidRDefault="008603E6" w:rsidP="00F47708">
      <w:pPr>
        <w:jc w:val="both"/>
      </w:pPr>
      <w:r w:rsidRPr="00E10B6E">
        <w:t xml:space="preserve">The </w:t>
      </w:r>
      <w:r w:rsidR="00B36D67" w:rsidRPr="00E10B6E">
        <w:t xml:space="preserve">process was applied for </w:t>
      </w:r>
      <w:r w:rsidR="00AC0BD7" w:rsidRPr="00E10B6E">
        <w:t xml:space="preserve">all the </w:t>
      </w:r>
      <w:r w:rsidR="00B36D67" w:rsidRPr="00E10B6E">
        <w:t>polyolefin resin</w:t>
      </w:r>
      <w:r w:rsidR="00084AF8" w:rsidRPr="00E10B6E">
        <w:t xml:space="preserve"> types</w:t>
      </w:r>
      <w:r w:rsidR="00B36D67" w:rsidRPr="00E10B6E">
        <w:t>,</w:t>
      </w:r>
      <w:r w:rsidR="00AC0BD7" w:rsidRPr="00E10B6E">
        <w:t xml:space="preserve"> which</w:t>
      </w:r>
      <w:r w:rsidR="003872AC" w:rsidRPr="00E10B6E">
        <w:t xml:space="preserve"> in the case of polyethylene</w:t>
      </w:r>
      <w:r w:rsidR="00AC0BD7" w:rsidRPr="00E10B6E">
        <w:t xml:space="preserve"> were then renamed to be coherent with </w:t>
      </w:r>
      <w:r w:rsidR="003872AC" w:rsidRPr="00E10B6E">
        <w:t>the framework of this thesis. N</w:t>
      </w:r>
      <w:r w:rsidR="00AC0BD7" w:rsidRPr="00E10B6E">
        <w:t xml:space="preserve">amely </w:t>
      </w:r>
      <w:r w:rsidR="003872AC" w:rsidRPr="00E10B6E">
        <w:t>“</w:t>
      </w:r>
      <w:r w:rsidR="00AC0BD7" w:rsidRPr="00E10B6E">
        <w:t>PE-LD/PE-LLD</w:t>
      </w:r>
      <w:r w:rsidR="003872AC" w:rsidRPr="00E10B6E">
        <w:t>” was renamed as “LDPE/LLDPE</w:t>
      </w:r>
      <w:r w:rsidR="007732C7" w:rsidRPr="00E10B6E">
        <w:t xml:space="preserve">” and PE-HD/PE-MD was renamed as “HDPE”. </w:t>
      </w:r>
      <w:r w:rsidR="008266D8" w:rsidRPr="00E10B6E">
        <w:t xml:space="preserve">The following step was to </w:t>
      </w:r>
      <w:r w:rsidR="006325A9" w:rsidRPr="00E10B6E">
        <w:t>convert the</w:t>
      </w:r>
      <w:r w:rsidR="00A73401" w:rsidRPr="00E10B6E">
        <w:t xml:space="preserve"> measured</w:t>
      </w:r>
      <w:r w:rsidR="006325A9" w:rsidRPr="00E10B6E">
        <w:t xml:space="preserve"> </w:t>
      </w:r>
      <w:r w:rsidR="008266D8" w:rsidRPr="00E10B6E">
        <w:t>amounts</w:t>
      </w:r>
      <w:r w:rsidR="006325A9" w:rsidRPr="00E10B6E">
        <w:t xml:space="preserve"> from pixels to </w:t>
      </w:r>
      <w:r w:rsidR="008266D8" w:rsidRPr="00E10B6E">
        <w:t xml:space="preserve">percentage values. Knowing that the </w:t>
      </w:r>
      <w:r w:rsidR="00010E3F" w:rsidRPr="00E10B6E">
        <w:t xml:space="preserve">total </w:t>
      </w:r>
      <w:r w:rsidR="00FC748D" w:rsidRPr="00E10B6E">
        <w:t xml:space="preserve">polymer </w:t>
      </w:r>
      <w:r w:rsidR="00CB3EA0" w:rsidRPr="00E10B6E">
        <w:t xml:space="preserve">demand share in 2018 was 17.5% for LDPE, </w:t>
      </w:r>
      <w:r w:rsidR="00FC748D" w:rsidRPr="00E10B6E">
        <w:t xml:space="preserve">12.2% for HDPE, and 19.3% for PP </w:t>
      </w:r>
      <w:r w:rsidR="00FC748D" w:rsidRPr="00E10B6E">
        <w:fldChar w:fldCharType="begin" w:fldLock="1"/>
      </w:r>
      <w:r w:rsidR="000258CF"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FC748D" w:rsidRPr="00E10B6E">
        <w:fldChar w:fldCharType="separate"/>
      </w:r>
      <w:r w:rsidR="00FC748D" w:rsidRPr="00E10B6E">
        <w:rPr>
          <w:noProof/>
        </w:rPr>
        <w:t>(PlasticsEurope, 2019)</w:t>
      </w:r>
      <w:r w:rsidR="00FC748D" w:rsidRPr="00E10B6E">
        <w:fldChar w:fldCharType="end"/>
      </w:r>
      <w:r w:rsidR="00FC748D" w:rsidRPr="00E10B6E">
        <w:t xml:space="preserve">, it was possible to </w:t>
      </w:r>
      <w:r w:rsidR="004D498E" w:rsidRPr="00E10B6E">
        <w:t xml:space="preserve">calculate the ratio between the total amount of pixels and the </w:t>
      </w:r>
      <w:r w:rsidR="007B3FA0" w:rsidRPr="00E10B6E">
        <w:t>polymer share</w:t>
      </w:r>
      <w:r w:rsidR="00C844F8" w:rsidRPr="00E10B6E">
        <w:t xml:space="preserve"> and </w:t>
      </w:r>
      <w:r w:rsidR="00435168" w:rsidRPr="00E10B6E">
        <w:t xml:space="preserve">use the following formula to </w:t>
      </w:r>
      <w:r w:rsidR="00C844F8" w:rsidRPr="00E10B6E">
        <w:t>calculate the percentage values.</w:t>
      </w:r>
    </w:p>
    <w:p w14:paraId="22C13251" w14:textId="7B84C307" w:rsidR="00435168" w:rsidRPr="00E10B6E" w:rsidRDefault="00722F9A" w:rsidP="00795AB7">
      <w:pPr>
        <w:ind w:left="720" w:firstLine="7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Share</m:t>
              </m:r>
            </m:e>
            <m:sub>
              <m:r>
                <w:rPr>
                  <w:rFonts w:ascii="Cambria Math" w:hAnsi="Cambria Math"/>
                </w:rPr>
                <m:t>i,j</m:t>
              </m:r>
            </m:sub>
          </m:sSub>
          <m:r>
            <w:rPr>
              <w:rFonts w:ascii="Cambria Math" w:hAnsi="Cambria Math"/>
            </w:rPr>
            <m:t>=</m:t>
          </m:r>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Pixels</m:t>
                  </m:r>
                </m:e>
                <m:sub>
                  <m:r>
                    <w:rPr>
                      <w:rFonts w:ascii="Cambria Math" w:eastAsiaTheme="minorEastAsia" w:hAnsi="Cambria Math"/>
                    </w:rPr>
                    <m:t>i,j</m:t>
                  </m:r>
                </m:sub>
              </m:sSub>
            </m:num>
            <m:den>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Pixels</m:t>
                      </m:r>
                    </m:e>
                    <m:sub>
                      <m:r>
                        <w:rPr>
                          <w:rFonts w:ascii="Cambria Math" w:eastAsiaTheme="minorEastAsia" w:hAnsi="Cambria Math"/>
                        </w:rPr>
                        <m:t>i,tot</m:t>
                      </m:r>
                    </m:sub>
                  </m:sSub>
                </m:num>
                <m:den>
                  <m:sSub>
                    <m:sSubPr>
                      <m:ctrlPr>
                        <w:rPr>
                          <w:rFonts w:ascii="Cambria Math" w:eastAsiaTheme="minorEastAsia" w:hAnsi="Cambria Math"/>
                          <w:i/>
                        </w:rPr>
                      </m:ctrlPr>
                    </m:sSubPr>
                    <m:e>
                      <m:r>
                        <w:rPr>
                          <w:rFonts w:ascii="Cambria Math" w:eastAsiaTheme="minorEastAsia" w:hAnsi="Cambria Math"/>
                        </w:rPr>
                        <m:t>Share</m:t>
                      </m:r>
                    </m:e>
                    <m:sub>
                      <m:r>
                        <w:rPr>
                          <w:rFonts w:ascii="Cambria Math" w:eastAsiaTheme="minorEastAsia" w:hAnsi="Cambria Math"/>
                        </w:rPr>
                        <m:t>i,tot</m:t>
                      </m:r>
                    </m:sub>
                  </m:sSub>
                </m:den>
              </m:f>
            </m:den>
          </m:f>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m:t>
              </m:r>
            </m:e>
          </m:d>
        </m:oMath>
      </m:oMathPara>
    </w:p>
    <w:p w14:paraId="01659519" w14:textId="02631080" w:rsidR="00A764B1" w:rsidRPr="00E10B6E" w:rsidRDefault="00A764B1" w:rsidP="00F47708">
      <w:pPr>
        <w:jc w:val="both"/>
      </w:pPr>
      <w:r w:rsidRPr="00E10B6E">
        <w:rPr>
          <w:rFonts w:eastAsiaTheme="minorEastAsia"/>
        </w:rPr>
        <w:t xml:space="preserve">Where </w:t>
      </w:r>
      <w:r w:rsidR="000A08B1" w:rsidRPr="00E10B6E">
        <w:rPr>
          <w:rFonts w:eastAsiaTheme="minorEastAsia"/>
        </w:rPr>
        <w:t>“i” is the product (e.g. HDPE) and “j” is the consumer sector (e.g. automotive).</w:t>
      </w:r>
    </w:p>
    <w:p w14:paraId="1266D029" w14:textId="19B40956" w:rsidR="000121DD" w:rsidRPr="00E10B6E" w:rsidRDefault="001F084B" w:rsidP="00F47708">
      <w:pPr>
        <w:jc w:val="both"/>
      </w:pPr>
      <w:r w:rsidRPr="00E10B6E">
        <w:t>For l</w:t>
      </w:r>
      <w:r w:rsidR="00FF576E" w:rsidRPr="00E10B6E">
        <w:t>a</w:t>
      </w:r>
      <w:r w:rsidRPr="00E10B6E">
        <w:t xml:space="preserve">ck of better </w:t>
      </w:r>
      <w:r w:rsidR="00B377FA" w:rsidRPr="00E10B6E">
        <w:t>information</w:t>
      </w:r>
      <w:r w:rsidRPr="00E10B6E">
        <w:t xml:space="preserve">, it was assumed that the Dutch society and economy </w:t>
      </w:r>
      <w:r w:rsidR="00FC0826" w:rsidRPr="00E10B6E">
        <w:t>are</w:t>
      </w:r>
      <w:r w:rsidRPr="00E10B6E">
        <w:t xml:space="preserve"> </w:t>
      </w:r>
      <w:r w:rsidR="00FC0826" w:rsidRPr="00E10B6E">
        <w:t xml:space="preserve">very similar to the </w:t>
      </w:r>
      <w:r w:rsidR="0024304D" w:rsidRPr="00E10B6E">
        <w:t>European average</w:t>
      </w:r>
      <w:r w:rsidR="00DA070D" w:rsidRPr="00E10B6E">
        <w:t xml:space="preserve">, and it </w:t>
      </w:r>
      <w:r w:rsidR="0024304D" w:rsidRPr="00E10B6E">
        <w:t>was</w:t>
      </w:r>
      <w:r w:rsidR="00DA070D" w:rsidRPr="00E10B6E">
        <w:t xml:space="preserve"> known that </w:t>
      </w:r>
      <w:r w:rsidR="00207305" w:rsidRPr="00E10B6E">
        <w:t xml:space="preserve">the yearly demand for plastics in the </w:t>
      </w:r>
      <w:r w:rsidR="007C43AE" w:rsidRPr="00E10B6E">
        <w:t xml:space="preserve">Netherlands </w:t>
      </w:r>
      <w:r w:rsidR="00DA070D" w:rsidRPr="00E10B6E">
        <w:t xml:space="preserve">is equal to 2,200 kt </w:t>
      </w:r>
      <w:r w:rsidR="00DA070D" w:rsidRPr="00E10B6E">
        <w:fldChar w:fldCharType="begin" w:fldLock="1"/>
      </w:r>
      <w:r w:rsidR="007C1D98"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DA070D" w:rsidRPr="00E10B6E">
        <w:fldChar w:fldCharType="separate"/>
      </w:r>
      <w:r w:rsidR="00DA070D" w:rsidRPr="00E10B6E">
        <w:rPr>
          <w:noProof/>
        </w:rPr>
        <w:t>(PlasticsEurope, 2019)</w:t>
      </w:r>
      <w:r w:rsidR="00DA070D" w:rsidRPr="00E10B6E">
        <w:fldChar w:fldCharType="end"/>
      </w:r>
      <w:r w:rsidR="00DA070D" w:rsidRPr="00E10B6E">
        <w:t xml:space="preserve">. </w:t>
      </w:r>
      <w:r w:rsidR="0024304D" w:rsidRPr="00E10B6E">
        <w:t xml:space="preserve">As a final step, the following formula was applied, </w:t>
      </w:r>
      <w:r w:rsidR="000121DD" w:rsidRPr="00E10B6E">
        <w:t xml:space="preserve">making </w:t>
      </w:r>
      <w:r w:rsidR="00F52340" w:rsidRPr="00E10B6E">
        <w:t xml:space="preserve">it </w:t>
      </w:r>
      <w:r w:rsidR="000121DD" w:rsidRPr="00E10B6E">
        <w:t xml:space="preserve">possible to create </w:t>
      </w:r>
      <w:r w:rsidR="003573D5" w:rsidRPr="00E10B6E">
        <w:t>a treemap graph for each of the consumer sector.</w:t>
      </w:r>
      <w:r w:rsidR="00EC57AE" w:rsidRPr="00E10B6E">
        <w:t xml:space="preserve"> </w:t>
      </w:r>
    </w:p>
    <w:p w14:paraId="45B7886B" w14:textId="63F69278" w:rsidR="000121DD" w:rsidRPr="00E10B6E" w:rsidRDefault="00722F9A" w:rsidP="005C715A">
      <w:pPr>
        <w:ind w:left="720" w:firstLine="7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Demand</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Share</m:t>
              </m:r>
            </m:e>
            <m:sub>
              <m:r>
                <w:rPr>
                  <w:rFonts w:ascii="Cambria Math" w:hAnsi="Cambria Math"/>
                </w:rPr>
                <m:t>i,j</m:t>
              </m:r>
            </m:sub>
          </m:sSub>
          <m:r>
            <w:rPr>
              <w:rFonts w:ascii="Cambria Math" w:hAnsi="Cambria Math"/>
            </w:rPr>
            <m:t xml:space="preserve">∙Yearly Dutch Demand          </m:t>
          </m:r>
          <m:d>
            <m:dPr>
              <m:begChr m:val="["/>
              <m:endChr m:val="]"/>
              <m:ctrlPr>
                <w:rPr>
                  <w:rFonts w:ascii="Cambria Math" w:hAnsi="Cambria Math"/>
                  <w:i/>
                </w:rPr>
              </m:ctrlPr>
            </m:dPr>
            <m:e>
              <m:r>
                <w:rPr>
                  <w:rFonts w:ascii="Cambria Math" w:hAnsi="Cambria Math"/>
                </w:rPr>
                <m:t>kt</m:t>
              </m:r>
            </m:e>
          </m:d>
          <m:r>
            <w:rPr>
              <w:rFonts w:ascii="Cambria Math" w:hAnsi="Cambria Math"/>
            </w:rPr>
            <m:t xml:space="preserve"> </m:t>
          </m:r>
        </m:oMath>
      </m:oMathPara>
    </w:p>
    <w:p w14:paraId="055DE1AF" w14:textId="0E642E84" w:rsidR="00F47D8D" w:rsidRPr="00E10B6E" w:rsidRDefault="00F47D8D" w:rsidP="00F47D8D">
      <w:pPr>
        <w:jc w:val="both"/>
      </w:pPr>
      <w:r w:rsidRPr="00E10B6E">
        <w:rPr>
          <w:rFonts w:eastAsiaTheme="minorEastAsia"/>
        </w:rPr>
        <w:t>Where “i” is the product (e.g. LLDPE) and “j” is the consumer sector (e.g. construction).</w:t>
      </w:r>
    </w:p>
    <w:p w14:paraId="0DE26D1E" w14:textId="6697AB8C" w:rsidR="0085025B" w:rsidRPr="00E10B6E" w:rsidRDefault="0085025B" w:rsidP="0085025B">
      <w:pPr>
        <w:pStyle w:val="Heading2"/>
      </w:pPr>
      <w:bookmarkStart w:id="19" w:name="_Toc54274786"/>
      <w:r w:rsidRPr="00E10B6E">
        <w:t xml:space="preserve">3.2 </w:t>
      </w:r>
      <w:r w:rsidR="001A2880" w:rsidRPr="00E10B6E">
        <w:t xml:space="preserve">Investigation of </w:t>
      </w:r>
      <w:r w:rsidRPr="00E10B6E">
        <w:t>Polyolefin producers in the Netherlands</w:t>
      </w:r>
      <w:bookmarkEnd w:id="19"/>
    </w:p>
    <w:p w14:paraId="4280CFF2" w14:textId="10618BE3" w:rsidR="0085025B" w:rsidRPr="00E10B6E" w:rsidRDefault="0085025B" w:rsidP="0085025B">
      <w:pPr>
        <w:jc w:val="both"/>
      </w:pPr>
      <w:r w:rsidRPr="00E10B6E">
        <w:t>The second part of the research was dedicated to answer</w:t>
      </w:r>
      <w:r w:rsidR="00F52340" w:rsidRPr="00E10B6E">
        <w:t>ing</w:t>
      </w:r>
      <w:r w:rsidRPr="00E10B6E">
        <w:t xml:space="preserve"> the question: “</w:t>
      </w:r>
      <w:r w:rsidRPr="00E10B6E">
        <w:rPr>
          <w:i/>
          <w:iCs/>
        </w:rPr>
        <w:t>Who are the main producers of polyolefins in the Netherlands, and what are their production volumes, energy use, and carbon emissions?</w:t>
      </w:r>
      <w:r w:rsidRPr="00E10B6E">
        <w:t>”. The list of producers falling inside the research boundaries of the MIDDEN project was provided by TNO and PBL and consisted in Dow</w:t>
      </w:r>
      <w:r w:rsidR="007627E5" w:rsidRPr="00E10B6E">
        <w:t xml:space="preserve"> Chemical Company</w:t>
      </w:r>
      <w:r w:rsidRPr="00E10B6E">
        <w:t>, SABIC</w:t>
      </w:r>
      <w:r w:rsidR="007627E5" w:rsidRPr="00E10B6E">
        <w:t xml:space="preserve"> Limburg</w:t>
      </w:r>
      <w:r w:rsidRPr="00E10B6E">
        <w:t>, and Ducor Petrochemicals. Information regarding these three companies was then found on their websites, leading to the localisation of the active polyolefin production plants in The Netherlands.</w:t>
      </w:r>
    </w:p>
    <w:p w14:paraId="62B64BA8" w14:textId="78EE2094" w:rsidR="0085025B" w:rsidRPr="00E10B6E" w:rsidRDefault="0085025B" w:rsidP="000977E2">
      <w:pPr>
        <w:jc w:val="both"/>
      </w:pPr>
      <w:r w:rsidRPr="00E10B6E">
        <w:lastRenderedPageBreak/>
        <w:t>As Dow and SABIC are part of the European Emissions Trading Scheme (EU ETS), their carbon emissions are reported to the Dutch Emission Authority (Nederlandse Emissieautoriteit, or NEa). For these two producers, it was thus possible to retrieve the emissions of CO</w:t>
      </w:r>
      <w:r w:rsidRPr="00E10B6E">
        <w:rPr>
          <w:vertAlign w:val="subscript"/>
        </w:rPr>
        <w:t>2</w:t>
      </w:r>
      <w:r w:rsidRPr="00E10B6E">
        <w:t xml:space="preserve"> for 2019. As a replacement for the NEa registry, the carbon emissions for Ducor were obtained from the emission registry managed by the National Institute for Public Health and the Environment (RIVM). </w:t>
      </w:r>
      <w:r w:rsidR="00A104DD" w:rsidRPr="00E10B6E">
        <w:t xml:space="preserve">It is important to remember, however, that the emissions declared </w:t>
      </w:r>
      <w:r w:rsidR="00AB4E4E" w:rsidRPr="00E10B6E">
        <w:t xml:space="preserve">to NEa and RIVM </w:t>
      </w:r>
      <w:r w:rsidR="00A104DD" w:rsidRPr="00E10B6E">
        <w:t xml:space="preserve">are the total sum of </w:t>
      </w:r>
      <w:r w:rsidR="00C81E69" w:rsidRPr="00E10B6E">
        <w:t xml:space="preserve">greenhouse gases directly emitted by </w:t>
      </w:r>
      <w:r w:rsidR="00694C41" w:rsidRPr="00E10B6E">
        <w:t xml:space="preserve">all </w:t>
      </w:r>
      <w:r w:rsidR="00C81E69" w:rsidRPr="00E10B6E">
        <w:t xml:space="preserve">the </w:t>
      </w:r>
      <w:r w:rsidR="00694C41" w:rsidRPr="00E10B6E">
        <w:t xml:space="preserve">processes of the </w:t>
      </w:r>
      <w:r w:rsidR="00C81E69" w:rsidRPr="00E10B6E">
        <w:t>production site</w:t>
      </w:r>
      <w:r w:rsidR="00DA6751" w:rsidRPr="00E10B6E">
        <w:t>, m</w:t>
      </w:r>
      <w:r w:rsidR="00AB4E4E" w:rsidRPr="00E10B6E">
        <w:t>aking it difficult to isolate the share relative to the polymerisation</w:t>
      </w:r>
      <w:r w:rsidR="000977E2" w:rsidRPr="00E10B6E">
        <w:t xml:space="preserve"> only. </w:t>
      </w:r>
    </w:p>
    <w:p w14:paraId="06815695" w14:textId="2207425F" w:rsidR="0085025B" w:rsidRPr="00E10B6E" w:rsidRDefault="0085025B" w:rsidP="0085025B">
      <w:pPr>
        <w:jc w:val="both"/>
      </w:pPr>
      <w:r w:rsidRPr="00E10B6E">
        <w:t xml:space="preserve">Finally, to obtain the production volumes and the energy consumption it was necessary to get in direct contact with the manufacturers. The communication consisted </w:t>
      </w:r>
      <w:r w:rsidR="00F52340" w:rsidRPr="00E10B6E">
        <w:t>of</w:t>
      </w:r>
      <w:r w:rsidRPr="00E10B6E">
        <w:t xml:space="preserve"> multiple phone calls, emails, online meetings, and was concluded with a survey filled in by the companies’ representatives</w:t>
      </w:r>
      <w:r w:rsidR="00F52340" w:rsidRPr="00E10B6E">
        <w:t xml:space="preserve"> and covered by confidentiality</w:t>
      </w:r>
      <w:r w:rsidRPr="00E10B6E">
        <w:t xml:space="preserve">. </w:t>
      </w:r>
      <w:r w:rsidR="00384E8E" w:rsidRPr="00E10B6E">
        <w:t>Besides</w:t>
      </w:r>
      <w:r w:rsidRPr="00E10B6E">
        <w:t xml:space="preserve"> providing valuable data, the manufacturers also verified or corrected the information previously collected on websites and public reports.</w:t>
      </w:r>
    </w:p>
    <w:p w14:paraId="2AE350D8" w14:textId="38C7F6CE" w:rsidR="0085025B" w:rsidRPr="00E10B6E" w:rsidRDefault="0085025B" w:rsidP="0085025B">
      <w:pPr>
        <w:jc w:val="both"/>
      </w:pPr>
      <w:r w:rsidRPr="00E10B6E">
        <w:t>All the collected knowledge about the polyolefin producers has become part of the official MIDDEN dataset managed by PBL, which explicitly lists the following indicators:</w:t>
      </w:r>
    </w:p>
    <w:p w14:paraId="6DA14994" w14:textId="77777777" w:rsidR="0085025B" w:rsidRPr="00E10B6E" w:rsidRDefault="0085025B" w:rsidP="0085025B">
      <w:pPr>
        <w:pStyle w:val="ListParagraph"/>
        <w:numPr>
          <w:ilvl w:val="0"/>
          <w:numId w:val="11"/>
        </w:numPr>
        <w:jc w:val="both"/>
      </w:pPr>
      <w:r w:rsidRPr="00E10B6E">
        <w:t>Plant.</w:t>
      </w:r>
    </w:p>
    <w:p w14:paraId="5F90AE2C" w14:textId="77777777" w:rsidR="0085025B" w:rsidRPr="00E10B6E" w:rsidRDefault="0085025B" w:rsidP="0085025B">
      <w:pPr>
        <w:pStyle w:val="ListParagraph"/>
        <w:numPr>
          <w:ilvl w:val="0"/>
          <w:numId w:val="11"/>
        </w:numPr>
        <w:jc w:val="both"/>
      </w:pPr>
      <w:r w:rsidRPr="00E10B6E">
        <w:t>Year.</w:t>
      </w:r>
    </w:p>
    <w:p w14:paraId="4C76AE1E" w14:textId="77777777" w:rsidR="0085025B" w:rsidRPr="00E10B6E" w:rsidRDefault="0085025B" w:rsidP="0085025B">
      <w:pPr>
        <w:pStyle w:val="ListParagraph"/>
        <w:numPr>
          <w:ilvl w:val="0"/>
          <w:numId w:val="11"/>
        </w:numPr>
        <w:jc w:val="both"/>
      </w:pPr>
      <w:r w:rsidRPr="00E10B6E">
        <w:t>Corporate group.</w:t>
      </w:r>
    </w:p>
    <w:p w14:paraId="00029077" w14:textId="77777777" w:rsidR="0085025B" w:rsidRPr="00E10B6E" w:rsidRDefault="0085025B" w:rsidP="0085025B">
      <w:pPr>
        <w:pStyle w:val="ListParagraph"/>
        <w:numPr>
          <w:ilvl w:val="0"/>
          <w:numId w:val="11"/>
        </w:numPr>
        <w:jc w:val="both"/>
      </w:pPr>
      <w:r w:rsidRPr="00E10B6E">
        <w:t>Number of employees.</w:t>
      </w:r>
    </w:p>
    <w:p w14:paraId="7D6CD75B" w14:textId="77777777" w:rsidR="0085025B" w:rsidRPr="00E10B6E" w:rsidRDefault="0085025B" w:rsidP="0085025B">
      <w:pPr>
        <w:pStyle w:val="ListParagraph"/>
        <w:numPr>
          <w:ilvl w:val="0"/>
          <w:numId w:val="11"/>
        </w:numPr>
        <w:jc w:val="both"/>
      </w:pPr>
      <w:r w:rsidRPr="00E10B6E">
        <w:t>Street address.</w:t>
      </w:r>
    </w:p>
    <w:p w14:paraId="538EABC1" w14:textId="77777777" w:rsidR="0085025B" w:rsidRPr="00E10B6E" w:rsidRDefault="0085025B" w:rsidP="0085025B">
      <w:pPr>
        <w:pStyle w:val="ListParagraph"/>
        <w:numPr>
          <w:ilvl w:val="0"/>
          <w:numId w:val="11"/>
        </w:numPr>
        <w:jc w:val="both"/>
      </w:pPr>
      <w:r w:rsidRPr="00E10B6E">
        <w:t>Postal code.</w:t>
      </w:r>
    </w:p>
    <w:p w14:paraId="235FEFE5" w14:textId="77777777" w:rsidR="0085025B" w:rsidRPr="00E10B6E" w:rsidRDefault="0085025B" w:rsidP="0085025B">
      <w:pPr>
        <w:pStyle w:val="ListParagraph"/>
        <w:numPr>
          <w:ilvl w:val="0"/>
          <w:numId w:val="11"/>
        </w:numPr>
        <w:jc w:val="both"/>
      </w:pPr>
      <w:r w:rsidRPr="00E10B6E">
        <w:t>Town/location.</w:t>
      </w:r>
    </w:p>
    <w:p w14:paraId="3282E36F" w14:textId="77777777" w:rsidR="0085025B" w:rsidRPr="00E10B6E" w:rsidRDefault="0085025B" w:rsidP="0085025B">
      <w:pPr>
        <w:pStyle w:val="ListParagraph"/>
        <w:numPr>
          <w:ilvl w:val="0"/>
          <w:numId w:val="11"/>
        </w:numPr>
        <w:jc w:val="both"/>
      </w:pPr>
      <w:r w:rsidRPr="00E10B6E">
        <w:t>Website.</w:t>
      </w:r>
    </w:p>
    <w:p w14:paraId="625BD87D" w14:textId="77777777" w:rsidR="0085025B" w:rsidRPr="00E10B6E" w:rsidRDefault="0085025B" w:rsidP="0085025B">
      <w:pPr>
        <w:pStyle w:val="ListParagraph"/>
        <w:numPr>
          <w:ilvl w:val="0"/>
          <w:numId w:val="11"/>
        </w:numPr>
        <w:jc w:val="both"/>
      </w:pPr>
      <w:r w:rsidRPr="00E10B6E">
        <w:t>Permit number (NEa).</w:t>
      </w:r>
    </w:p>
    <w:p w14:paraId="788D11F7" w14:textId="77777777" w:rsidR="0085025B" w:rsidRPr="00E10B6E" w:rsidRDefault="0085025B" w:rsidP="0085025B">
      <w:pPr>
        <w:pStyle w:val="ListParagraph"/>
        <w:numPr>
          <w:ilvl w:val="0"/>
          <w:numId w:val="11"/>
        </w:numPr>
        <w:jc w:val="both"/>
      </w:pPr>
      <w:r w:rsidRPr="00E10B6E">
        <w:t>Name of production site (NEa).</w:t>
      </w:r>
    </w:p>
    <w:p w14:paraId="56F739C6" w14:textId="77777777" w:rsidR="0085025B" w:rsidRPr="00E10B6E" w:rsidRDefault="0085025B" w:rsidP="0085025B">
      <w:pPr>
        <w:pStyle w:val="ListParagraph"/>
        <w:numPr>
          <w:ilvl w:val="0"/>
          <w:numId w:val="11"/>
        </w:numPr>
        <w:jc w:val="both"/>
      </w:pPr>
      <w:r w:rsidRPr="00E10B6E">
        <w:t>Infrastructure electricity [GWh/year].</w:t>
      </w:r>
    </w:p>
    <w:p w14:paraId="6570434F" w14:textId="77777777" w:rsidR="0085025B" w:rsidRPr="00E10B6E" w:rsidRDefault="0085025B" w:rsidP="0085025B">
      <w:pPr>
        <w:pStyle w:val="ListParagraph"/>
        <w:numPr>
          <w:ilvl w:val="0"/>
          <w:numId w:val="11"/>
        </w:numPr>
        <w:jc w:val="both"/>
      </w:pPr>
      <w:r w:rsidRPr="00E10B6E">
        <w:t>Infrastructure heat [TJ/year].</w:t>
      </w:r>
    </w:p>
    <w:p w14:paraId="1ED31A7F" w14:textId="0CC8CD6C" w:rsidR="0085025B" w:rsidRPr="00E10B6E" w:rsidRDefault="0085025B" w:rsidP="0085025B">
      <w:pPr>
        <w:pStyle w:val="ListParagraph"/>
        <w:numPr>
          <w:ilvl w:val="0"/>
          <w:numId w:val="11"/>
        </w:numPr>
        <w:jc w:val="both"/>
      </w:pPr>
      <w:r w:rsidRPr="00E10B6E">
        <w:t>Infrastructure feedstock [</w:t>
      </w:r>
      <w:r w:rsidR="000B7C74" w:rsidRPr="00E10B6E">
        <w:t>kt</w:t>
      </w:r>
      <w:r w:rsidRPr="00E10B6E">
        <w:t>/year].</w:t>
      </w:r>
    </w:p>
    <w:p w14:paraId="23AC4A16" w14:textId="77777777" w:rsidR="0085025B" w:rsidRPr="00E10B6E" w:rsidRDefault="0085025B" w:rsidP="0085025B">
      <w:pPr>
        <w:jc w:val="both"/>
      </w:pPr>
      <w:r w:rsidRPr="00E10B6E">
        <w:t xml:space="preserve">An additional sheet of the MIDDEN dataset is reserved for the plant configuration data. One column was created for each different production line (e.g. LLDPE by Dow, HDPE by SABIC, PP by SABIC, etc), explicitly listing the following indicators: </w:t>
      </w:r>
    </w:p>
    <w:p w14:paraId="23A30091" w14:textId="77777777" w:rsidR="0085025B" w:rsidRPr="00E10B6E" w:rsidRDefault="0085025B" w:rsidP="0085025B">
      <w:pPr>
        <w:pStyle w:val="ListParagraph"/>
        <w:numPr>
          <w:ilvl w:val="0"/>
          <w:numId w:val="13"/>
        </w:numPr>
        <w:jc w:val="both"/>
      </w:pPr>
      <w:r w:rsidRPr="00E10B6E">
        <w:t>Plant.</w:t>
      </w:r>
    </w:p>
    <w:p w14:paraId="3F597499" w14:textId="77777777" w:rsidR="0085025B" w:rsidRPr="00E10B6E" w:rsidRDefault="0085025B" w:rsidP="0085025B">
      <w:pPr>
        <w:pStyle w:val="ListParagraph"/>
        <w:numPr>
          <w:ilvl w:val="0"/>
          <w:numId w:val="13"/>
        </w:numPr>
        <w:jc w:val="both"/>
      </w:pPr>
      <w:r w:rsidRPr="00E10B6E">
        <w:t>Configuration.</w:t>
      </w:r>
    </w:p>
    <w:p w14:paraId="65DAD4B7" w14:textId="77777777" w:rsidR="0085025B" w:rsidRPr="00E10B6E" w:rsidRDefault="0085025B" w:rsidP="0085025B">
      <w:pPr>
        <w:pStyle w:val="ListParagraph"/>
        <w:numPr>
          <w:ilvl w:val="0"/>
          <w:numId w:val="13"/>
        </w:numPr>
        <w:jc w:val="both"/>
      </w:pPr>
      <w:r w:rsidRPr="00E10B6E">
        <w:t>Year.</w:t>
      </w:r>
    </w:p>
    <w:p w14:paraId="171F6718" w14:textId="77777777" w:rsidR="0085025B" w:rsidRPr="00E10B6E" w:rsidRDefault="0085025B" w:rsidP="0085025B">
      <w:pPr>
        <w:pStyle w:val="ListParagraph"/>
        <w:numPr>
          <w:ilvl w:val="0"/>
          <w:numId w:val="13"/>
        </w:numPr>
        <w:jc w:val="both"/>
      </w:pPr>
      <w:r w:rsidRPr="00E10B6E">
        <w:t>Section.</w:t>
      </w:r>
    </w:p>
    <w:p w14:paraId="2AC2CBCD" w14:textId="77777777" w:rsidR="0085025B" w:rsidRPr="00E10B6E" w:rsidRDefault="0085025B" w:rsidP="0085025B">
      <w:pPr>
        <w:pStyle w:val="ListParagraph"/>
        <w:numPr>
          <w:ilvl w:val="0"/>
          <w:numId w:val="13"/>
        </w:numPr>
        <w:jc w:val="both"/>
      </w:pPr>
      <w:r w:rsidRPr="00E10B6E">
        <w:t>Technology.</w:t>
      </w:r>
    </w:p>
    <w:p w14:paraId="0E114746" w14:textId="79E96A26" w:rsidR="0085025B" w:rsidRPr="00E10B6E" w:rsidRDefault="0085025B" w:rsidP="0085025B">
      <w:pPr>
        <w:pStyle w:val="ListParagraph"/>
        <w:numPr>
          <w:ilvl w:val="0"/>
          <w:numId w:val="13"/>
        </w:numPr>
        <w:jc w:val="both"/>
      </w:pPr>
      <w:r w:rsidRPr="00E10B6E">
        <w:t>Capacity [</w:t>
      </w:r>
      <w:r w:rsidR="000B7C74" w:rsidRPr="00E10B6E">
        <w:t>kt</w:t>
      </w:r>
      <w:r w:rsidRPr="00E10B6E">
        <w:t>/year].</w:t>
      </w:r>
    </w:p>
    <w:p w14:paraId="47E80D10" w14:textId="77777777" w:rsidR="0085025B" w:rsidRPr="00E10B6E" w:rsidRDefault="0085025B" w:rsidP="0085025B">
      <w:pPr>
        <w:pStyle w:val="ListParagraph"/>
        <w:numPr>
          <w:ilvl w:val="0"/>
          <w:numId w:val="13"/>
        </w:numPr>
        <w:jc w:val="both"/>
      </w:pPr>
      <w:r w:rsidRPr="00E10B6E">
        <w:t>Capacity utilisation [%].</w:t>
      </w:r>
    </w:p>
    <w:p w14:paraId="2C4A0757" w14:textId="77777777" w:rsidR="0085025B" w:rsidRPr="00E10B6E" w:rsidRDefault="0085025B" w:rsidP="0085025B">
      <w:pPr>
        <w:pStyle w:val="ListParagraph"/>
        <w:numPr>
          <w:ilvl w:val="0"/>
          <w:numId w:val="13"/>
        </w:numPr>
        <w:jc w:val="both"/>
      </w:pPr>
      <w:r w:rsidRPr="00E10B6E">
        <w:t>Year of next investment decision.</w:t>
      </w:r>
    </w:p>
    <w:p w14:paraId="2F0856FE" w14:textId="77777777" w:rsidR="0085025B" w:rsidRPr="00E10B6E" w:rsidRDefault="0085025B" w:rsidP="0085025B">
      <w:pPr>
        <w:pStyle w:val="ListParagraph"/>
        <w:numPr>
          <w:ilvl w:val="0"/>
          <w:numId w:val="13"/>
        </w:numPr>
        <w:jc w:val="both"/>
      </w:pPr>
      <w:r w:rsidRPr="00E10B6E">
        <w:t>Infrastructure electricity [GWh/year].</w:t>
      </w:r>
    </w:p>
    <w:p w14:paraId="6DFE2590" w14:textId="77777777" w:rsidR="0085025B" w:rsidRPr="00E10B6E" w:rsidRDefault="0085025B" w:rsidP="0085025B">
      <w:pPr>
        <w:pStyle w:val="ListParagraph"/>
        <w:numPr>
          <w:ilvl w:val="0"/>
          <w:numId w:val="13"/>
        </w:numPr>
        <w:jc w:val="both"/>
      </w:pPr>
      <w:r w:rsidRPr="00E10B6E">
        <w:t>Infrastructure heat [TJ/year].</w:t>
      </w:r>
    </w:p>
    <w:p w14:paraId="49F3F69B" w14:textId="77777777" w:rsidR="0085025B" w:rsidRPr="00E10B6E" w:rsidRDefault="0085025B" w:rsidP="0085025B">
      <w:pPr>
        <w:jc w:val="both"/>
      </w:pPr>
      <w:r w:rsidRPr="00E10B6E">
        <w:t xml:space="preserve">Although the MIDDEN dataset is transparent about the sources of the data, the final report published by PBL, as well as this thesis, had to hide some information due to confidentiality reasons. Therefore, the result section 4.2 will show the aggregate annual values of production volume of polyolefins, </w:t>
      </w:r>
      <w:r w:rsidRPr="00E10B6E">
        <w:lastRenderedPageBreak/>
        <w:t>electricity consumption, heat consumption, and carbon emissions in the Netherlands, without specifying the relative contribution of each polyolefins producer.</w:t>
      </w:r>
    </w:p>
    <w:p w14:paraId="5AAE2F20" w14:textId="7C924E7B" w:rsidR="00074028" w:rsidRPr="00E10B6E" w:rsidRDefault="007651BA" w:rsidP="00074028">
      <w:pPr>
        <w:pStyle w:val="Heading2"/>
      </w:pPr>
      <w:bookmarkStart w:id="20" w:name="_Toc54274787"/>
      <w:r w:rsidRPr="00E10B6E">
        <w:t>3.</w:t>
      </w:r>
      <w:r w:rsidR="00DD6F55" w:rsidRPr="00E10B6E">
        <w:t>3</w:t>
      </w:r>
      <w:r w:rsidRPr="00E10B6E">
        <w:t xml:space="preserve"> </w:t>
      </w:r>
      <w:r w:rsidR="00B200A5" w:rsidRPr="00E10B6E">
        <w:t xml:space="preserve">Techno-environmental analysis of </w:t>
      </w:r>
      <w:r w:rsidR="006E59A3" w:rsidRPr="00E10B6E">
        <w:t>P</w:t>
      </w:r>
      <w:r w:rsidR="005F3019" w:rsidRPr="00E10B6E">
        <w:t xml:space="preserve">olymerisation </w:t>
      </w:r>
      <w:r w:rsidR="006E59A3" w:rsidRPr="00E10B6E">
        <w:t>processes</w:t>
      </w:r>
      <w:bookmarkEnd w:id="20"/>
    </w:p>
    <w:p w14:paraId="45200C08" w14:textId="4597786F" w:rsidR="009E5240" w:rsidRPr="00E10B6E" w:rsidRDefault="00EE5F3E" w:rsidP="00653292">
      <w:pPr>
        <w:jc w:val="both"/>
      </w:pPr>
      <w:r w:rsidRPr="00E10B6E">
        <w:t xml:space="preserve">The </w:t>
      </w:r>
      <w:r w:rsidR="00941CA1" w:rsidRPr="00E10B6E">
        <w:t>third</w:t>
      </w:r>
      <w:r w:rsidRPr="00E10B6E">
        <w:t xml:space="preserve"> part of the research was dedicated to answer</w:t>
      </w:r>
      <w:r w:rsidR="00F52340" w:rsidRPr="00E10B6E">
        <w:t>ing</w:t>
      </w:r>
      <w:r w:rsidRPr="00E10B6E">
        <w:t xml:space="preserve"> the question: </w:t>
      </w:r>
      <w:r w:rsidR="006E59A3" w:rsidRPr="00E10B6E">
        <w:t>“</w:t>
      </w:r>
      <w:r w:rsidR="006E59A3" w:rsidRPr="00E10B6E">
        <w:rPr>
          <w:i/>
          <w:iCs/>
        </w:rPr>
        <w:t xml:space="preserve">What are the </w:t>
      </w:r>
      <w:r w:rsidRPr="00E10B6E">
        <w:rPr>
          <w:i/>
          <w:iCs/>
        </w:rPr>
        <w:t xml:space="preserve">main polymerisation </w:t>
      </w:r>
      <w:r w:rsidR="006E59A3" w:rsidRPr="00E10B6E">
        <w:rPr>
          <w:i/>
          <w:iCs/>
        </w:rPr>
        <w:t xml:space="preserve">processes, </w:t>
      </w:r>
      <w:r w:rsidR="009E5240" w:rsidRPr="00E10B6E">
        <w:rPr>
          <w:i/>
          <w:iCs/>
        </w:rPr>
        <w:t xml:space="preserve">and what are their associated costs, </w:t>
      </w:r>
      <w:r w:rsidR="006E59A3" w:rsidRPr="00E10B6E">
        <w:rPr>
          <w:i/>
          <w:iCs/>
        </w:rPr>
        <w:t xml:space="preserve">energy and material </w:t>
      </w:r>
      <w:r w:rsidR="009E5240" w:rsidRPr="00E10B6E">
        <w:rPr>
          <w:i/>
          <w:iCs/>
        </w:rPr>
        <w:t>use</w:t>
      </w:r>
      <w:r w:rsidR="006E59A3" w:rsidRPr="00E10B6E">
        <w:rPr>
          <w:i/>
          <w:iCs/>
        </w:rPr>
        <w:t xml:space="preserve">, and </w:t>
      </w:r>
      <w:r w:rsidR="009E5240" w:rsidRPr="00E10B6E">
        <w:rPr>
          <w:i/>
          <w:iCs/>
        </w:rPr>
        <w:t>CO</w:t>
      </w:r>
      <w:r w:rsidR="009E5240" w:rsidRPr="00E10B6E">
        <w:rPr>
          <w:i/>
          <w:iCs/>
          <w:vertAlign w:val="subscript"/>
        </w:rPr>
        <w:t>2</w:t>
      </w:r>
      <w:r w:rsidR="006E59A3" w:rsidRPr="00E10B6E">
        <w:rPr>
          <w:i/>
          <w:iCs/>
        </w:rPr>
        <w:t xml:space="preserve"> emissions?</w:t>
      </w:r>
      <w:r w:rsidR="006E59A3" w:rsidRPr="00E10B6E">
        <w:t>”</w:t>
      </w:r>
      <w:r w:rsidR="009E5240" w:rsidRPr="00E10B6E">
        <w:t>.</w:t>
      </w:r>
    </w:p>
    <w:p w14:paraId="339C2EAD" w14:textId="77777777" w:rsidR="002B1587" w:rsidRPr="00E10B6E" w:rsidRDefault="0085025B" w:rsidP="007C42C0">
      <w:pPr>
        <w:jc w:val="both"/>
      </w:pPr>
      <w:r w:rsidRPr="00E10B6E">
        <w:t xml:space="preserve">The main sources were the Best </w:t>
      </w:r>
      <w:r w:rsidR="006B4D7C" w:rsidRPr="00E10B6E">
        <w:t>Available</w:t>
      </w:r>
      <w:r w:rsidRPr="00E10B6E">
        <w:t xml:space="preserve"> Techniques </w:t>
      </w:r>
      <w:r w:rsidR="006B4D7C" w:rsidRPr="00E10B6E">
        <w:t xml:space="preserve">(BAT) Reference Documents (BREF) prepared by the </w:t>
      </w:r>
      <w:r w:rsidR="000C2A18" w:rsidRPr="00E10B6E">
        <w:t xml:space="preserve">European IPPC Bureau at the Institute for Prospective Technological Studies </w:t>
      </w:r>
      <w:r w:rsidR="000C2A18" w:rsidRPr="00E10B6E">
        <w:fldChar w:fldCharType="begin" w:fldLock="1"/>
      </w:r>
      <w:r w:rsidR="00D02E7E"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000C2A18" w:rsidRPr="00E10B6E">
        <w:fldChar w:fldCharType="separate"/>
      </w:r>
      <w:r w:rsidR="000C2A18" w:rsidRPr="00E10B6E">
        <w:rPr>
          <w:noProof/>
        </w:rPr>
        <w:t>(European Commission, 2007)</w:t>
      </w:r>
      <w:r w:rsidR="000C2A18" w:rsidRPr="00E10B6E">
        <w:fldChar w:fldCharType="end"/>
      </w:r>
      <w:r w:rsidR="000C2A18" w:rsidRPr="00E10B6E">
        <w:t>, the Eco-profiles reports</w:t>
      </w:r>
      <w:r w:rsidR="00D02E7E" w:rsidRPr="00E10B6E">
        <w:t xml:space="preserve"> on ethylene and propylene </w:t>
      </w:r>
      <w:r w:rsidR="00D02E7E" w:rsidRPr="00E10B6E">
        <w:fldChar w:fldCharType="begin" w:fldLock="1"/>
      </w:r>
      <w:r w:rsidR="00D62573"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id":"ITEM-2","itemData":{"author":[{"dropping-particle":"","family":"PlasticsEurope","given":"","non-dropping-particle":"","parse-names":false,"suffix":""}],"id":"ITEM-2","issued":{"date-parts":[["2012"]]},"number-of-pages":"51","publisher-place":"Brussels","title":"Ecoprofiles and Environmental Product Declarations of the European Plastics Manufacturers. Ethylene, Propylene, Butadiene, Pyrolysis Gasoline, Ethylene Oxide (EO), Ethylene Glycols (MEG, DEG, TEG).","type":"report"},"uris":["http://www.mendeley.com/documents/?uuid=1f0a9e73-e1e8-40ec-bb98-97ba3815e1eb"]}],"mendeley":{"formattedCitation":"(PlasticsEurope, 2012, 2014b)","plainTextFormattedCitation":"(PlasticsEurope, 2012, 2014b)","previouslyFormattedCitation":"(PlasticsEurope, 2012, 2014b)"},"properties":{"noteIndex":0},"schema":"https://github.com/citation-style-language/schema/raw/master/csl-citation.json"}</w:instrText>
      </w:r>
      <w:r w:rsidR="00D02E7E" w:rsidRPr="00E10B6E">
        <w:fldChar w:fldCharType="separate"/>
      </w:r>
      <w:r w:rsidR="00C72E3B" w:rsidRPr="00E10B6E">
        <w:rPr>
          <w:noProof/>
        </w:rPr>
        <w:t>(PlasticsEurope, 2012, 2014b)</w:t>
      </w:r>
      <w:r w:rsidR="00D02E7E" w:rsidRPr="00E10B6E">
        <w:fldChar w:fldCharType="end"/>
      </w:r>
      <w:r w:rsidR="00D02E7E" w:rsidRPr="00E10B6E">
        <w:t xml:space="preserve">, </w:t>
      </w:r>
      <w:r w:rsidR="00B14CEE" w:rsidRPr="00E10B6E">
        <w:t>and the interviews with the polyolefin producers involved in the research (Dow, SABIC, Ducor)</w:t>
      </w:r>
      <w:r w:rsidR="007354E6" w:rsidRPr="00E10B6E">
        <w:t>, especially regarding the costs.</w:t>
      </w:r>
      <w:r w:rsidR="002B1587" w:rsidRPr="00E10B6E">
        <w:t xml:space="preserve"> </w:t>
      </w:r>
    </w:p>
    <w:p w14:paraId="2F010A37" w14:textId="582C3939" w:rsidR="007C42C0" w:rsidRPr="00E10B6E" w:rsidRDefault="00757C15" w:rsidP="007C42C0">
      <w:pPr>
        <w:jc w:val="both"/>
      </w:pPr>
      <w:r w:rsidRPr="00E10B6E">
        <w:t>All the collected information about the polymerisation processes has become part of the MIDDEN dataset</w:t>
      </w:r>
      <w:r w:rsidR="007C42C0" w:rsidRPr="00E10B6E">
        <w:t>, which explicitly lists the following indicators:</w:t>
      </w:r>
    </w:p>
    <w:p w14:paraId="3B5575CB" w14:textId="05AB4ED3" w:rsidR="002E4C91" w:rsidRPr="00E10B6E" w:rsidRDefault="002E4C91" w:rsidP="002E4C91">
      <w:pPr>
        <w:pStyle w:val="ListParagraph"/>
        <w:numPr>
          <w:ilvl w:val="0"/>
          <w:numId w:val="12"/>
        </w:numPr>
        <w:jc w:val="both"/>
      </w:pPr>
      <w:r w:rsidRPr="00E10B6E">
        <w:t>Technology</w:t>
      </w:r>
      <w:r w:rsidR="00FD1B51" w:rsidRPr="00E10B6E">
        <w:t>.</w:t>
      </w:r>
    </w:p>
    <w:p w14:paraId="5894CF20" w14:textId="2E7BD3FF" w:rsidR="002E4C91" w:rsidRPr="00E10B6E" w:rsidRDefault="002E4C91" w:rsidP="002E4C91">
      <w:pPr>
        <w:pStyle w:val="ListParagraph"/>
        <w:numPr>
          <w:ilvl w:val="0"/>
          <w:numId w:val="12"/>
        </w:numPr>
        <w:jc w:val="both"/>
      </w:pPr>
      <w:r w:rsidRPr="00E10B6E">
        <w:t>Year</w:t>
      </w:r>
      <w:r w:rsidR="00FD1B51" w:rsidRPr="00E10B6E">
        <w:t>.</w:t>
      </w:r>
    </w:p>
    <w:p w14:paraId="5FDAEB6B" w14:textId="6431A159" w:rsidR="002E4C91" w:rsidRPr="00E10B6E" w:rsidRDefault="002E4C91" w:rsidP="002E4C91">
      <w:pPr>
        <w:pStyle w:val="ListParagraph"/>
        <w:numPr>
          <w:ilvl w:val="0"/>
          <w:numId w:val="12"/>
        </w:numPr>
        <w:jc w:val="both"/>
      </w:pPr>
      <w:r w:rsidRPr="00E10B6E">
        <w:t>Technology description</w:t>
      </w:r>
      <w:r w:rsidR="00FD1B51" w:rsidRPr="00E10B6E">
        <w:t>.</w:t>
      </w:r>
    </w:p>
    <w:p w14:paraId="4B98E033" w14:textId="578810F5" w:rsidR="009F2B6B" w:rsidRPr="00E10B6E" w:rsidRDefault="009F2B6B" w:rsidP="009F2B6B">
      <w:pPr>
        <w:pStyle w:val="ListParagraph"/>
        <w:numPr>
          <w:ilvl w:val="0"/>
          <w:numId w:val="12"/>
        </w:numPr>
        <w:jc w:val="both"/>
      </w:pPr>
      <w:r w:rsidRPr="00E10B6E">
        <w:t>Capacity [</w:t>
      </w:r>
      <w:r w:rsidR="000B7C74" w:rsidRPr="00E10B6E">
        <w:t>kt</w:t>
      </w:r>
      <w:r w:rsidRPr="00E10B6E">
        <w:t>/year].</w:t>
      </w:r>
    </w:p>
    <w:p w14:paraId="6E718105" w14:textId="68135E95" w:rsidR="002E4C91" w:rsidRPr="00E10B6E" w:rsidRDefault="002E4C91" w:rsidP="002E4C91">
      <w:pPr>
        <w:pStyle w:val="ListParagraph"/>
        <w:numPr>
          <w:ilvl w:val="0"/>
          <w:numId w:val="12"/>
        </w:numPr>
        <w:jc w:val="both"/>
      </w:pPr>
      <w:r w:rsidRPr="00E10B6E">
        <w:t>Investment per unit of capacity</w:t>
      </w:r>
      <w:r w:rsidR="009F2B6B" w:rsidRPr="00E10B6E">
        <w:t xml:space="preserve"> [€]</w:t>
      </w:r>
      <w:r w:rsidR="00FD1B51" w:rsidRPr="00E10B6E">
        <w:t>.</w:t>
      </w:r>
    </w:p>
    <w:p w14:paraId="1D2CE583" w14:textId="35E39990" w:rsidR="002E4C91" w:rsidRPr="00E10B6E" w:rsidRDefault="002E4C91" w:rsidP="00FD1B51">
      <w:pPr>
        <w:pStyle w:val="ListParagraph"/>
        <w:numPr>
          <w:ilvl w:val="0"/>
          <w:numId w:val="12"/>
        </w:numPr>
        <w:jc w:val="both"/>
      </w:pPr>
      <w:r w:rsidRPr="00E10B6E">
        <w:t>Annual O&amp;M costs per unit of capacity</w:t>
      </w:r>
      <w:r w:rsidR="009F2B6B" w:rsidRPr="00E10B6E">
        <w:t xml:space="preserve"> [€]</w:t>
      </w:r>
      <w:r w:rsidR="00FD1B51" w:rsidRPr="00E10B6E">
        <w:t>.</w:t>
      </w:r>
    </w:p>
    <w:p w14:paraId="7716FCE1" w14:textId="1EF1417F" w:rsidR="002E4C91" w:rsidRPr="00E10B6E" w:rsidRDefault="002E4C91" w:rsidP="00FD1B51">
      <w:pPr>
        <w:pStyle w:val="ListParagraph"/>
        <w:numPr>
          <w:ilvl w:val="0"/>
          <w:numId w:val="12"/>
        </w:numPr>
        <w:jc w:val="both"/>
      </w:pPr>
      <w:r w:rsidRPr="00E10B6E">
        <w:t>Technical lifetime</w:t>
      </w:r>
      <w:r w:rsidR="00FD1B51" w:rsidRPr="00E10B6E">
        <w:t>.</w:t>
      </w:r>
    </w:p>
    <w:p w14:paraId="60605379" w14:textId="481BA208" w:rsidR="002E4C91" w:rsidRPr="00E10B6E" w:rsidRDefault="004A0D16" w:rsidP="00FD1B51">
      <w:pPr>
        <w:pStyle w:val="ListParagraph"/>
        <w:numPr>
          <w:ilvl w:val="0"/>
          <w:numId w:val="12"/>
        </w:numPr>
        <w:jc w:val="both"/>
      </w:pPr>
      <w:r w:rsidRPr="00E10B6E">
        <w:t>Electricity</w:t>
      </w:r>
      <w:r w:rsidR="002E4C91" w:rsidRPr="00E10B6E">
        <w:t xml:space="preserve"> per unit of capacity</w:t>
      </w:r>
      <w:r w:rsidR="009F2B6B" w:rsidRPr="00E10B6E">
        <w:t xml:space="preserve"> [TJ]</w:t>
      </w:r>
      <w:r w:rsidR="00FD1B51" w:rsidRPr="00E10B6E">
        <w:t>.</w:t>
      </w:r>
    </w:p>
    <w:p w14:paraId="71EFD2E9" w14:textId="3D00B287" w:rsidR="002E4C91" w:rsidRPr="00E10B6E" w:rsidRDefault="004A0D16" w:rsidP="00FD1B51">
      <w:pPr>
        <w:pStyle w:val="ListParagraph"/>
        <w:numPr>
          <w:ilvl w:val="0"/>
          <w:numId w:val="12"/>
        </w:numPr>
        <w:jc w:val="both"/>
      </w:pPr>
      <w:r w:rsidRPr="00E10B6E">
        <w:t>Heat</w:t>
      </w:r>
      <w:r w:rsidR="002E4C91" w:rsidRPr="00E10B6E">
        <w:t xml:space="preserve"> per unit of capacity</w:t>
      </w:r>
      <w:r w:rsidR="009F2B6B" w:rsidRPr="00E10B6E">
        <w:t xml:space="preserve"> [TJ]</w:t>
      </w:r>
      <w:r w:rsidR="00FD1B51" w:rsidRPr="00E10B6E">
        <w:t>.</w:t>
      </w:r>
    </w:p>
    <w:p w14:paraId="091BB3F3" w14:textId="765B22D1" w:rsidR="004A0D16" w:rsidRPr="00E10B6E" w:rsidRDefault="004A0D16" w:rsidP="00FD1B51">
      <w:pPr>
        <w:pStyle w:val="ListParagraph"/>
        <w:numPr>
          <w:ilvl w:val="0"/>
          <w:numId w:val="12"/>
        </w:numPr>
        <w:jc w:val="both"/>
      </w:pPr>
      <w:r w:rsidRPr="00E10B6E">
        <w:t>Feedstock per unit of capacity</w:t>
      </w:r>
      <w:r w:rsidR="009F2B6B" w:rsidRPr="00E10B6E">
        <w:t xml:space="preserve"> [</w:t>
      </w:r>
      <w:r w:rsidR="000B7C74" w:rsidRPr="00E10B6E">
        <w:t>kt</w:t>
      </w:r>
      <w:r w:rsidR="009F2B6B" w:rsidRPr="00E10B6E">
        <w:t>]</w:t>
      </w:r>
      <w:r w:rsidRPr="00E10B6E">
        <w:t>.</w:t>
      </w:r>
    </w:p>
    <w:p w14:paraId="3AFE9B97" w14:textId="218F24B5" w:rsidR="002E4C91" w:rsidRPr="00E10B6E" w:rsidRDefault="002E4C91" w:rsidP="004A0D16">
      <w:pPr>
        <w:pStyle w:val="ListParagraph"/>
        <w:numPr>
          <w:ilvl w:val="0"/>
          <w:numId w:val="12"/>
        </w:numPr>
        <w:jc w:val="both"/>
      </w:pPr>
      <w:r w:rsidRPr="00E10B6E">
        <w:t>Output per unit of capacity</w:t>
      </w:r>
      <w:r w:rsidR="009F2B6B" w:rsidRPr="00E10B6E">
        <w:t xml:space="preserve"> [</w:t>
      </w:r>
      <w:r w:rsidR="000B7C74" w:rsidRPr="00E10B6E">
        <w:t>kt</w:t>
      </w:r>
      <w:r w:rsidR="009F2B6B" w:rsidRPr="00E10B6E">
        <w:t>]</w:t>
      </w:r>
      <w:r w:rsidR="004A0D16" w:rsidRPr="00E10B6E">
        <w:t>.</w:t>
      </w:r>
    </w:p>
    <w:p w14:paraId="4741471F" w14:textId="6C6BD5F6" w:rsidR="00BE22CF" w:rsidRPr="00E10B6E" w:rsidRDefault="002E4C91" w:rsidP="00BE22CF">
      <w:pPr>
        <w:pStyle w:val="ListParagraph"/>
        <w:numPr>
          <w:ilvl w:val="0"/>
          <w:numId w:val="12"/>
        </w:numPr>
        <w:jc w:val="both"/>
      </w:pPr>
      <w:r w:rsidRPr="00E10B6E">
        <w:t>CO</w:t>
      </w:r>
      <w:r w:rsidRPr="00E10B6E">
        <w:rPr>
          <w:vertAlign w:val="subscript"/>
        </w:rPr>
        <w:t>2</w:t>
      </w:r>
      <w:r w:rsidR="000762E9" w:rsidRPr="00E10B6E">
        <w:t xml:space="preserve">-eq </w:t>
      </w:r>
      <w:r w:rsidRPr="00E10B6E">
        <w:t>emissions per unit of capacity</w:t>
      </w:r>
      <w:r w:rsidR="00BE22CF" w:rsidRPr="00E10B6E">
        <w:t xml:space="preserve"> (polymerisation)</w:t>
      </w:r>
      <w:r w:rsidR="009F2B6B" w:rsidRPr="00E10B6E">
        <w:t xml:space="preserve"> [</w:t>
      </w:r>
      <w:r w:rsidR="000B7C74" w:rsidRPr="00E10B6E">
        <w:t>kt</w:t>
      </w:r>
      <w:r w:rsidR="009F2B6B" w:rsidRPr="00E10B6E">
        <w:t>]</w:t>
      </w:r>
      <w:r w:rsidR="004A0D16" w:rsidRPr="00E10B6E">
        <w:t>.</w:t>
      </w:r>
      <w:r w:rsidR="00BE22CF" w:rsidRPr="00E10B6E">
        <w:t xml:space="preserve"> </w:t>
      </w:r>
    </w:p>
    <w:p w14:paraId="546A867B" w14:textId="12E4DB62" w:rsidR="00757C15" w:rsidRPr="00E10B6E" w:rsidRDefault="00BE22CF" w:rsidP="00BE22CF">
      <w:pPr>
        <w:pStyle w:val="ListParagraph"/>
        <w:numPr>
          <w:ilvl w:val="0"/>
          <w:numId w:val="12"/>
        </w:numPr>
        <w:jc w:val="both"/>
      </w:pPr>
      <w:r w:rsidRPr="00E10B6E">
        <w:t>CO</w:t>
      </w:r>
      <w:r w:rsidRPr="00E10B6E">
        <w:rPr>
          <w:vertAlign w:val="subscript"/>
        </w:rPr>
        <w:t>2</w:t>
      </w:r>
      <w:r w:rsidRPr="00E10B6E">
        <w:t>-eq emissions per unit of capacity (cradle-to-gate) [kt].</w:t>
      </w:r>
    </w:p>
    <w:p w14:paraId="5F459CF6" w14:textId="77777777" w:rsidR="002B1587" w:rsidRPr="00E10B6E" w:rsidRDefault="000B0ABD" w:rsidP="00B14CEE">
      <w:pPr>
        <w:jc w:val="both"/>
      </w:pPr>
      <w:r w:rsidRPr="00E10B6E">
        <w:t xml:space="preserve">To better understand the </w:t>
      </w:r>
      <w:r w:rsidR="00016CA3" w:rsidRPr="00E10B6E">
        <w:t xml:space="preserve">relative importance of </w:t>
      </w:r>
      <w:r w:rsidR="00BE22CF" w:rsidRPr="00E10B6E">
        <w:t xml:space="preserve">the </w:t>
      </w:r>
      <w:r w:rsidRPr="00E10B6E">
        <w:t>polymerisation</w:t>
      </w:r>
      <w:r w:rsidR="00BE22CF" w:rsidRPr="00E10B6E">
        <w:t xml:space="preserve"> process</w:t>
      </w:r>
      <w:r w:rsidR="000762E9" w:rsidRPr="00E10B6E">
        <w:t xml:space="preserve">, </w:t>
      </w:r>
      <w:r w:rsidR="00016CA3" w:rsidRPr="00E10B6E">
        <w:t xml:space="preserve">data regarding </w:t>
      </w:r>
      <w:r w:rsidR="000762E9" w:rsidRPr="00E10B6E">
        <w:t xml:space="preserve">the </w:t>
      </w:r>
      <w:r w:rsidR="00016CA3" w:rsidRPr="00E10B6E">
        <w:t>emissions of CO</w:t>
      </w:r>
      <w:r w:rsidR="00016CA3" w:rsidRPr="00E10B6E">
        <w:rPr>
          <w:vertAlign w:val="subscript"/>
        </w:rPr>
        <w:t>2</w:t>
      </w:r>
      <w:r w:rsidR="00016CA3" w:rsidRPr="00E10B6E">
        <w:t>-eq</w:t>
      </w:r>
      <w:r w:rsidR="000762E9" w:rsidRPr="00E10B6E">
        <w:t xml:space="preserve"> </w:t>
      </w:r>
      <w:r w:rsidR="00016CA3" w:rsidRPr="00E10B6E">
        <w:t xml:space="preserve">has been </w:t>
      </w:r>
      <w:r w:rsidR="009F0225" w:rsidRPr="00E10B6E">
        <w:t>separated into “polymerisation only” and “cradle-to-gate”, which includes the extraction of raw materials (e.g. oil) and the conversion into feedstock (i.e. ethylene).</w:t>
      </w:r>
      <w:r w:rsidR="002B1587" w:rsidRPr="00E10B6E">
        <w:t xml:space="preserve"> </w:t>
      </w:r>
    </w:p>
    <w:p w14:paraId="40442817" w14:textId="09B77D11" w:rsidR="00B14CEE" w:rsidRPr="00E10B6E" w:rsidRDefault="00912E48" w:rsidP="00B14CEE">
      <w:pPr>
        <w:jc w:val="both"/>
      </w:pPr>
      <w:r w:rsidRPr="00E10B6E">
        <w:t xml:space="preserve">As in the case of production volumes and energy consumption, </w:t>
      </w:r>
      <w:r w:rsidR="0013755C" w:rsidRPr="00E10B6E">
        <w:t>all</w:t>
      </w:r>
      <w:r w:rsidRPr="00E10B6E">
        <w:t xml:space="preserve"> the collected data </w:t>
      </w:r>
      <w:r w:rsidR="0013755C" w:rsidRPr="00E10B6E">
        <w:t>is stored in the MIDDEN dataset delivered to PBL</w:t>
      </w:r>
      <w:r w:rsidR="000B5473" w:rsidRPr="00E10B6E">
        <w:t xml:space="preserve">, while only the average values </w:t>
      </w:r>
      <w:r w:rsidRPr="00E10B6E">
        <w:t xml:space="preserve">will be displayed in this </w:t>
      </w:r>
      <w:r w:rsidR="000B5473" w:rsidRPr="00E10B6E">
        <w:t>thesis</w:t>
      </w:r>
      <w:r w:rsidRPr="00E10B6E">
        <w:t xml:space="preserve"> due to confidentiality re</w:t>
      </w:r>
      <w:r w:rsidR="0013755C" w:rsidRPr="00E10B6E">
        <w:t>asons</w:t>
      </w:r>
      <w:r w:rsidR="000B5473" w:rsidRPr="00E10B6E">
        <w:t>.</w:t>
      </w:r>
    </w:p>
    <w:p w14:paraId="7EDC12AF" w14:textId="62068BC9" w:rsidR="00736843" w:rsidRPr="00E10B6E" w:rsidRDefault="00736843" w:rsidP="00736843">
      <w:pPr>
        <w:pStyle w:val="Heading2"/>
      </w:pPr>
      <w:bookmarkStart w:id="21" w:name="_Toc54274788"/>
      <w:r w:rsidRPr="00E10B6E">
        <w:t>3.</w:t>
      </w:r>
      <w:r w:rsidR="00DD6F55" w:rsidRPr="00E10B6E">
        <w:t>4</w:t>
      </w:r>
      <w:r w:rsidRPr="00E10B6E">
        <w:t xml:space="preserve"> </w:t>
      </w:r>
      <w:r w:rsidR="00487707" w:rsidRPr="00E10B6E">
        <w:t xml:space="preserve">Techno-economic analysis of </w:t>
      </w:r>
      <w:r w:rsidR="006E59A3" w:rsidRPr="00E10B6E">
        <w:t>Decarbonisation options</w:t>
      </w:r>
      <w:bookmarkEnd w:id="21"/>
    </w:p>
    <w:p w14:paraId="34649FC9" w14:textId="5EF41CA1" w:rsidR="00960585" w:rsidRPr="00E10B6E" w:rsidRDefault="009D110A" w:rsidP="00960585">
      <w:pPr>
        <w:jc w:val="both"/>
        <w:rPr>
          <w:i/>
          <w:iCs/>
        </w:rPr>
      </w:pPr>
      <w:r w:rsidRPr="00E10B6E">
        <w:t xml:space="preserve">The </w:t>
      </w:r>
      <w:r w:rsidR="00960585" w:rsidRPr="00E10B6E">
        <w:t>fourth part of the research was dedicated to answer</w:t>
      </w:r>
      <w:r w:rsidR="00F52340" w:rsidRPr="00E10B6E">
        <w:t>ing</w:t>
      </w:r>
      <w:r w:rsidR="00960585" w:rsidRPr="00E10B6E">
        <w:t xml:space="preserve"> the question: “</w:t>
      </w:r>
      <w:r w:rsidR="00960585" w:rsidRPr="00E10B6E">
        <w:rPr>
          <w:i/>
          <w:iCs/>
        </w:rPr>
        <w:t xml:space="preserve">Which </w:t>
      </w:r>
      <w:r w:rsidR="00D74185" w:rsidRPr="00E10B6E">
        <w:rPr>
          <w:i/>
          <w:iCs/>
        </w:rPr>
        <w:t xml:space="preserve">available </w:t>
      </w:r>
      <w:r w:rsidR="00960585" w:rsidRPr="00E10B6E">
        <w:rPr>
          <w:i/>
          <w:iCs/>
        </w:rPr>
        <w:t xml:space="preserve">decarbonisation options are considered as most promising by the stakeholders, and to what extent are they technically, economically, and environmentally comparable to the current technologies?”. </w:t>
      </w:r>
    </w:p>
    <w:p w14:paraId="0253534D" w14:textId="6BFFD755" w:rsidR="007A4F7D" w:rsidRPr="00E10B6E" w:rsidRDefault="00346352" w:rsidP="00960585">
      <w:pPr>
        <w:jc w:val="both"/>
      </w:pPr>
      <w:r w:rsidRPr="00E10B6E">
        <w:t xml:space="preserve">After </w:t>
      </w:r>
      <w:r w:rsidR="00F52340" w:rsidRPr="00E10B6E">
        <w:t>the</w:t>
      </w:r>
      <w:r w:rsidRPr="00E10B6E">
        <w:t xml:space="preserve"> first discussion with experts from TNO and PBL, it was decided </w:t>
      </w:r>
      <w:r w:rsidR="00A74256" w:rsidRPr="00E10B6E">
        <w:t xml:space="preserve">that this MIDDEN report would have been </w:t>
      </w:r>
      <w:r w:rsidR="00594732" w:rsidRPr="00E10B6E">
        <w:t xml:space="preserve">dedicated to the analysis of </w:t>
      </w:r>
      <w:r w:rsidR="00196B07" w:rsidRPr="00E10B6E">
        <w:t xml:space="preserve">sustainable </w:t>
      </w:r>
      <w:r w:rsidR="00A74256" w:rsidRPr="00E10B6E">
        <w:t xml:space="preserve">bio-based processes and circular economy options, specifically innovative recycling technologies. </w:t>
      </w:r>
      <w:r w:rsidR="00AF54EB" w:rsidRPr="00E10B6E">
        <w:t xml:space="preserve">As explained in previous sections, the </w:t>
      </w:r>
      <w:r w:rsidR="009E60A4" w:rsidRPr="00E10B6E">
        <w:t>majority of the GHG emi</w:t>
      </w:r>
      <w:r w:rsidR="003E6EEF" w:rsidRPr="00E10B6E">
        <w:t xml:space="preserve">tted by the polyolefins industry </w:t>
      </w:r>
      <w:r w:rsidR="009E60A4" w:rsidRPr="00E10B6E">
        <w:t>have an indirect nature (</w:t>
      </w:r>
      <w:r w:rsidR="00144998" w:rsidRPr="00E10B6E">
        <w:t xml:space="preserve">downstream and upstream) and are not directly caused by the </w:t>
      </w:r>
      <w:r w:rsidR="00AF54EB" w:rsidRPr="00E10B6E">
        <w:t xml:space="preserve">polymerisation </w:t>
      </w:r>
      <w:r w:rsidR="00144998" w:rsidRPr="00E10B6E">
        <w:t xml:space="preserve">processes. Therefore, the most promising decarbonisation </w:t>
      </w:r>
      <w:r w:rsidR="00144998" w:rsidRPr="00E10B6E">
        <w:lastRenderedPageBreak/>
        <w:t xml:space="preserve">options are the ones targeting the </w:t>
      </w:r>
      <w:r w:rsidR="005F0C41" w:rsidRPr="00E10B6E">
        <w:t>whole life-cycle and providing alternatives to the production of fossil-based feedstock.</w:t>
      </w:r>
      <w:r w:rsidR="00AF54EB" w:rsidRPr="00E10B6E">
        <w:t xml:space="preserve"> </w:t>
      </w:r>
    </w:p>
    <w:p w14:paraId="3D82A1BF" w14:textId="69842F45" w:rsidR="006655B8" w:rsidRPr="00E10B6E" w:rsidRDefault="00C96B5A" w:rsidP="00960585">
      <w:pPr>
        <w:jc w:val="both"/>
      </w:pPr>
      <w:r w:rsidRPr="00E10B6E">
        <w:t xml:space="preserve">This </w:t>
      </w:r>
      <w:r w:rsidR="005F0C41" w:rsidRPr="00E10B6E">
        <w:t xml:space="preserve">choice </w:t>
      </w:r>
      <w:r w:rsidRPr="00E10B6E">
        <w:t xml:space="preserve">was also motivated by communication with relevant stakeholders (such as the Chemelot Industrial Park in Limburg) and by </w:t>
      </w:r>
      <w:r w:rsidR="00D02BB4" w:rsidRPr="00E10B6E">
        <w:t>the two following reports:</w:t>
      </w:r>
    </w:p>
    <w:p w14:paraId="3DFC2829" w14:textId="67F15591" w:rsidR="00D02BB4" w:rsidRPr="00E10B6E" w:rsidRDefault="00D02BB4" w:rsidP="00D02BB4">
      <w:pPr>
        <w:pStyle w:val="ListParagraph"/>
        <w:numPr>
          <w:ilvl w:val="0"/>
          <w:numId w:val="22"/>
        </w:numPr>
        <w:spacing w:after="0" w:line="260" w:lineRule="atLeast"/>
        <w:jc w:val="both"/>
      </w:pPr>
      <w:r w:rsidRPr="00E10B6E">
        <w:t xml:space="preserve">VNCI, the Dutch association of chemical producers, analysed possible decarbonisation pathways to 2050, </w:t>
      </w:r>
      <w:r w:rsidR="00066018" w:rsidRPr="00E10B6E">
        <w:t xml:space="preserve">with a focus on </w:t>
      </w:r>
      <w:r w:rsidRPr="00E10B6E">
        <w:t>bio-based materials and circular economy, show</w:t>
      </w:r>
      <w:r w:rsidR="00066018" w:rsidRPr="00E10B6E">
        <w:t>ing</w:t>
      </w:r>
      <w:r w:rsidRPr="00E10B6E">
        <w:t xml:space="preserve"> that it is technically possible to achieve a reduction of GHG emissions while keeping an annual growth rate of added value </w:t>
      </w:r>
      <w:r w:rsidRPr="00E10B6E">
        <w:fldChar w:fldCharType="begin" w:fldLock="1"/>
      </w:r>
      <w:r w:rsidRPr="00E10B6E">
        <w:instrText>ADDIN CSL_CITATION {"citationItems":[{"id":"ITEM-1","itemData":{"author":[{"dropping-particle":"","family":"VNCI","given":"","non-dropping-particle":"","parse-names":false,"suffix":""}],"id":"ITEM-1","issued":{"date-parts":[["2018"]]},"title":"Chemistry for Climate - Roadmap for the Dutch Chemical Industry towards 2050","type":"report"},"uris":["http://www.mendeley.com/documents/?uuid=837720ec-d9d6-3717-b374-33e77cdb2883"]}],"mendeley":{"formattedCitation":"(VNCI, 2018)","plainTextFormattedCitation":"(VNCI, 2018)","previouslyFormattedCitation":"(VNCI, 2018)"},"properties":{"noteIndex":0},"schema":"https://github.com/citation-style-language/schema/raw/master/csl-citation.json"}</w:instrText>
      </w:r>
      <w:r w:rsidRPr="00E10B6E">
        <w:fldChar w:fldCharType="separate"/>
      </w:r>
      <w:r w:rsidRPr="00E10B6E">
        <w:rPr>
          <w:noProof/>
        </w:rPr>
        <w:t>(VNCI, 2018)</w:t>
      </w:r>
      <w:r w:rsidRPr="00E10B6E">
        <w:fldChar w:fldCharType="end"/>
      </w:r>
      <w:r w:rsidRPr="00E10B6E">
        <w:t>.</w:t>
      </w:r>
    </w:p>
    <w:p w14:paraId="0D9D779A" w14:textId="070BB176" w:rsidR="00D02BB4" w:rsidRPr="00E10B6E" w:rsidRDefault="00D02BB4" w:rsidP="00D02BB4">
      <w:pPr>
        <w:pStyle w:val="ListParagraph"/>
        <w:numPr>
          <w:ilvl w:val="0"/>
          <w:numId w:val="22"/>
        </w:numPr>
        <w:spacing w:after="0" w:line="260" w:lineRule="atLeast"/>
        <w:jc w:val="both"/>
      </w:pPr>
      <w:r w:rsidRPr="00E10B6E">
        <w:t xml:space="preserve">McKinsey, an international consultancy company, published a report on decarbonisation options for </w:t>
      </w:r>
      <w:r w:rsidR="00066018" w:rsidRPr="00E10B6E">
        <w:t>a variety of</w:t>
      </w:r>
      <w:r w:rsidRPr="00E10B6E">
        <w:t xml:space="preserve"> industrial sectors</w:t>
      </w:r>
      <w:r w:rsidR="00066018" w:rsidRPr="00E10B6E">
        <w:t xml:space="preserve">. </w:t>
      </w:r>
      <w:r w:rsidR="00354384" w:rsidRPr="00E10B6E">
        <w:t xml:space="preserve">In the chapter </w:t>
      </w:r>
      <w:r w:rsidRPr="00E10B6E">
        <w:t>regarding ethylene</w:t>
      </w:r>
      <w:r w:rsidR="00354384" w:rsidRPr="00E10B6E">
        <w:t xml:space="preserve">, </w:t>
      </w:r>
      <w:r w:rsidRPr="00E10B6E">
        <w:t xml:space="preserve"> bio-based feedstock</w:t>
      </w:r>
      <w:r w:rsidR="00354384" w:rsidRPr="00E10B6E">
        <w:t xml:space="preserve"> technologies were described as promising </w:t>
      </w:r>
      <w:r w:rsidR="00867DCD" w:rsidRPr="00E10B6E">
        <w:t>decarbonisation solutions</w:t>
      </w:r>
      <w:r w:rsidRPr="00E10B6E">
        <w:t xml:space="preserve">  </w:t>
      </w:r>
      <w:r w:rsidRPr="00E10B6E">
        <w:fldChar w:fldCharType="begin" w:fldLock="1"/>
      </w:r>
      <w:r w:rsidRPr="00E10B6E">
        <w:instrText>ADDIN CSL_CITATION {"citationItems":[{"id":"ITEM-1","itemData":{"author":[{"dropping-particle":"","family":"McKinsey&amp;Company","given":"","non-dropping-particle":"","parse-names":false,"suffix":""}],"id":"ITEM-1","issued":{"date-parts":[["2018"]]},"title":"Decarbonization of industrial sectors: the next frontiers","type":"report"},"uris":["http://www.mendeley.com/documents/?uuid=cbdb0e6c-8081-3535-87cf-25cadfc267be"]}],"mendeley":{"formattedCitation":"(McKinsey&amp;Company, 2018)","plainTextFormattedCitation":"(McKinsey&amp;Company, 2018)","previouslyFormattedCitation":"(McKinsey&amp;Company, 2018)"},"properties":{"noteIndex":0},"schema":"https://github.com/citation-style-language/schema/raw/master/csl-citation.json"}</w:instrText>
      </w:r>
      <w:r w:rsidRPr="00E10B6E">
        <w:fldChar w:fldCharType="separate"/>
      </w:r>
      <w:r w:rsidRPr="00E10B6E">
        <w:rPr>
          <w:noProof/>
        </w:rPr>
        <w:t>(McKinsey&amp;Company, 2018)</w:t>
      </w:r>
      <w:r w:rsidRPr="00E10B6E">
        <w:fldChar w:fldCharType="end"/>
      </w:r>
      <w:r w:rsidRPr="00E10B6E">
        <w:t>.</w:t>
      </w:r>
    </w:p>
    <w:p w14:paraId="27242F8D" w14:textId="3E331D41" w:rsidR="00E26560" w:rsidRPr="00E10B6E" w:rsidRDefault="007A4F7D" w:rsidP="00960585">
      <w:pPr>
        <w:jc w:val="both"/>
      </w:pPr>
      <w:r w:rsidRPr="00E10B6E">
        <w:br/>
      </w:r>
      <w:r w:rsidR="00867DCD" w:rsidRPr="00E10B6E">
        <w:t xml:space="preserve">A quick search on Google Scholar and Science Direct </w:t>
      </w:r>
      <w:r w:rsidR="001D7A7C" w:rsidRPr="00E10B6E">
        <w:t xml:space="preserve">also proved the presence of pilot projects, </w:t>
      </w:r>
      <w:r w:rsidR="00777E73" w:rsidRPr="00E10B6E">
        <w:t>life cycle analysis, and scientific literature to supply the data necessary for this research</w:t>
      </w:r>
      <w:r w:rsidR="00E26560" w:rsidRPr="00E10B6E">
        <w:t>, thus supporting the choice of focusing on bio-based and recycling technologies.</w:t>
      </w:r>
    </w:p>
    <w:p w14:paraId="7652DC0B" w14:textId="2C59B00F" w:rsidR="00574403" w:rsidRPr="00E10B6E" w:rsidRDefault="00A74256" w:rsidP="00960585">
      <w:pPr>
        <w:jc w:val="both"/>
      </w:pPr>
      <w:r w:rsidRPr="00E10B6E">
        <w:t xml:space="preserve">For </w:t>
      </w:r>
      <w:r w:rsidR="004B2CF5" w:rsidRPr="00E10B6E">
        <w:t>completeness, other available decarbonisation options were to be listed with a short description</w:t>
      </w:r>
      <w:r w:rsidR="00574403" w:rsidRPr="00E10B6E">
        <w:t>, but without an extensive analysis of economic and environmental indicators.</w:t>
      </w:r>
      <w:r w:rsidR="00057FCA" w:rsidRPr="00E10B6E">
        <w:t xml:space="preserve"> </w:t>
      </w:r>
      <w:r w:rsidR="00574403" w:rsidRPr="00E10B6E">
        <w:t>Having defined the scope</w:t>
      </w:r>
      <w:r w:rsidR="00196B07" w:rsidRPr="00E10B6E">
        <w:t xml:space="preserve">, an extensive review of </w:t>
      </w:r>
      <w:r w:rsidR="00623167" w:rsidRPr="00E10B6E">
        <w:t xml:space="preserve">scientific and grey literature, technical reports, case studies, </w:t>
      </w:r>
      <w:r w:rsidR="003405E4" w:rsidRPr="00E10B6E">
        <w:t xml:space="preserve">decarbonisation strategies written by </w:t>
      </w:r>
      <w:r w:rsidR="00CF2745" w:rsidRPr="00E10B6E">
        <w:t xml:space="preserve">industry organisations and/or public institutions, was carried out. All the collected information was then discussed </w:t>
      </w:r>
      <w:r w:rsidR="00A53967" w:rsidRPr="00E10B6E">
        <w:t xml:space="preserve">with the representatives of the involved polyolefins producers (Dow, SABIC, Ducor), with the MIDDEN colleagues from TNO and PBL, and with other stakeholders (such as </w:t>
      </w:r>
      <w:r w:rsidR="00057FCA" w:rsidRPr="00E10B6E">
        <w:t>the business developers of the Chemelot Industrial Park in Limburg).</w:t>
      </w:r>
    </w:p>
    <w:p w14:paraId="058E17AE" w14:textId="1FC18A66" w:rsidR="00277415" w:rsidRPr="00E10B6E" w:rsidRDefault="00277415" w:rsidP="00277415">
      <w:pPr>
        <w:jc w:val="both"/>
      </w:pPr>
      <w:r w:rsidRPr="00E10B6E">
        <w:t>All the collected information about the decarbonisation options has become part of the MIDDEN dataset, which explicitly lists the following indicators</w:t>
      </w:r>
      <w:r w:rsidR="003C4CDA" w:rsidRPr="00E10B6E">
        <w:t xml:space="preserve"> (if available)</w:t>
      </w:r>
      <w:r w:rsidRPr="00E10B6E">
        <w:t>:</w:t>
      </w:r>
    </w:p>
    <w:p w14:paraId="372F1579" w14:textId="77777777" w:rsidR="00277415" w:rsidRPr="00E10B6E" w:rsidRDefault="00277415" w:rsidP="00277415">
      <w:pPr>
        <w:pStyle w:val="ListParagraph"/>
        <w:numPr>
          <w:ilvl w:val="0"/>
          <w:numId w:val="12"/>
        </w:numPr>
        <w:jc w:val="both"/>
      </w:pPr>
      <w:r w:rsidRPr="00E10B6E">
        <w:t>Technology.</w:t>
      </w:r>
    </w:p>
    <w:p w14:paraId="2457A3B1" w14:textId="77777777" w:rsidR="00277415" w:rsidRPr="00E10B6E" w:rsidRDefault="00277415" w:rsidP="00277415">
      <w:pPr>
        <w:pStyle w:val="ListParagraph"/>
        <w:numPr>
          <w:ilvl w:val="0"/>
          <w:numId w:val="12"/>
        </w:numPr>
        <w:jc w:val="both"/>
      </w:pPr>
      <w:r w:rsidRPr="00E10B6E">
        <w:t>Year.</w:t>
      </w:r>
    </w:p>
    <w:p w14:paraId="512F83E2" w14:textId="77777777" w:rsidR="00277415" w:rsidRPr="00E10B6E" w:rsidRDefault="00277415" w:rsidP="00277415">
      <w:pPr>
        <w:pStyle w:val="ListParagraph"/>
        <w:numPr>
          <w:ilvl w:val="0"/>
          <w:numId w:val="12"/>
        </w:numPr>
        <w:jc w:val="both"/>
      </w:pPr>
      <w:r w:rsidRPr="00E10B6E">
        <w:t>Technology description.</w:t>
      </w:r>
    </w:p>
    <w:p w14:paraId="26E352FD" w14:textId="77777777" w:rsidR="00277415" w:rsidRPr="00E10B6E" w:rsidRDefault="00277415" w:rsidP="00277415">
      <w:pPr>
        <w:pStyle w:val="ListParagraph"/>
        <w:numPr>
          <w:ilvl w:val="0"/>
          <w:numId w:val="12"/>
        </w:numPr>
        <w:jc w:val="both"/>
      </w:pPr>
      <w:r w:rsidRPr="00E10B6E">
        <w:t>Capacity [kt/year].</w:t>
      </w:r>
    </w:p>
    <w:p w14:paraId="79F37E3C" w14:textId="77777777" w:rsidR="00277415" w:rsidRPr="00E10B6E" w:rsidRDefault="00277415" w:rsidP="00277415">
      <w:pPr>
        <w:pStyle w:val="ListParagraph"/>
        <w:numPr>
          <w:ilvl w:val="0"/>
          <w:numId w:val="12"/>
        </w:numPr>
        <w:jc w:val="both"/>
      </w:pPr>
      <w:r w:rsidRPr="00E10B6E">
        <w:t>Investment per unit of capacity [€].</w:t>
      </w:r>
    </w:p>
    <w:p w14:paraId="0D3ECB32" w14:textId="77777777" w:rsidR="00277415" w:rsidRPr="00E10B6E" w:rsidRDefault="00277415" w:rsidP="00277415">
      <w:pPr>
        <w:pStyle w:val="ListParagraph"/>
        <w:numPr>
          <w:ilvl w:val="0"/>
          <w:numId w:val="12"/>
        </w:numPr>
        <w:jc w:val="both"/>
      </w:pPr>
      <w:r w:rsidRPr="00E10B6E">
        <w:t>Annual O&amp;M costs per unit of capacity [€].</w:t>
      </w:r>
    </w:p>
    <w:p w14:paraId="3D05F955" w14:textId="77777777" w:rsidR="00277415" w:rsidRPr="00E10B6E" w:rsidRDefault="00277415" w:rsidP="00277415">
      <w:pPr>
        <w:pStyle w:val="ListParagraph"/>
        <w:numPr>
          <w:ilvl w:val="0"/>
          <w:numId w:val="12"/>
        </w:numPr>
        <w:jc w:val="both"/>
      </w:pPr>
      <w:r w:rsidRPr="00E10B6E">
        <w:t>Technical lifetime.</w:t>
      </w:r>
    </w:p>
    <w:p w14:paraId="293B0640" w14:textId="77777777" w:rsidR="00277415" w:rsidRPr="00E10B6E" w:rsidRDefault="00277415" w:rsidP="00277415">
      <w:pPr>
        <w:pStyle w:val="ListParagraph"/>
        <w:numPr>
          <w:ilvl w:val="0"/>
          <w:numId w:val="12"/>
        </w:numPr>
        <w:jc w:val="both"/>
      </w:pPr>
      <w:r w:rsidRPr="00E10B6E">
        <w:t>Electricity per unit of capacity [TJ].</w:t>
      </w:r>
    </w:p>
    <w:p w14:paraId="586B8CF5" w14:textId="77777777" w:rsidR="00277415" w:rsidRPr="00E10B6E" w:rsidRDefault="00277415" w:rsidP="00277415">
      <w:pPr>
        <w:pStyle w:val="ListParagraph"/>
        <w:numPr>
          <w:ilvl w:val="0"/>
          <w:numId w:val="12"/>
        </w:numPr>
        <w:jc w:val="both"/>
      </w:pPr>
      <w:r w:rsidRPr="00E10B6E">
        <w:t>Heat per unit of capacity [TJ].</w:t>
      </w:r>
    </w:p>
    <w:p w14:paraId="310B6653" w14:textId="77777777" w:rsidR="00277415" w:rsidRPr="00E10B6E" w:rsidRDefault="00277415" w:rsidP="00277415">
      <w:pPr>
        <w:pStyle w:val="ListParagraph"/>
        <w:numPr>
          <w:ilvl w:val="0"/>
          <w:numId w:val="12"/>
        </w:numPr>
        <w:jc w:val="both"/>
      </w:pPr>
      <w:r w:rsidRPr="00E10B6E">
        <w:t>Feedstock per unit of capacity [kt].</w:t>
      </w:r>
    </w:p>
    <w:p w14:paraId="1D615765" w14:textId="77777777" w:rsidR="00277415" w:rsidRPr="00E10B6E" w:rsidRDefault="00277415" w:rsidP="00277415">
      <w:pPr>
        <w:pStyle w:val="ListParagraph"/>
        <w:numPr>
          <w:ilvl w:val="0"/>
          <w:numId w:val="12"/>
        </w:numPr>
        <w:jc w:val="both"/>
      </w:pPr>
      <w:r w:rsidRPr="00E10B6E">
        <w:t>Output per unit of capacity [kt].</w:t>
      </w:r>
    </w:p>
    <w:p w14:paraId="3A627DFB" w14:textId="77777777" w:rsidR="00277415" w:rsidRPr="00E10B6E" w:rsidRDefault="00277415" w:rsidP="00277415">
      <w:pPr>
        <w:pStyle w:val="ListParagraph"/>
        <w:numPr>
          <w:ilvl w:val="0"/>
          <w:numId w:val="12"/>
        </w:numPr>
        <w:jc w:val="both"/>
      </w:pPr>
      <w:r w:rsidRPr="00E10B6E">
        <w:t>CO</w:t>
      </w:r>
      <w:r w:rsidRPr="00E10B6E">
        <w:rPr>
          <w:vertAlign w:val="subscript"/>
        </w:rPr>
        <w:t>2</w:t>
      </w:r>
      <w:r w:rsidRPr="00E10B6E">
        <w:t xml:space="preserve">-eq emissions per unit of capacity (polymerisation) [kt]. </w:t>
      </w:r>
    </w:p>
    <w:p w14:paraId="6F87DA2D" w14:textId="77777777" w:rsidR="00277415" w:rsidRPr="00E10B6E" w:rsidRDefault="00277415" w:rsidP="00277415">
      <w:pPr>
        <w:pStyle w:val="ListParagraph"/>
        <w:numPr>
          <w:ilvl w:val="0"/>
          <w:numId w:val="12"/>
        </w:numPr>
        <w:jc w:val="both"/>
      </w:pPr>
      <w:r w:rsidRPr="00E10B6E">
        <w:t>CO</w:t>
      </w:r>
      <w:r w:rsidRPr="00E10B6E">
        <w:rPr>
          <w:vertAlign w:val="subscript"/>
        </w:rPr>
        <w:t>2</w:t>
      </w:r>
      <w:r w:rsidRPr="00E10B6E">
        <w:t>-eq emissions per unit of capacity (cradle-to-gate) [kt].</w:t>
      </w:r>
    </w:p>
    <w:p w14:paraId="446DC317" w14:textId="7B13DBB4" w:rsidR="00290CE5" w:rsidRPr="00E10B6E" w:rsidRDefault="00461FCF" w:rsidP="00725B78">
      <w:pPr>
        <w:jc w:val="both"/>
      </w:pPr>
      <w:r w:rsidRPr="00E10B6E">
        <w:t xml:space="preserve">For </w:t>
      </w:r>
      <w:r w:rsidR="00BD39E2" w:rsidRPr="00E10B6E">
        <w:t xml:space="preserve">bio-based </w:t>
      </w:r>
      <w:r w:rsidR="00624872" w:rsidRPr="00E10B6E">
        <w:t>decarbonisation options</w:t>
      </w:r>
      <w:r w:rsidR="00BD39E2" w:rsidRPr="00E10B6E">
        <w:t xml:space="preserve">, some data processing was also necessary. As most </w:t>
      </w:r>
      <w:r w:rsidR="00814A70" w:rsidRPr="00E10B6E">
        <w:t>of the information about</w:t>
      </w:r>
      <w:r w:rsidR="00BD39E2" w:rsidRPr="00E10B6E">
        <w:t xml:space="preserve"> the</w:t>
      </w:r>
      <w:r w:rsidR="00814A70" w:rsidRPr="00E10B6E">
        <w:t xml:space="preserve"> </w:t>
      </w:r>
      <w:r w:rsidR="00BD39E2" w:rsidRPr="00E10B6E">
        <w:t xml:space="preserve">bio-ethanol </w:t>
      </w:r>
      <w:r w:rsidR="00D14F56" w:rsidRPr="00E10B6E">
        <w:t xml:space="preserve">and bio-methanol production </w:t>
      </w:r>
      <w:r w:rsidR="00814A70" w:rsidRPr="00E10B6E">
        <w:t>process</w:t>
      </w:r>
      <w:r w:rsidR="00D14F56" w:rsidRPr="00E10B6E">
        <w:t>es</w:t>
      </w:r>
      <w:r w:rsidR="00814A70" w:rsidRPr="00E10B6E">
        <w:t xml:space="preserve"> comes from Brazil,</w:t>
      </w:r>
      <w:r w:rsidR="00427AA5" w:rsidRPr="00E10B6E">
        <w:t xml:space="preserve"> </w:t>
      </w:r>
      <w:r w:rsidR="00814A70" w:rsidRPr="00E10B6E">
        <w:t xml:space="preserve">it was necessary to </w:t>
      </w:r>
      <w:r w:rsidR="00427AA5" w:rsidRPr="00E10B6E">
        <w:t>transform</w:t>
      </w:r>
      <w:r w:rsidR="00725B78" w:rsidRPr="00E10B6E">
        <w:t xml:space="preserve"> the data to make it coherent with the Dutch and European techno-economic situation. </w:t>
      </w:r>
      <w:r w:rsidR="004C0CDC" w:rsidRPr="00E10B6E">
        <w:t>Besides</w:t>
      </w:r>
      <w:r w:rsidR="00254FD8" w:rsidRPr="00E10B6E">
        <w:t xml:space="preserve"> </w:t>
      </w:r>
      <w:r w:rsidR="004C0CDC" w:rsidRPr="00E10B6E">
        <w:t xml:space="preserve">making the conversion of all costs </w:t>
      </w:r>
      <w:r w:rsidR="00254FD8" w:rsidRPr="00E10B6E">
        <w:t xml:space="preserve">from US dollars to euros, </w:t>
      </w:r>
      <w:r w:rsidR="004C0CDC" w:rsidRPr="00E10B6E">
        <w:t xml:space="preserve">it was necessary to </w:t>
      </w:r>
      <w:r w:rsidR="00266A58" w:rsidRPr="00E10B6E">
        <w:t xml:space="preserve">increase the levelized cost of bio-ethylene according to the price difference between Brazilian and European feedstock. </w:t>
      </w:r>
      <w:r w:rsidR="00BB3D4C" w:rsidRPr="00E10B6E">
        <w:t>A scientific paper shows that 70</w:t>
      </w:r>
      <w:r w:rsidR="00C234E2" w:rsidRPr="00E10B6E">
        <w:t xml:space="preserve">% of the bio-ethylene cost is due to feedstock </w:t>
      </w:r>
      <w:r w:rsidR="00C234E2" w:rsidRPr="00E10B6E">
        <w:lastRenderedPageBreak/>
        <w:t xml:space="preserve">costs </w:t>
      </w:r>
      <w:r w:rsidR="00C234E2" w:rsidRPr="00E10B6E">
        <w:fldChar w:fldCharType="begin" w:fldLock="1"/>
      </w:r>
      <w:r w:rsidR="004006F0" w:rsidRPr="00E10B6E">
        <w:instrText>ADDIN CSL_CITATION {"citationItems":[{"id":"ITEM-1","itemData":{"DOI":"10.1002/bbb.2069","ISSN":"1932-104X","abstract":"The urgency with which the world economy needs to be decarbonized could lead to the emergence of regions with the capacity to produce renewable feedstock such as biomass. The competitiveness of these regions could result from their ability to produce high value-added chemicals at the lowest cost. The biomass embodied in a chemical product could reduce carbon emissions, leading to net CO2 removal. The aim of this study was to test the hypothesis that bio-ethylene could make the Brazilian chemical industry more competitive. This would be achieved by applying the revenues from carbon credits associated with using ethanol and sugarcane bagasse as feedstocks for bio-ethylene production. Three production routes were compared according to their estimated cost of production in Brazil under a simplified life-cycle analysis: sugar-cane-derived ethanol to ethylene (with and without CO2 capture and storage – BECCS); bio-methanol to olefin; and conventional steam cracking of naphtha. When associated with the production of long-lasting materials, the ethanol-to-ethylene with BECCS route achieved the lower CO2 break-even price (US$75/t CO2), followed by ethanol to ethylene without BECCS (US$82/t CO2) and bio-methanol to ethylene (US$106/t CO2). Our findings highlight the advantage for the Brazilian chemical industry of implementing a national or, even better, a global carbon-pricing instrument. © 2019 Society of Chemical Industry and John Wiley &amp; Sons, Ltd.","author":[{"dropping-particle":"","family":"Oliveira","given":"Camilla C.N.","non-dropping-particle":"","parse-names":false,"suffix":""},{"dropping-particle":"","family":"Rochedo","given":"Pedro R.R.","non-dropping-particle":"","parse-names":false,"suffix":""},{"dropping-particle":"","family":"Bhardwaj","given":"Rajat","non-dropping-particle":"","parse-names":false,"suffix":""},{"dropping-particle":"","family":"Worrell","given":"Ernst","non-dropping-particle":"","parse-names":false,"suffix":""},{"dropping-particle":"","family":"Szklo","given":"Alexandre","non-dropping-particle":"","parse-names":false,"suffix":""}],"container-title":"Biofuels, Bioproducts and Biorefining","id":"ITEM-1","issue":"2","issued":{"date-parts":[["2020","3","9"]]},"page":"286-300","publisher":"John Wiley and Sons Ltd","title":"Bio‐ethylene from sugarcane as a competitiveness strategy for the Brazilian chemical industry","type":"article-journal","volume":"14"},"uris":["http://www.mendeley.com/documents/?uuid=a0b0a4f3-402a-342a-87c9-3f4d35afebef"]}],"mendeley":{"formattedCitation":"(Oliveira et al., 2020)","plainTextFormattedCitation":"(Oliveira et al., 2020)","previouslyFormattedCitation":"(Oliveira et al., 2020)"},"properties":{"noteIndex":0},"schema":"https://github.com/citation-style-language/schema/raw/master/csl-citation.json"}</w:instrText>
      </w:r>
      <w:r w:rsidR="00C234E2" w:rsidRPr="00E10B6E">
        <w:fldChar w:fldCharType="separate"/>
      </w:r>
      <w:r w:rsidR="00C234E2" w:rsidRPr="00E10B6E">
        <w:rPr>
          <w:noProof/>
        </w:rPr>
        <w:t>(Oliveira et al., 2020)</w:t>
      </w:r>
      <w:r w:rsidR="00C234E2" w:rsidRPr="00E10B6E">
        <w:fldChar w:fldCharType="end"/>
      </w:r>
      <w:r w:rsidR="00C234E2" w:rsidRPr="00E10B6E">
        <w:t>, and the current price of ethanol in Europe is 50% higher than</w:t>
      </w:r>
      <w:r w:rsidR="004006F0" w:rsidRPr="00E10B6E">
        <w:t xml:space="preserve"> the same product in Brazil </w:t>
      </w:r>
      <w:r w:rsidR="004006F0" w:rsidRPr="00E10B6E">
        <w:fldChar w:fldCharType="begin" w:fldLock="1"/>
      </w:r>
      <w:r w:rsidR="001833F3" w:rsidRPr="00E10B6E">
        <w:instrText>ADDIN CSL_CITATION {"citationItems":[{"id":"ITEM-1","itemData":{"URL":"https://www.globalpetrolprices.com/ethanol_prices/","accessed":{"date-parts":[["2020","7","17"]]},"author":[{"dropping-particle":"","family":"GlobalPetrolPrices","given":"","non-dropping-particle":"","parse-names":false,"suffix":""}],"id":"ITEM-1","issued":{"date-parts":[["2020"]]},"title":"Ethanol prices around the world","type":"webpage"},"uris":["http://www.mendeley.com/documents/?uuid=93089f1f-0238-3994-9d4f-81044dd1ccb7"]}],"mendeley":{"formattedCitation":"(GlobalPetrolPrices, 2020)","plainTextFormattedCitation":"(GlobalPetrolPrices, 2020)","previouslyFormattedCitation":"(GlobalPetrolPrices, 2020)"},"properties":{"noteIndex":0},"schema":"https://github.com/citation-style-language/schema/raw/master/csl-citation.json"}</w:instrText>
      </w:r>
      <w:r w:rsidR="004006F0" w:rsidRPr="00E10B6E">
        <w:fldChar w:fldCharType="separate"/>
      </w:r>
      <w:r w:rsidR="004006F0" w:rsidRPr="00E10B6E">
        <w:rPr>
          <w:noProof/>
        </w:rPr>
        <w:t>(GlobalPetrolPrices, 2020)</w:t>
      </w:r>
      <w:r w:rsidR="004006F0" w:rsidRPr="00E10B6E">
        <w:fldChar w:fldCharType="end"/>
      </w:r>
      <w:r w:rsidR="004006F0" w:rsidRPr="00E10B6E">
        <w:t>. Therefore, the price was adjusted as it follows:</w:t>
      </w:r>
    </w:p>
    <w:p w14:paraId="05FFF66E" w14:textId="2183F25A" w:rsidR="004006F0" w:rsidRPr="00E10B6E" w:rsidRDefault="00722F9A" w:rsidP="002F23C5">
      <w:pPr>
        <w:ind w:left="720" w:firstLine="7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LC</m:t>
              </m:r>
            </m:e>
            <m:sub>
              <m:r>
                <w:rPr>
                  <w:rFonts w:ascii="Cambria Math" w:hAnsi="Cambria Math"/>
                </w:rPr>
                <m:t>bio-ethylene,EU</m:t>
              </m:r>
            </m:sub>
          </m:sSub>
          <m:r>
            <w:rPr>
              <w:rFonts w:ascii="Cambria Math" w:hAnsi="Cambria Math"/>
            </w:rPr>
            <m:t>=</m:t>
          </m:r>
          <m:sSub>
            <m:sSubPr>
              <m:ctrlPr>
                <w:rPr>
                  <w:rFonts w:ascii="Cambria Math" w:hAnsi="Cambria Math"/>
                  <w:i/>
                </w:rPr>
              </m:ctrlPr>
            </m:sSubPr>
            <m:e>
              <m:r>
                <w:rPr>
                  <w:rFonts w:ascii="Cambria Math" w:hAnsi="Cambria Math"/>
                </w:rPr>
                <m:t>LC</m:t>
              </m:r>
            </m:e>
            <m:sub>
              <m:r>
                <w:rPr>
                  <w:rFonts w:ascii="Cambria Math" w:hAnsi="Cambria Math"/>
                </w:rPr>
                <m:t>bio-ethylene,BR</m:t>
              </m:r>
            </m:sub>
          </m:sSub>
          <m:r>
            <w:rPr>
              <w:rFonts w:ascii="Cambria Math" w:hAnsi="Cambria Math"/>
            </w:rPr>
            <m:t>∙</m:t>
          </m:r>
          <m:d>
            <m:dPr>
              <m:ctrlPr>
                <w:rPr>
                  <w:rFonts w:ascii="Cambria Math" w:hAnsi="Cambria Math"/>
                  <w:i/>
                </w:rPr>
              </m:ctrlPr>
            </m:dPr>
            <m:e>
              <m:r>
                <w:rPr>
                  <w:rFonts w:ascii="Cambria Math" w:hAnsi="Cambria Math"/>
                </w:rPr>
                <m:t>1+0.7∙0.5</m:t>
              </m:r>
            </m:e>
          </m:d>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 ethylene</m:t>
                  </m:r>
                </m:den>
              </m:f>
            </m:e>
          </m:d>
        </m:oMath>
      </m:oMathPara>
    </w:p>
    <w:p w14:paraId="419CC41A" w14:textId="05E6E40A" w:rsidR="00865589" w:rsidRPr="00E10B6E" w:rsidRDefault="000F7C7D" w:rsidP="002F23C5">
      <w:pPr>
        <w:jc w:val="both"/>
      </w:pPr>
      <w:r w:rsidRPr="00E10B6E">
        <w:t xml:space="preserve">Regarding </w:t>
      </w:r>
      <w:r w:rsidR="00890475" w:rsidRPr="00E10B6E">
        <w:t xml:space="preserve">the environmental impact, two cases were considered: a best-case in which </w:t>
      </w:r>
      <w:r w:rsidR="00353A9A" w:rsidRPr="00E10B6E">
        <w:t xml:space="preserve">all the carbon dioxide absorbed by the plants is permanently sequestered from the atmosphere (only possible if 100% of the bio-polyolefins </w:t>
      </w:r>
      <w:r w:rsidR="00AF7239" w:rsidRPr="00E10B6E">
        <w:t xml:space="preserve">are used for long-use objects and/or get fully recycled), and a more realistic case in which </w:t>
      </w:r>
      <w:r w:rsidR="00547CAE" w:rsidRPr="00E10B6E">
        <w:t>only 40% of the bio-polyolefins stay in circulation</w:t>
      </w:r>
      <w:r w:rsidR="00255F6C" w:rsidRPr="00E10B6E">
        <w:t xml:space="preserve"> (thus preventing 40% of the absorbed carbon to be released again in the atmosphere). </w:t>
      </w:r>
      <w:r w:rsidR="00AE3B8F" w:rsidRPr="00E10B6E">
        <w:t xml:space="preserve">This value was chosen because the current plastic recycling rate in the Netherlands is </w:t>
      </w:r>
      <w:r w:rsidR="00F1282E" w:rsidRPr="00E10B6E">
        <w:t>36%, and the share is likely to increase in the following years thanks to improvements in the collection system</w:t>
      </w:r>
      <w:r w:rsidR="00D65BA9" w:rsidRPr="00E10B6E">
        <w:t xml:space="preserve"> and innovations of recycling technologies. </w:t>
      </w:r>
      <w:r w:rsidR="00255F6C" w:rsidRPr="00E10B6E">
        <w:t>The following formulas were applied:</w:t>
      </w:r>
    </w:p>
    <w:p w14:paraId="667E9D5C" w14:textId="03DA2762" w:rsidR="00255F6C" w:rsidRPr="00E10B6E" w:rsidRDefault="00722F9A" w:rsidP="00261159">
      <w:pPr>
        <w:ind w:left="720" w:firstLine="7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GHG</m:t>
              </m:r>
            </m:e>
            <m:sub>
              <m:r>
                <w:rPr>
                  <w:rFonts w:ascii="Cambria Math" w:hAnsi="Cambria Math"/>
                </w:rPr>
                <m:t>best-case</m:t>
              </m:r>
            </m:sub>
          </m:sSub>
          <m:r>
            <w:rPr>
              <w:rFonts w:ascii="Cambria Math" w:hAnsi="Cambria Math"/>
            </w:rPr>
            <m:t>=</m:t>
          </m:r>
          <m:sSub>
            <m:sSubPr>
              <m:ctrlPr>
                <w:rPr>
                  <w:rFonts w:ascii="Cambria Math" w:hAnsi="Cambria Math"/>
                  <w:i/>
                </w:rPr>
              </m:ctrlPr>
            </m:sSubPr>
            <m:e>
              <m:r>
                <w:rPr>
                  <w:rFonts w:ascii="Cambria Math" w:hAnsi="Cambria Math"/>
                </w:rPr>
                <m:t>GHG</m:t>
              </m:r>
            </m:e>
            <m:sub>
              <m:r>
                <w:rPr>
                  <w:rFonts w:ascii="Cambria Math" w:hAnsi="Cambria Math"/>
                </w:rPr>
                <m:t>process</m:t>
              </m:r>
            </m:sub>
          </m:sSub>
          <m:r>
            <w:rPr>
              <w:rFonts w:ascii="Cambria Math" w:hAnsi="Cambria Math"/>
            </w:rPr>
            <m:t>-</m:t>
          </m:r>
          <m:sSub>
            <m:sSubPr>
              <m:ctrlPr>
                <w:rPr>
                  <w:rFonts w:ascii="Cambria Math" w:hAnsi="Cambria Math"/>
                  <w:i/>
                </w:rPr>
              </m:ctrlPr>
            </m:sSubPr>
            <m:e>
              <m:r>
                <w:rPr>
                  <w:rFonts w:ascii="Cambria Math" w:hAnsi="Cambria Math"/>
                </w:rPr>
                <m:t>GHG</m:t>
              </m:r>
            </m:e>
            <m:sub>
              <m:r>
                <w:rPr>
                  <w:rFonts w:ascii="Cambria Math" w:hAnsi="Cambria Math"/>
                </w:rPr>
                <m:t>absorbed</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 CO</m:t>
                      </m:r>
                    </m:e>
                    <m:sub>
                      <m:r>
                        <w:rPr>
                          <w:rFonts w:ascii="Cambria Math" w:hAnsi="Cambria Math"/>
                        </w:rPr>
                        <m:t>2</m:t>
                      </m:r>
                    </m:sub>
                  </m:sSub>
                  <m:r>
                    <w:rPr>
                      <w:rFonts w:ascii="Cambria Math" w:hAnsi="Cambria Math"/>
                    </w:rPr>
                    <m:t>eq</m:t>
                  </m:r>
                </m:num>
                <m:den>
                  <m:r>
                    <w:rPr>
                      <w:rFonts w:ascii="Cambria Math" w:hAnsi="Cambria Math"/>
                    </w:rPr>
                    <m:t>t ethylene</m:t>
                  </m:r>
                </m:den>
              </m:f>
            </m:e>
          </m:d>
        </m:oMath>
      </m:oMathPara>
    </w:p>
    <w:p w14:paraId="2C0A34CA" w14:textId="1B9F09A9" w:rsidR="00261159" w:rsidRPr="00E10B6E" w:rsidRDefault="00722F9A" w:rsidP="00261159">
      <w:pPr>
        <w:ind w:left="720" w:firstLine="720"/>
        <w:jc w:val="both"/>
      </w:pPr>
      <m:oMathPara>
        <m:oMathParaPr>
          <m:jc m:val="left"/>
        </m:oMathParaPr>
        <m:oMath>
          <m:sSub>
            <m:sSubPr>
              <m:ctrlPr>
                <w:rPr>
                  <w:rFonts w:ascii="Cambria Math" w:hAnsi="Cambria Math"/>
                  <w:i/>
                </w:rPr>
              </m:ctrlPr>
            </m:sSubPr>
            <m:e>
              <m:r>
                <w:rPr>
                  <w:rFonts w:ascii="Cambria Math" w:hAnsi="Cambria Math"/>
                </w:rPr>
                <m:t>GHG</m:t>
              </m:r>
            </m:e>
            <m:sub>
              <m:r>
                <w:rPr>
                  <w:rFonts w:ascii="Cambria Math" w:hAnsi="Cambria Math"/>
                </w:rPr>
                <m:t>40%-case</m:t>
              </m:r>
            </m:sub>
          </m:sSub>
          <m:r>
            <w:rPr>
              <w:rFonts w:ascii="Cambria Math" w:hAnsi="Cambria Math"/>
            </w:rPr>
            <m:t>=</m:t>
          </m:r>
          <m:sSub>
            <m:sSubPr>
              <m:ctrlPr>
                <w:rPr>
                  <w:rFonts w:ascii="Cambria Math" w:hAnsi="Cambria Math"/>
                  <w:i/>
                </w:rPr>
              </m:ctrlPr>
            </m:sSubPr>
            <m:e>
              <m:r>
                <w:rPr>
                  <w:rFonts w:ascii="Cambria Math" w:hAnsi="Cambria Math"/>
                </w:rPr>
                <m:t>GHG</m:t>
              </m:r>
            </m:e>
            <m:sub>
              <m:r>
                <w:rPr>
                  <w:rFonts w:ascii="Cambria Math" w:hAnsi="Cambria Math"/>
                </w:rPr>
                <m:t>process</m:t>
              </m:r>
            </m:sub>
          </m:sSub>
          <m:r>
            <w:rPr>
              <w:rFonts w:ascii="Cambria Math" w:hAnsi="Cambria Math"/>
            </w:rPr>
            <m:t>-</m:t>
          </m:r>
          <m:sSub>
            <m:sSubPr>
              <m:ctrlPr>
                <w:rPr>
                  <w:rFonts w:ascii="Cambria Math" w:hAnsi="Cambria Math"/>
                  <w:i/>
                </w:rPr>
              </m:ctrlPr>
            </m:sSubPr>
            <m:e>
              <m:r>
                <w:rPr>
                  <w:rFonts w:ascii="Cambria Math" w:hAnsi="Cambria Math"/>
                </w:rPr>
                <m:t>0.4∙GHG</m:t>
              </m:r>
            </m:e>
            <m:sub>
              <m:r>
                <w:rPr>
                  <w:rFonts w:ascii="Cambria Math" w:hAnsi="Cambria Math"/>
                </w:rPr>
                <m:t>absorbed</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 CO</m:t>
                      </m:r>
                    </m:e>
                    <m:sub>
                      <m:r>
                        <w:rPr>
                          <w:rFonts w:ascii="Cambria Math" w:hAnsi="Cambria Math"/>
                        </w:rPr>
                        <m:t>2</m:t>
                      </m:r>
                    </m:sub>
                  </m:sSub>
                  <m:r>
                    <w:rPr>
                      <w:rFonts w:ascii="Cambria Math" w:hAnsi="Cambria Math"/>
                    </w:rPr>
                    <m:t>eq</m:t>
                  </m:r>
                </m:num>
                <m:den>
                  <m:r>
                    <w:rPr>
                      <w:rFonts w:ascii="Cambria Math" w:hAnsi="Cambria Math"/>
                    </w:rPr>
                    <m:t>t ethylene</m:t>
                  </m:r>
                </m:den>
              </m:f>
            </m:e>
          </m:d>
        </m:oMath>
      </m:oMathPara>
    </w:p>
    <w:p w14:paraId="449492B0" w14:textId="4E44EDC7" w:rsidR="009F3F06" w:rsidRPr="00E10B6E" w:rsidRDefault="00865589" w:rsidP="002F23C5">
      <w:pPr>
        <w:jc w:val="both"/>
      </w:pPr>
      <w:r w:rsidRPr="00E10B6E">
        <w:t xml:space="preserve">Finally, a </w:t>
      </w:r>
      <w:r w:rsidR="006655B8" w:rsidRPr="00E10B6E">
        <w:t xml:space="preserve">break-even </w:t>
      </w:r>
      <w:r w:rsidRPr="00E10B6E">
        <w:t>carbon price was calculated for both cases, showing the value necessary to make bio-based polyolefins as economically convenient as their fossil counterparts.</w:t>
      </w:r>
    </w:p>
    <w:p w14:paraId="7F88C241" w14:textId="434E6052" w:rsidR="002F23C5" w:rsidRPr="00E10B6E" w:rsidRDefault="00722F9A" w:rsidP="00AE3B8F">
      <w:pPr>
        <w:ind w:left="720" w:firstLine="720"/>
        <w:jc w:val="both"/>
      </w:pPr>
      <m:oMathPara>
        <m:oMathParaPr>
          <m:jc m:val="left"/>
        </m:oMathParaPr>
        <m:oMath>
          <m:sSub>
            <m:sSubPr>
              <m:ctrlPr>
                <w:rPr>
                  <w:rFonts w:ascii="Cambria Math" w:hAnsi="Cambria Math"/>
                  <w:i/>
                </w:rPr>
              </m:ctrlPr>
            </m:sSubPr>
            <m:e>
              <m:r>
                <w:rPr>
                  <w:rFonts w:ascii="Cambria Math" w:hAnsi="Cambria Math"/>
                </w:rPr>
                <m:t>Carbon price</m:t>
              </m:r>
            </m:e>
            <m:sub>
              <m:r>
                <w:rPr>
                  <w:rFonts w:ascii="Cambria Math" w:hAnsi="Cambria Math"/>
                </w:rPr>
                <m:t>break-even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LC</m:t>
                  </m:r>
                </m:e>
                <m:sub>
                  <m:r>
                    <w:rPr>
                      <w:rFonts w:ascii="Cambria Math" w:hAnsi="Cambria Math"/>
                    </w:rPr>
                    <m:t>fossil</m:t>
                  </m:r>
                </m:sub>
              </m:sSub>
              <m:r>
                <w:rPr>
                  <w:rFonts w:ascii="Cambria Math" w:hAnsi="Cambria Math"/>
                </w:rPr>
                <m:t>-</m:t>
              </m:r>
              <m:sSub>
                <m:sSubPr>
                  <m:ctrlPr>
                    <w:rPr>
                      <w:rFonts w:ascii="Cambria Math" w:hAnsi="Cambria Math"/>
                      <w:i/>
                    </w:rPr>
                  </m:ctrlPr>
                </m:sSubPr>
                <m:e>
                  <m:r>
                    <w:rPr>
                      <w:rFonts w:ascii="Cambria Math" w:hAnsi="Cambria Math"/>
                    </w:rPr>
                    <m:t>LC</m:t>
                  </m:r>
                </m:e>
                <m:sub>
                  <m:r>
                    <w:rPr>
                      <w:rFonts w:ascii="Cambria Math" w:hAnsi="Cambria Math"/>
                    </w:rPr>
                    <m:t>biobased</m:t>
                  </m:r>
                </m:sub>
              </m:sSub>
            </m:num>
            <m:den>
              <m:sSub>
                <m:sSubPr>
                  <m:ctrlPr>
                    <w:rPr>
                      <w:rFonts w:ascii="Cambria Math" w:hAnsi="Cambria Math"/>
                      <w:i/>
                    </w:rPr>
                  </m:ctrlPr>
                </m:sSubPr>
                <m:e>
                  <m:r>
                    <w:rPr>
                      <w:rFonts w:ascii="Cambria Math" w:hAnsi="Cambria Math"/>
                    </w:rPr>
                    <m:t>GHG</m:t>
                  </m:r>
                </m:e>
                <m:sub>
                  <m:r>
                    <w:rPr>
                      <w:rFonts w:ascii="Cambria Math" w:hAnsi="Cambria Math"/>
                    </w:rPr>
                    <m:t>biobased</m:t>
                  </m:r>
                </m:sub>
              </m:sSub>
              <m:r>
                <w:rPr>
                  <w:rFonts w:ascii="Cambria Math" w:hAnsi="Cambria Math"/>
                </w:rPr>
                <m:t>-</m:t>
              </m:r>
              <m:sSub>
                <m:sSubPr>
                  <m:ctrlPr>
                    <w:rPr>
                      <w:rFonts w:ascii="Cambria Math" w:hAnsi="Cambria Math"/>
                      <w:i/>
                    </w:rPr>
                  </m:ctrlPr>
                </m:sSubPr>
                <m:e>
                  <m:r>
                    <w:rPr>
                      <w:rFonts w:ascii="Cambria Math" w:hAnsi="Cambria Math"/>
                    </w:rPr>
                    <m:t>GHG</m:t>
                  </m:r>
                </m:e>
                <m:sub>
                  <m:r>
                    <w:rPr>
                      <w:rFonts w:ascii="Cambria Math" w:hAnsi="Cambria Math"/>
                    </w:rPr>
                    <m:t>fossil</m:t>
                  </m:r>
                </m:sub>
              </m:sSub>
            </m:den>
          </m:f>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t</m:t>
                  </m:r>
                  <m:sSub>
                    <m:sSubPr>
                      <m:ctrlPr>
                        <w:rPr>
                          <w:rFonts w:ascii="Cambria Math" w:hAnsi="Cambria Math"/>
                          <w:i/>
                        </w:rPr>
                      </m:ctrlPr>
                    </m:sSubPr>
                    <m:e>
                      <m:r>
                        <w:rPr>
                          <w:rFonts w:ascii="Cambria Math" w:hAnsi="Cambria Math"/>
                        </w:rPr>
                        <m:t xml:space="preserve"> CO</m:t>
                      </m:r>
                    </m:e>
                    <m:sub>
                      <m:r>
                        <w:rPr>
                          <w:rFonts w:ascii="Cambria Math" w:hAnsi="Cambria Math"/>
                        </w:rPr>
                        <m:t>2</m:t>
                      </m:r>
                    </m:sub>
                  </m:sSub>
                  <m:r>
                    <w:rPr>
                      <w:rFonts w:ascii="Cambria Math" w:hAnsi="Cambria Math"/>
                    </w:rPr>
                    <m:t xml:space="preserve">eq </m:t>
                  </m:r>
                </m:den>
              </m:f>
            </m:e>
          </m:d>
        </m:oMath>
      </m:oMathPara>
    </w:p>
    <w:p w14:paraId="7E405293" w14:textId="41112B8E" w:rsidR="00EB4E0F" w:rsidRPr="00E10B6E" w:rsidRDefault="001B566D" w:rsidP="00461FCF">
      <w:pPr>
        <w:jc w:val="both"/>
      </w:pPr>
      <w:r w:rsidRPr="00E10B6E">
        <w:t xml:space="preserve">All the indicators were then collected together in a table to </w:t>
      </w:r>
      <w:r w:rsidR="00775A2F" w:rsidRPr="00E10B6E">
        <w:t>make the comparison with fossil-based polyolefins easier.</w:t>
      </w:r>
      <w:r w:rsidR="001D01E3" w:rsidRPr="00E10B6E">
        <w:t xml:space="preserve"> A calculation was also made to show how much land would be required if the Netherlands </w:t>
      </w:r>
      <w:r w:rsidR="00070B98" w:rsidRPr="00E10B6E">
        <w:t>were</w:t>
      </w:r>
      <w:r w:rsidR="001D01E3" w:rsidRPr="00E10B6E">
        <w:t xml:space="preserve"> to produce </w:t>
      </w:r>
      <w:r w:rsidR="00EB4E0F" w:rsidRPr="00E10B6E">
        <w:t xml:space="preserve">all the </w:t>
      </w:r>
      <w:r w:rsidR="00AE0012" w:rsidRPr="00E10B6E">
        <w:t xml:space="preserve">bio-PE starting from </w:t>
      </w:r>
      <w:r w:rsidR="00070B98" w:rsidRPr="00E10B6E">
        <w:t>Dutch sugar beets</w:t>
      </w:r>
      <w:r w:rsidR="00EB4E0F" w:rsidRPr="00E10B6E">
        <w:t>:</w:t>
      </w:r>
    </w:p>
    <w:p w14:paraId="629525E1" w14:textId="62CE2F01" w:rsidR="001B413C" w:rsidRPr="00E10B6E" w:rsidRDefault="005F7F1D" w:rsidP="00B445BE">
      <w:pPr>
        <w:ind w:left="720" w:firstLine="720"/>
        <w:jc w:val="both"/>
      </w:pPr>
      <m:oMathPara>
        <m:oMathParaPr>
          <m:jc m:val="left"/>
        </m:oMathParaPr>
        <m:oMath>
          <m:r>
            <w:rPr>
              <w:rFonts w:ascii="Cambria Math" w:hAnsi="Cambria Math"/>
            </w:rPr>
            <m:t>Share of arable land=</m:t>
          </m:r>
          <m:f>
            <m:fPr>
              <m:ctrlPr>
                <w:rPr>
                  <w:rFonts w:ascii="Cambria Math" w:hAnsi="Cambria Math"/>
                  <w:i/>
                </w:rPr>
              </m:ctrlPr>
            </m:fPr>
            <m:num>
              <m:r>
                <w:rPr>
                  <w:rFonts w:ascii="Cambria Math" w:hAnsi="Cambria Math"/>
                </w:rPr>
                <m:t>kt PE ∙Ml of ethanol per kt PE∙Land per Ml of ethanol</m:t>
              </m:r>
            </m:num>
            <m:den>
              <m:r>
                <w:rPr>
                  <w:rFonts w:ascii="Cambria Math" w:hAnsi="Cambria Math"/>
                </w:rPr>
                <m:t>Dutch arable land</m:t>
              </m:r>
            </m:den>
          </m:f>
        </m:oMath>
      </m:oMathPara>
    </w:p>
    <w:p w14:paraId="07A3F144" w14:textId="77777777" w:rsidR="007B153B" w:rsidRPr="00E10B6E" w:rsidRDefault="007B153B">
      <w:pPr>
        <w:rPr>
          <w:rFonts w:asciiTheme="majorHAnsi" w:eastAsiaTheme="majorEastAsia" w:hAnsiTheme="majorHAnsi" w:cstheme="majorBidi"/>
          <w:b/>
          <w:bCs/>
          <w:color w:val="2F5496" w:themeColor="accent1" w:themeShade="BF"/>
          <w:sz w:val="40"/>
          <w:szCs w:val="40"/>
        </w:rPr>
      </w:pPr>
      <w:r w:rsidRPr="00E10B6E">
        <w:rPr>
          <w:b/>
          <w:bCs/>
          <w:sz w:val="40"/>
          <w:szCs w:val="40"/>
        </w:rPr>
        <w:br w:type="page"/>
      </w:r>
    </w:p>
    <w:p w14:paraId="48287EE3" w14:textId="2560A4ED" w:rsidR="00736843" w:rsidRPr="00E10B6E" w:rsidRDefault="00BD54EB" w:rsidP="0078694D">
      <w:pPr>
        <w:pStyle w:val="Heading1"/>
        <w:spacing w:before="480"/>
        <w:rPr>
          <w:b/>
          <w:bCs/>
          <w:sz w:val="40"/>
          <w:szCs w:val="40"/>
        </w:rPr>
      </w:pPr>
      <w:bookmarkStart w:id="22" w:name="_Toc54274789"/>
      <w:r w:rsidRPr="00E10B6E">
        <w:rPr>
          <w:b/>
          <w:bCs/>
          <w:sz w:val="40"/>
          <w:szCs w:val="40"/>
        </w:rPr>
        <w:lastRenderedPageBreak/>
        <w:t>4</w:t>
      </w:r>
      <w:r w:rsidR="001C1D78" w:rsidRPr="00E10B6E">
        <w:rPr>
          <w:b/>
          <w:bCs/>
          <w:sz w:val="40"/>
          <w:szCs w:val="40"/>
        </w:rPr>
        <w:t>.</w:t>
      </w:r>
      <w:r w:rsidRPr="00E10B6E">
        <w:rPr>
          <w:b/>
          <w:bCs/>
          <w:sz w:val="40"/>
          <w:szCs w:val="40"/>
        </w:rPr>
        <w:t xml:space="preserve"> </w:t>
      </w:r>
      <w:r w:rsidR="00681C00" w:rsidRPr="00E10B6E">
        <w:rPr>
          <w:b/>
          <w:bCs/>
          <w:sz w:val="40"/>
          <w:szCs w:val="40"/>
        </w:rPr>
        <w:t>RESULTS</w:t>
      </w:r>
      <w:bookmarkEnd w:id="22"/>
    </w:p>
    <w:p w14:paraId="1A2CFB32" w14:textId="2913BF63" w:rsidR="00681C00" w:rsidRPr="00E10B6E" w:rsidRDefault="00681C00" w:rsidP="00681C00">
      <w:pPr>
        <w:pStyle w:val="Heading2"/>
      </w:pPr>
      <w:bookmarkStart w:id="23" w:name="_Toc34822199"/>
      <w:bookmarkStart w:id="24" w:name="_Toc54274790"/>
      <w:r w:rsidRPr="00E10B6E">
        <w:t xml:space="preserve">4.1 </w:t>
      </w:r>
      <w:r w:rsidR="00EB6E3D" w:rsidRPr="00E10B6E">
        <w:t>Polyolefin products and applications</w:t>
      </w:r>
      <w:bookmarkEnd w:id="23"/>
      <w:bookmarkEnd w:id="24"/>
    </w:p>
    <w:p w14:paraId="4AAD6C7A" w14:textId="4D3173BF" w:rsidR="00681C00" w:rsidRPr="00E10B6E" w:rsidRDefault="00332E9C" w:rsidP="001833F3">
      <w:pPr>
        <w:jc w:val="both"/>
      </w:pPr>
      <w:r w:rsidRPr="00E10B6E">
        <w:t>This section answer</w:t>
      </w:r>
      <w:r w:rsidR="001833F3" w:rsidRPr="00E10B6E">
        <w:t>s</w:t>
      </w:r>
      <w:r w:rsidRPr="00E10B6E">
        <w:t xml:space="preserve"> the first research question</w:t>
      </w:r>
      <w:r w:rsidR="003D38B9" w:rsidRPr="00E10B6E">
        <w:t>:</w:t>
      </w:r>
      <w:r w:rsidRPr="00E10B6E">
        <w:t xml:space="preserve"> </w:t>
      </w:r>
      <w:r w:rsidR="003D38B9" w:rsidRPr="00E10B6E">
        <w:t>“</w:t>
      </w:r>
      <w:r w:rsidRPr="00E10B6E">
        <w:rPr>
          <w:i/>
          <w:iCs/>
        </w:rPr>
        <w:t>What are the main applications of polyolefins, and what is the volume demand of each consumer sector in the Netherlands?</w:t>
      </w:r>
      <w:r w:rsidR="003D38B9" w:rsidRPr="00E10B6E">
        <w:t>”</w:t>
      </w:r>
      <w:r w:rsidR="001833F3" w:rsidRPr="00E10B6E">
        <w:t xml:space="preserve">. </w:t>
      </w:r>
      <w:r w:rsidR="00C12F58" w:rsidRPr="00E10B6E">
        <w:t>In the Netherlands</w:t>
      </w:r>
      <w:r w:rsidR="00834F85" w:rsidRPr="00E10B6E">
        <w:t>,</w:t>
      </w:r>
      <w:r w:rsidR="00C12F58" w:rsidRPr="00E10B6E">
        <w:t xml:space="preserve"> the annual demand for plastics is equal to 2.2 million tons, </w:t>
      </w:r>
      <w:r w:rsidR="00834F85" w:rsidRPr="00E10B6E">
        <w:t>of which about half are polyolefins such as LDPE, LLDPE, HDPE, and PP</w:t>
      </w:r>
      <w:r w:rsidR="001833F3" w:rsidRPr="00E10B6E">
        <w:t xml:space="preserve"> </w:t>
      </w:r>
      <w:r w:rsidR="001833F3" w:rsidRPr="00E10B6E">
        <w:fldChar w:fldCharType="begin" w:fldLock="1"/>
      </w:r>
      <w:r w:rsidR="00BA60A6"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1833F3" w:rsidRPr="00E10B6E">
        <w:fldChar w:fldCharType="separate"/>
      </w:r>
      <w:r w:rsidR="001833F3" w:rsidRPr="00E10B6E">
        <w:rPr>
          <w:noProof/>
        </w:rPr>
        <w:t>(PlasticsEurope, 2019)</w:t>
      </w:r>
      <w:r w:rsidR="001833F3" w:rsidRPr="00E10B6E">
        <w:fldChar w:fldCharType="end"/>
      </w:r>
      <w:r w:rsidR="00834F85" w:rsidRPr="00E10B6E">
        <w:t>.</w:t>
      </w:r>
      <w:r w:rsidR="001833F3" w:rsidRPr="00E10B6E">
        <w:t xml:space="preserve"> Packaging is the biggest sector overall, and although plastics only account for 18% of all packaging materials (by weight) in the Netherlands, it makes up 43% of the total revenue, which was over 6 billion euros in 2016 </w:t>
      </w:r>
      <w:r w:rsidR="001833F3" w:rsidRPr="00E10B6E">
        <w:fldChar w:fldCharType="begin" w:fldLock="1"/>
      </w:r>
      <w:r w:rsidR="001833F3" w:rsidRPr="00E10B6E">
        <w:instrText>ADDIN CSL_CITATION {"citationItems":[{"id":"ITEM-1","itemData":{"URL":"https://insights.abnamro.nl/en/2017/05/revenue-of-the-dutch-packaging-industry-set-to-reach-e6-5bn-in-2018/","accessed":{"date-parts":[["2020","4","27"]]},"author":[{"dropping-particle":"","family":"ABN AMRO","given":"","non-dropping-particle":"","parse-names":false,"suffix":""}],"id":"ITEM-1","issued":{"date-parts":[["2017"]]},"title":"Revenue of the Dutch packaging industry set to reach €6.5bn in 2018","type":"webpage"},"uris":["http://www.mendeley.com/documents/?uuid=2ebddd6f-c243-42d2-be02-b3cac8e087a9"]}],"mendeley":{"formattedCitation":"(ABN AMRO, 2017)","plainTextFormattedCitation":"(ABN AMRO, 2017)","previouslyFormattedCitation":"(ABN AMRO, 2017)"},"properties":{"noteIndex":0},"schema":"https://github.com/citation-style-language/schema/raw/master/csl-citation.json"}</w:instrText>
      </w:r>
      <w:r w:rsidR="001833F3" w:rsidRPr="00E10B6E">
        <w:fldChar w:fldCharType="separate"/>
      </w:r>
      <w:r w:rsidR="001833F3" w:rsidRPr="00E10B6E">
        <w:rPr>
          <w:noProof/>
        </w:rPr>
        <w:t>(ABN AMRO, 2017)</w:t>
      </w:r>
      <w:r w:rsidR="001833F3" w:rsidRPr="00E10B6E">
        <w:fldChar w:fldCharType="end"/>
      </w:r>
      <w:r w:rsidR="001833F3" w:rsidRPr="00E10B6E">
        <w:t xml:space="preserve">. The following </w:t>
      </w:r>
      <w:r w:rsidR="003511F9" w:rsidRPr="00E10B6E">
        <w:t>sub-section introduce</w:t>
      </w:r>
      <w:r w:rsidR="00F52340" w:rsidRPr="00E10B6E">
        <w:t>s</w:t>
      </w:r>
      <w:r w:rsidR="003511F9" w:rsidRPr="00E10B6E">
        <w:t xml:space="preserve"> the main characteristics and applications of each polyolefin, and present </w:t>
      </w:r>
      <w:r w:rsidR="00E14AF1" w:rsidRPr="00E10B6E">
        <w:t>treemap graphs depicting the volume demand of the main Dutch consumer sectors in 2018</w:t>
      </w:r>
      <w:r w:rsidR="00062F8A" w:rsidRPr="00E10B6E">
        <w:t xml:space="preserve">, also providing an </w:t>
      </w:r>
      <w:r w:rsidR="00F52340" w:rsidRPr="00E10B6E">
        <w:t>approximation</w:t>
      </w:r>
      <w:r w:rsidR="00062F8A" w:rsidRPr="00E10B6E">
        <w:t xml:space="preserve"> of the market value.</w:t>
      </w:r>
    </w:p>
    <w:p w14:paraId="2D954C66" w14:textId="124982C6" w:rsidR="004E487E" w:rsidRPr="00E10B6E" w:rsidRDefault="004E487E" w:rsidP="00914619">
      <w:pPr>
        <w:pStyle w:val="Heading3"/>
      </w:pPr>
      <w:bookmarkStart w:id="25" w:name="_Toc54274791"/>
      <w:r w:rsidRPr="00E10B6E">
        <w:t>4.2.1 L</w:t>
      </w:r>
      <w:r w:rsidR="00936CF7" w:rsidRPr="00E10B6E">
        <w:t>ow-</w:t>
      </w:r>
      <w:r w:rsidR="005C5A88" w:rsidRPr="00E10B6E">
        <w:t>density Polyethylene</w:t>
      </w:r>
      <w:bookmarkEnd w:id="25"/>
    </w:p>
    <w:p w14:paraId="10E34894" w14:textId="7E9A025D" w:rsidR="004E487E" w:rsidRPr="00E10B6E" w:rsidRDefault="004E487E" w:rsidP="00A647BB">
      <w:pPr>
        <w:jc w:val="both"/>
      </w:pPr>
      <w:r w:rsidRPr="00E10B6E">
        <w:t xml:space="preserve">Low-Density Polyethylene (LDPE) is a flexible and translucent plastic with good resistance to electricity and chemicals like alcohols, acids, and dilute alkalis </w:t>
      </w:r>
      <w:r w:rsidRPr="00E10B6E">
        <w:fldChar w:fldCharType="begin" w:fldLock="1"/>
      </w:r>
      <w:r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Pr="00E10B6E">
        <w:fldChar w:fldCharType="separate"/>
      </w:r>
      <w:r w:rsidRPr="00E10B6E">
        <w:rPr>
          <w:noProof/>
        </w:rPr>
        <w:t>(Omnexus, 2020a)</w:t>
      </w:r>
      <w:r w:rsidRPr="00E10B6E">
        <w:fldChar w:fldCharType="end"/>
      </w:r>
      <w:r w:rsidRPr="00E10B6E">
        <w:t xml:space="preserve">. </w:t>
      </w:r>
      <w:r w:rsidRPr="00E10B6E">
        <w:fldChar w:fldCharType="begin"/>
      </w:r>
      <w:r w:rsidRPr="00E10B6E">
        <w:instrText xml:space="preserve"> REF _Ref46354984 \h </w:instrText>
      </w:r>
      <w:r w:rsidRPr="00E10B6E">
        <w:fldChar w:fldCharType="separate"/>
      </w:r>
      <w:r w:rsidR="00983F73" w:rsidRPr="00E10B6E">
        <w:t xml:space="preserve">Table </w:t>
      </w:r>
      <w:r w:rsidR="00983F73">
        <w:rPr>
          <w:noProof/>
        </w:rPr>
        <w:t>1</w:t>
      </w:r>
      <w:r w:rsidRPr="00E10B6E">
        <w:fldChar w:fldCharType="end"/>
      </w:r>
      <w:r w:rsidRPr="00E10B6E">
        <w:t xml:space="preserve"> shows an overview of </w:t>
      </w:r>
      <w:r w:rsidR="00705655" w:rsidRPr="00E10B6E">
        <w:t>its</w:t>
      </w:r>
      <w:r w:rsidRPr="00E10B6E">
        <w:t xml:space="preserve"> physical properties</w:t>
      </w:r>
      <w:r w:rsidR="00062F8A" w:rsidRPr="00E10B6E">
        <w:t>.</w:t>
      </w:r>
    </w:p>
    <w:p w14:paraId="7A6400C5" w14:textId="7A1915D2" w:rsidR="004E487E" w:rsidRPr="00E10B6E" w:rsidRDefault="004E487E" w:rsidP="004E487E">
      <w:pPr>
        <w:pStyle w:val="Caption"/>
        <w:keepNext/>
        <w:jc w:val="both"/>
      </w:pPr>
      <w:bookmarkStart w:id="26" w:name="_Ref46354984"/>
      <w:r w:rsidRPr="00E10B6E">
        <w:t xml:space="preserve">Table </w:t>
      </w:r>
      <w:r w:rsidR="00722F9A">
        <w:fldChar w:fldCharType="begin"/>
      </w:r>
      <w:r w:rsidR="00722F9A">
        <w:instrText xml:space="preserve"> SEQ Table \* ARABIC </w:instrText>
      </w:r>
      <w:r w:rsidR="00722F9A">
        <w:fldChar w:fldCharType="separate"/>
      </w:r>
      <w:r w:rsidR="00983F73">
        <w:rPr>
          <w:noProof/>
        </w:rPr>
        <w:t>1</w:t>
      </w:r>
      <w:r w:rsidR="00722F9A">
        <w:rPr>
          <w:noProof/>
        </w:rPr>
        <w:fldChar w:fldCharType="end"/>
      </w:r>
      <w:bookmarkEnd w:id="26"/>
      <w:r w:rsidRPr="00E10B6E">
        <w:t xml:space="preserve">: Density, tensile yield strength, shore hardness and maximum continuous service temperature (CST) of low-density polyethylene </w:t>
      </w:r>
      <w:r w:rsidRPr="00E10B6E">
        <w:fldChar w:fldCharType="begin" w:fldLock="1"/>
      </w:r>
      <w:r w:rsidRPr="00E10B6E">
        <w:instrText>ADDIN CSL_CITATION {"citationItems":[{"id":"ITEM-1","itemData":{"URL":"https://omnexus.specialchem.com/polymer-properties","accessed":{"date-parts":[["2020","4","28"]]},"author":[{"dropping-particle":"","family":"Omnexus","given":"","non-dropping-particle":"","parse-names":false,"suffix":""}],"id":"ITEM-1","issued":{"date-parts":[["2020"]]},"title":"Polymer Properties &amp; Chemical Resistance of Plastics","type":"webpage"},"uris":["http://www.mendeley.com/documents/?uuid=350f564a-e0d0-4fe3-a318-0508286afd7f"]}],"mendeley":{"formattedCitation":"(Omnexus, 2020b)","plainTextFormattedCitation":"(Omnexus, 2020b)","previouslyFormattedCitation":"(Omnexus, 2020b)"},"properties":{"noteIndex":0},"schema":"https://github.com/citation-style-language/schema/raw/master/csl-citation.json"}</w:instrText>
      </w:r>
      <w:r w:rsidRPr="00E10B6E">
        <w:fldChar w:fldCharType="separate"/>
      </w:r>
      <w:r w:rsidRPr="00E10B6E">
        <w:rPr>
          <w:i w:val="0"/>
          <w:noProof/>
        </w:rPr>
        <w:t>(Omnexus, 2020b)</w:t>
      </w:r>
      <w:r w:rsidRPr="00E10B6E">
        <w:fldChar w:fldCharType="end"/>
      </w:r>
      <w:r w:rsidRPr="00E10B6E">
        <w:t>.</w:t>
      </w:r>
    </w:p>
    <w:tbl>
      <w:tblPr>
        <w:tblStyle w:val="TableGrid"/>
        <w:tblW w:w="9072" w:type="dxa"/>
        <w:tblLook w:val="04A0" w:firstRow="1" w:lastRow="0" w:firstColumn="1" w:lastColumn="0" w:noHBand="0" w:noVBand="1"/>
      </w:tblPr>
      <w:tblGrid>
        <w:gridCol w:w="2268"/>
        <w:gridCol w:w="2268"/>
        <w:gridCol w:w="2268"/>
        <w:gridCol w:w="2268"/>
      </w:tblGrid>
      <w:tr w:rsidR="004E487E" w:rsidRPr="00E10B6E" w14:paraId="370ED341" w14:textId="77777777" w:rsidTr="001847E9">
        <w:trPr>
          <w:trHeight w:val="567"/>
        </w:trPr>
        <w:tc>
          <w:tcPr>
            <w:tcW w:w="2268" w:type="dxa"/>
            <w:shd w:val="clear" w:color="auto" w:fill="4472C4" w:themeFill="accent1"/>
            <w:vAlign w:val="center"/>
          </w:tcPr>
          <w:p w14:paraId="697E8FCF" w14:textId="77777777" w:rsidR="004E487E" w:rsidRPr="00E10B6E" w:rsidRDefault="004E487E" w:rsidP="005C5A88">
            <w:pPr>
              <w:jc w:val="center"/>
              <w:rPr>
                <w:b/>
                <w:bCs/>
                <w:color w:val="FFFFFF" w:themeColor="background1"/>
              </w:rPr>
            </w:pPr>
            <w:r w:rsidRPr="00E10B6E">
              <w:rPr>
                <w:b/>
                <w:bCs/>
                <w:color w:val="FFFFFF" w:themeColor="background1"/>
              </w:rPr>
              <w:t xml:space="preserve">Density </w:t>
            </w:r>
            <w:r w:rsidRPr="00E10B6E">
              <w:rPr>
                <w:b/>
                <w:bCs/>
                <w:color w:val="FFFFFF" w:themeColor="background1"/>
              </w:rPr>
              <w:br/>
              <w:t>(g/cm</w:t>
            </w:r>
            <w:r w:rsidRPr="00E10B6E">
              <w:rPr>
                <w:b/>
                <w:bCs/>
                <w:color w:val="FFFFFF" w:themeColor="background1"/>
                <w:vertAlign w:val="superscript"/>
              </w:rPr>
              <w:t>3</w:t>
            </w:r>
            <w:r w:rsidRPr="00E10B6E">
              <w:rPr>
                <w:b/>
                <w:bCs/>
                <w:color w:val="FFFFFF" w:themeColor="background1"/>
              </w:rPr>
              <w:t>)</w:t>
            </w:r>
          </w:p>
        </w:tc>
        <w:tc>
          <w:tcPr>
            <w:tcW w:w="2268" w:type="dxa"/>
            <w:shd w:val="clear" w:color="auto" w:fill="4472C4" w:themeFill="accent1"/>
            <w:vAlign w:val="center"/>
          </w:tcPr>
          <w:p w14:paraId="375FD6FC" w14:textId="77777777" w:rsidR="004E487E" w:rsidRPr="00E10B6E" w:rsidRDefault="004E487E" w:rsidP="005C5A88">
            <w:pPr>
              <w:jc w:val="center"/>
              <w:rPr>
                <w:b/>
                <w:bCs/>
                <w:color w:val="FFFFFF" w:themeColor="background1"/>
              </w:rPr>
            </w:pPr>
            <w:r w:rsidRPr="00E10B6E">
              <w:rPr>
                <w:b/>
                <w:bCs/>
                <w:color w:val="FFFFFF" w:themeColor="background1"/>
              </w:rPr>
              <w:t>Tensile yield strength (MPa)</w:t>
            </w:r>
          </w:p>
        </w:tc>
        <w:tc>
          <w:tcPr>
            <w:tcW w:w="2268" w:type="dxa"/>
            <w:shd w:val="clear" w:color="auto" w:fill="4472C4" w:themeFill="accent1"/>
            <w:vAlign w:val="center"/>
          </w:tcPr>
          <w:p w14:paraId="72C752C4" w14:textId="77777777" w:rsidR="004E487E" w:rsidRPr="00E10B6E" w:rsidRDefault="004E487E" w:rsidP="005C5A88">
            <w:pPr>
              <w:jc w:val="center"/>
              <w:rPr>
                <w:b/>
                <w:bCs/>
                <w:color w:val="FFFFFF" w:themeColor="background1"/>
              </w:rPr>
            </w:pPr>
            <w:r w:rsidRPr="00E10B6E">
              <w:rPr>
                <w:b/>
                <w:bCs/>
                <w:color w:val="FFFFFF" w:themeColor="background1"/>
              </w:rPr>
              <w:t>Shore hardness</w:t>
            </w:r>
            <w:r w:rsidRPr="00E10B6E">
              <w:rPr>
                <w:b/>
                <w:bCs/>
                <w:color w:val="FFFFFF" w:themeColor="background1"/>
              </w:rPr>
              <w:br/>
              <w:t>(D scale)</w:t>
            </w:r>
          </w:p>
        </w:tc>
        <w:tc>
          <w:tcPr>
            <w:tcW w:w="2268" w:type="dxa"/>
            <w:shd w:val="clear" w:color="auto" w:fill="4472C4" w:themeFill="accent1"/>
            <w:vAlign w:val="center"/>
          </w:tcPr>
          <w:p w14:paraId="63BF2582" w14:textId="77777777" w:rsidR="004E487E" w:rsidRPr="00E10B6E" w:rsidRDefault="004E487E" w:rsidP="005C5A88">
            <w:pPr>
              <w:jc w:val="center"/>
              <w:rPr>
                <w:b/>
                <w:bCs/>
                <w:color w:val="FFFFFF" w:themeColor="background1"/>
              </w:rPr>
            </w:pPr>
            <w:r w:rsidRPr="00E10B6E">
              <w:rPr>
                <w:b/>
                <w:bCs/>
                <w:color w:val="FFFFFF" w:themeColor="background1"/>
              </w:rPr>
              <w:t xml:space="preserve">Max CST </w:t>
            </w:r>
            <w:r w:rsidRPr="00E10B6E">
              <w:rPr>
                <w:b/>
                <w:bCs/>
                <w:color w:val="FFFFFF" w:themeColor="background1"/>
              </w:rPr>
              <w:br/>
              <w:t>(°C)</w:t>
            </w:r>
          </w:p>
        </w:tc>
      </w:tr>
      <w:tr w:rsidR="004E487E" w:rsidRPr="00E10B6E" w14:paraId="6659CE46" w14:textId="77777777" w:rsidTr="00661992">
        <w:trPr>
          <w:trHeight w:val="567"/>
        </w:trPr>
        <w:tc>
          <w:tcPr>
            <w:tcW w:w="2268" w:type="dxa"/>
            <w:vAlign w:val="center"/>
          </w:tcPr>
          <w:p w14:paraId="4ECB3516" w14:textId="77777777" w:rsidR="004E487E" w:rsidRPr="00E10B6E" w:rsidRDefault="004E487E" w:rsidP="00661992">
            <w:pPr>
              <w:jc w:val="center"/>
            </w:pPr>
            <w:r w:rsidRPr="00E10B6E">
              <w:t>0.92-0.94</w:t>
            </w:r>
          </w:p>
        </w:tc>
        <w:tc>
          <w:tcPr>
            <w:tcW w:w="2268" w:type="dxa"/>
            <w:vAlign w:val="center"/>
          </w:tcPr>
          <w:p w14:paraId="64C069FA" w14:textId="77777777" w:rsidR="004E487E" w:rsidRPr="00E10B6E" w:rsidRDefault="004E487E" w:rsidP="00661992">
            <w:pPr>
              <w:jc w:val="center"/>
            </w:pPr>
            <w:r w:rsidRPr="00E10B6E">
              <w:t>10-20</w:t>
            </w:r>
          </w:p>
        </w:tc>
        <w:tc>
          <w:tcPr>
            <w:tcW w:w="2268" w:type="dxa"/>
            <w:vAlign w:val="center"/>
          </w:tcPr>
          <w:p w14:paraId="44AE859E" w14:textId="77777777" w:rsidR="004E487E" w:rsidRPr="00E10B6E" w:rsidRDefault="004E487E" w:rsidP="00661992">
            <w:pPr>
              <w:jc w:val="center"/>
            </w:pPr>
            <w:r w:rsidRPr="00E10B6E">
              <w:t>40-50</w:t>
            </w:r>
          </w:p>
        </w:tc>
        <w:tc>
          <w:tcPr>
            <w:tcW w:w="2268" w:type="dxa"/>
            <w:vAlign w:val="center"/>
          </w:tcPr>
          <w:p w14:paraId="7648EA84" w14:textId="77777777" w:rsidR="004E487E" w:rsidRPr="00E10B6E" w:rsidRDefault="004E487E" w:rsidP="00661992">
            <w:pPr>
              <w:jc w:val="center"/>
            </w:pPr>
            <w:r w:rsidRPr="00E10B6E">
              <w:t>80-100</w:t>
            </w:r>
          </w:p>
        </w:tc>
      </w:tr>
    </w:tbl>
    <w:p w14:paraId="49924E02" w14:textId="3F64C65C" w:rsidR="004E487E" w:rsidRPr="00E10B6E" w:rsidRDefault="00FE392E" w:rsidP="004E487E">
      <w:pPr>
        <w:jc w:val="both"/>
      </w:pPr>
      <w:r w:rsidRPr="00E10B6E">
        <w:br/>
      </w:r>
      <w:r w:rsidR="004E487E" w:rsidRPr="00E10B6E">
        <w:t xml:space="preserve">Although it is susceptible to stress cracking and it cannot sustain high temperatures, its low cost, lightweight and transparency make LDPE a very good material to manufacture containers and bags by using extrusion or injection moulding </w:t>
      </w:r>
      <w:r w:rsidR="004E487E" w:rsidRPr="00E10B6E">
        <w:fldChar w:fldCharType="begin" w:fldLock="1"/>
      </w:r>
      <w:r w:rsidR="004E487E"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004E487E" w:rsidRPr="00E10B6E">
        <w:fldChar w:fldCharType="separate"/>
      </w:r>
      <w:r w:rsidR="004E487E" w:rsidRPr="00E10B6E">
        <w:rPr>
          <w:noProof/>
        </w:rPr>
        <w:t>(Omnexus, 2020a)</w:t>
      </w:r>
      <w:r w:rsidR="004E487E" w:rsidRPr="00E10B6E">
        <w:fldChar w:fldCharType="end"/>
      </w:r>
      <w:r w:rsidR="004E487E" w:rsidRPr="00E10B6E">
        <w:t xml:space="preserve">. A practical application of LDPE is shown in </w:t>
      </w:r>
      <w:r w:rsidR="004E487E" w:rsidRPr="00E10B6E">
        <w:fldChar w:fldCharType="begin"/>
      </w:r>
      <w:r w:rsidR="004E487E" w:rsidRPr="00E10B6E">
        <w:instrText xml:space="preserve"> REF _Ref46348273 \h </w:instrText>
      </w:r>
      <w:r w:rsidR="004E487E" w:rsidRPr="00E10B6E">
        <w:fldChar w:fldCharType="separate"/>
      </w:r>
      <w:r w:rsidR="00983F73" w:rsidRPr="00E10B6E">
        <w:t xml:space="preserve">Figure </w:t>
      </w:r>
      <w:r w:rsidR="00983F73">
        <w:rPr>
          <w:noProof/>
        </w:rPr>
        <w:t>8</w:t>
      </w:r>
      <w:r w:rsidR="004E487E" w:rsidRPr="00E10B6E">
        <w:fldChar w:fldCharType="end"/>
      </w:r>
      <w:r w:rsidR="00062F8A" w:rsidRPr="00E10B6E">
        <w:t>.</w:t>
      </w:r>
    </w:p>
    <w:p w14:paraId="0CC77D51" w14:textId="77777777" w:rsidR="004E487E" w:rsidRPr="00E10B6E" w:rsidRDefault="004E487E" w:rsidP="004E487E">
      <w:pPr>
        <w:keepNext/>
        <w:jc w:val="center"/>
      </w:pPr>
      <w:r w:rsidRPr="00E10B6E">
        <w:rPr>
          <w:noProof/>
        </w:rPr>
        <w:drawing>
          <wp:inline distT="0" distB="0" distL="0" distR="0" wp14:anchorId="55C6786A" wp14:editId="3A066D86">
            <wp:extent cx="3490146" cy="2160000"/>
            <wp:effectExtent l="0" t="0" r="0" b="0"/>
            <wp:docPr id="181057496" name="Picture 27" descr="LDP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3490146" cy="2160000"/>
                    </a:xfrm>
                    <a:prstGeom prst="rect">
                      <a:avLst/>
                    </a:prstGeom>
                  </pic:spPr>
                </pic:pic>
              </a:graphicData>
            </a:graphic>
          </wp:inline>
        </w:drawing>
      </w:r>
    </w:p>
    <w:p w14:paraId="5C1F570E" w14:textId="62B76EE3" w:rsidR="004E487E" w:rsidRPr="00E10B6E" w:rsidRDefault="004E487E" w:rsidP="004E487E">
      <w:pPr>
        <w:pStyle w:val="Caption"/>
        <w:jc w:val="both"/>
      </w:pPr>
      <w:bookmarkStart w:id="27" w:name="_Ref46348273"/>
      <w:r w:rsidRPr="00E10B6E">
        <w:t xml:space="preserve">Figure </w:t>
      </w:r>
      <w:r w:rsidR="00722F9A">
        <w:fldChar w:fldCharType="begin"/>
      </w:r>
      <w:r w:rsidR="00722F9A">
        <w:instrText xml:space="preserve"> SEQ Figure \* ARABIC </w:instrText>
      </w:r>
      <w:r w:rsidR="00722F9A">
        <w:fldChar w:fldCharType="separate"/>
      </w:r>
      <w:r w:rsidR="00983F73">
        <w:rPr>
          <w:noProof/>
        </w:rPr>
        <w:t>8</w:t>
      </w:r>
      <w:r w:rsidR="00722F9A">
        <w:rPr>
          <w:noProof/>
        </w:rPr>
        <w:fldChar w:fldCharType="end"/>
      </w:r>
      <w:bookmarkEnd w:id="27"/>
      <w:r w:rsidRPr="00E10B6E">
        <w:t xml:space="preserve">: Blown film extruded low-density polyethylene bags </w:t>
      </w:r>
      <w:r w:rsidRPr="00E10B6E">
        <w:fldChar w:fldCharType="begin" w:fldLock="1"/>
      </w:r>
      <w:r w:rsidRPr="00E10B6E">
        <w:instrText>ADDIN CSL_CITATION {"citationItems":[{"id":"ITEM-1","itemData":{"URL":"https://www.ldpebag.com/ldpe-bags","accessed":{"date-parts":[["2020","4","28"]]},"author":[{"dropping-particle":"","family":"LDPE Bags","given":"","non-dropping-particle":"","parse-names":false,"suffix":""}],"id":"ITEM-1","issued":{"date-parts":[["2020"]]},"title":"LDPE Bag - USFDA approved Bag","type":"webpage"},"uris":["http://www.mendeley.com/documents/?uuid=945cd4f7-cf99-4706-b80b-3c38ac109b54"]}],"mendeley":{"formattedCitation":"(LDPE Bags, 2020)","plainTextFormattedCitation":"(LDPE Bags, 2020)","previouslyFormattedCitation":"(LDPE Bags, 2020)"},"properties":{"noteIndex":0},"schema":"https://github.com/citation-style-language/schema/raw/master/csl-citation.json"}</w:instrText>
      </w:r>
      <w:r w:rsidRPr="00E10B6E">
        <w:fldChar w:fldCharType="separate"/>
      </w:r>
      <w:r w:rsidRPr="00E10B6E">
        <w:rPr>
          <w:i w:val="0"/>
          <w:noProof/>
        </w:rPr>
        <w:t>(LDPE Bags, 2020)</w:t>
      </w:r>
      <w:r w:rsidRPr="00E10B6E">
        <w:fldChar w:fldCharType="end"/>
      </w:r>
      <w:r w:rsidRPr="00E10B6E">
        <w:t>.</w:t>
      </w:r>
    </w:p>
    <w:p w14:paraId="0AE45618" w14:textId="37C32F72" w:rsidR="00705655" w:rsidRPr="00E10B6E" w:rsidRDefault="00705655" w:rsidP="00705655">
      <w:pPr>
        <w:jc w:val="both"/>
      </w:pPr>
      <w:r w:rsidRPr="00E10B6E">
        <w:t xml:space="preserve">Linear low-Density Polyethylene (LLDPE) is a </w:t>
      </w:r>
      <w:r w:rsidR="005C5A88" w:rsidRPr="00E10B6E">
        <w:t>variant of LDPE</w:t>
      </w:r>
      <w:r w:rsidR="0050020D" w:rsidRPr="00E10B6E">
        <w:t xml:space="preserve">, being </w:t>
      </w:r>
      <w:r w:rsidRPr="00E10B6E">
        <w:t>flexible</w:t>
      </w:r>
      <w:r w:rsidR="0050020D" w:rsidRPr="00E10B6E">
        <w:t>, light,</w:t>
      </w:r>
      <w:r w:rsidRPr="00E10B6E">
        <w:t xml:space="preserve"> and translucent</w:t>
      </w:r>
      <w:r w:rsidR="0050020D" w:rsidRPr="00E10B6E">
        <w:t xml:space="preserve">, but having </w:t>
      </w:r>
      <w:r w:rsidRPr="00E10B6E">
        <w:t>high</w:t>
      </w:r>
      <w:r w:rsidR="00AD3168" w:rsidRPr="00E10B6E">
        <w:t>er</w:t>
      </w:r>
      <w:r w:rsidRPr="00E10B6E">
        <w:t xml:space="preserve"> </w:t>
      </w:r>
      <w:r w:rsidR="00AD3168" w:rsidRPr="00E10B6E">
        <w:t xml:space="preserve">physical and chemical </w:t>
      </w:r>
      <w:r w:rsidRPr="00E10B6E">
        <w:t>resistance</w:t>
      </w:r>
      <w:r w:rsidR="00AD3168" w:rsidRPr="00E10B6E">
        <w:t>, as shown in Table 15</w:t>
      </w:r>
      <w:r w:rsidR="00062F8A" w:rsidRPr="00E10B6E">
        <w:t>.</w:t>
      </w:r>
    </w:p>
    <w:p w14:paraId="74C78027" w14:textId="6FA7D9B9" w:rsidR="00705655" w:rsidRPr="00E10B6E" w:rsidRDefault="00705655" w:rsidP="00705655">
      <w:pPr>
        <w:pStyle w:val="Caption"/>
        <w:keepNext/>
        <w:jc w:val="both"/>
      </w:pPr>
      <w:bookmarkStart w:id="28" w:name="_Ref46355002"/>
      <w:r w:rsidRPr="00E10B6E">
        <w:lastRenderedPageBreak/>
        <w:t xml:space="preserve">Table </w:t>
      </w:r>
      <w:r w:rsidR="00722F9A">
        <w:fldChar w:fldCharType="begin"/>
      </w:r>
      <w:r w:rsidR="00722F9A">
        <w:instrText xml:space="preserve"> SEQ Table \* ARABIC </w:instrText>
      </w:r>
      <w:r w:rsidR="00722F9A">
        <w:fldChar w:fldCharType="separate"/>
      </w:r>
      <w:r w:rsidR="00983F73">
        <w:rPr>
          <w:noProof/>
        </w:rPr>
        <w:t>2</w:t>
      </w:r>
      <w:r w:rsidR="00722F9A">
        <w:rPr>
          <w:noProof/>
        </w:rPr>
        <w:fldChar w:fldCharType="end"/>
      </w:r>
      <w:bookmarkEnd w:id="28"/>
      <w:r w:rsidRPr="00E10B6E">
        <w:t xml:space="preserve">: Density, tensile yield strength, shore hardness and maximum continuous service temperature (CST) of linear low-density polyethylene </w:t>
      </w:r>
      <w:r w:rsidRPr="00E10B6E">
        <w:fldChar w:fldCharType="begin" w:fldLock="1"/>
      </w:r>
      <w:r w:rsidRPr="00E10B6E">
        <w:instrText>ADDIN CSL_CITATION {"citationItems":[{"id":"ITEM-1","itemData":{"URL":"https://omnexus.specialchem.com/polymer-properties","accessed":{"date-parts":[["2020","4","28"]]},"author":[{"dropping-particle":"","family":"Omnexus","given":"","non-dropping-particle":"","parse-names":false,"suffix":""}],"id":"ITEM-1","issued":{"date-parts":[["2020"]]},"title":"Polymer Properties &amp; Chemical Resistance of Plastics","type":"webpage"},"uris":["http://www.mendeley.com/documents/?uuid=350f564a-e0d0-4fe3-a318-0508286afd7f"]}],"mendeley":{"formattedCitation":"(Omnexus, 2020b)","plainTextFormattedCitation":"(Omnexus, 2020b)","previouslyFormattedCitation":"(Omnexus, 2020b)"},"properties":{"noteIndex":0},"schema":"https://github.com/citation-style-language/schema/raw/master/csl-citation.json"}</w:instrText>
      </w:r>
      <w:r w:rsidRPr="00E10B6E">
        <w:fldChar w:fldCharType="separate"/>
      </w:r>
      <w:r w:rsidRPr="00E10B6E">
        <w:rPr>
          <w:i w:val="0"/>
          <w:noProof/>
        </w:rPr>
        <w:t>(Omnexus, 2020b)</w:t>
      </w:r>
      <w:r w:rsidRPr="00E10B6E">
        <w:fldChar w:fldCharType="end"/>
      </w:r>
      <w:r w:rsidRPr="00E10B6E">
        <w:t>.</w:t>
      </w:r>
    </w:p>
    <w:tbl>
      <w:tblPr>
        <w:tblStyle w:val="TableGrid"/>
        <w:tblW w:w="9072" w:type="dxa"/>
        <w:tblLook w:val="04A0" w:firstRow="1" w:lastRow="0" w:firstColumn="1" w:lastColumn="0" w:noHBand="0" w:noVBand="1"/>
      </w:tblPr>
      <w:tblGrid>
        <w:gridCol w:w="2268"/>
        <w:gridCol w:w="2268"/>
        <w:gridCol w:w="2268"/>
        <w:gridCol w:w="2268"/>
      </w:tblGrid>
      <w:tr w:rsidR="00705655" w:rsidRPr="00E10B6E" w14:paraId="3E0897D5" w14:textId="77777777" w:rsidTr="002B4365">
        <w:trPr>
          <w:trHeight w:val="567"/>
        </w:trPr>
        <w:tc>
          <w:tcPr>
            <w:tcW w:w="2268" w:type="dxa"/>
            <w:shd w:val="clear" w:color="auto" w:fill="4472C4" w:themeFill="accent1"/>
            <w:vAlign w:val="center"/>
          </w:tcPr>
          <w:p w14:paraId="248C432B" w14:textId="77777777" w:rsidR="00705655" w:rsidRPr="00E10B6E" w:rsidRDefault="00705655" w:rsidP="005C5A88">
            <w:pPr>
              <w:jc w:val="center"/>
              <w:rPr>
                <w:b/>
                <w:bCs/>
                <w:color w:val="FFFFFF" w:themeColor="background1"/>
              </w:rPr>
            </w:pPr>
            <w:r w:rsidRPr="00E10B6E">
              <w:rPr>
                <w:b/>
                <w:bCs/>
                <w:color w:val="FFFFFF" w:themeColor="background1"/>
              </w:rPr>
              <w:t xml:space="preserve">Density </w:t>
            </w:r>
            <w:r w:rsidRPr="00E10B6E">
              <w:rPr>
                <w:b/>
                <w:bCs/>
                <w:color w:val="FFFFFF" w:themeColor="background1"/>
              </w:rPr>
              <w:br/>
              <w:t>(g/cm</w:t>
            </w:r>
            <w:r w:rsidRPr="00E10B6E">
              <w:rPr>
                <w:b/>
                <w:bCs/>
                <w:color w:val="FFFFFF" w:themeColor="background1"/>
                <w:vertAlign w:val="superscript"/>
              </w:rPr>
              <w:t>3</w:t>
            </w:r>
            <w:r w:rsidRPr="00E10B6E">
              <w:rPr>
                <w:b/>
                <w:bCs/>
                <w:color w:val="FFFFFF" w:themeColor="background1"/>
              </w:rPr>
              <w:t>)</w:t>
            </w:r>
          </w:p>
        </w:tc>
        <w:tc>
          <w:tcPr>
            <w:tcW w:w="2268" w:type="dxa"/>
            <w:shd w:val="clear" w:color="auto" w:fill="4472C4" w:themeFill="accent1"/>
            <w:vAlign w:val="center"/>
          </w:tcPr>
          <w:p w14:paraId="33F98AC9" w14:textId="77777777" w:rsidR="00705655" w:rsidRPr="00E10B6E" w:rsidRDefault="00705655" w:rsidP="005C5A88">
            <w:pPr>
              <w:jc w:val="center"/>
              <w:rPr>
                <w:b/>
                <w:bCs/>
                <w:color w:val="FFFFFF" w:themeColor="background1"/>
              </w:rPr>
            </w:pPr>
            <w:r w:rsidRPr="00E10B6E">
              <w:rPr>
                <w:b/>
                <w:bCs/>
                <w:color w:val="FFFFFF" w:themeColor="background1"/>
              </w:rPr>
              <w:t>Tensile yield strength (MPa)</w:t>
            </w:r>
          </w:p>
        </w:tc>
        <w:tc>
          <w:tcPr>
            <w:tcW w:w="2268" w:type="dxa"/>
            <w:shd w:val="clear" w:color="auto" w:fill="4472C4" w:themeFill="accent1"/>
            <w:vAlign w:val="center"/>
          </w:tcPr>
          <w:p w14:paraId="074E0369" w14:textId="77777777" w:rsidR="00705655" w:rsidRPr="00E10B6E" w:rsidRDefault="00705655" w:rsidP="005C5A88">
            <w:pPr>
              <w:jc w:val="center"/>
              <w:rPr>
                <w:b/>
                <w:bCs/>
                <w:color w:val="FFFFFF" w:themeColor="background1"/>
              </w:rPr>
            </w:pPr>
            <w:r w:rsidRPr="00E10B6E">
              <w:rPr>
                <w:b/>
                <w:bCs/>
                <w:color w:val="FFFFFF" w:themeColor="background1"/>
              </w:rPr>
              <w:t>Shore hardness</w:t>
            </w:r>
            <w:r w:rsidRPr="00E10B6E">
              <w:rPr>
                <w:b/>
                <w:bCs/>
                <w:color w:val="FFFFFF" w:themeColor="background1"/>
              </w:rPr>
              <w:br/>
              <w:t>(D scale)</w:t>
            </w:r>
          </w:p>
        </w:tc>
        <w:tc>
          <w:tcPr>
            <w:tcW w:w="2268" w:type="dxa"/>
            <w:shd w:val="clear" w:color="auto" w:fill="4472C4" w:themeFill="accent1"/>
            <w:vAlign w:val="center"/>
          </w:tcPr>
          <w:p w14:paraId="56E58412" w14:textId="77777777" w:rsidR="00705655" w:rsidRPr="00E10B6E" w:rsidRDefault="00705655" w:rsidP="005C5A88">
            <w:pPr>
              <w:jc w:val="center"/>
              <w:rPr>
                <w:b/>
                <w:bCs/>
                <w:color w:val="FFFFFF" w:themeColor="background1"/>
              </w:rPr>
            </w:pPr>
            <w:r w:rsidRPr="00E10B6E">
              <w:rPr>
                <w:b/>
                <w:bCs/>
                <w:color w:val="FFFFFF" w:themeColor="background1"/>
              </w:rPr>
              <w:t xml:space="preserve">Max CST </w:t>
            </w:r>
            <w:r w:rsidRPr="00E10B6E">
              <w:rPr>
                <w:b/>
                <w:bCs/>
                <w:color w:val="FFFFFF" w:themeColor="background1"/>
              </w:rPr>
              <w:br/>
              <w:t>(°C)</w:t>
            </w:r>
          </w:p>
        </w:tc>
      </w:tr>
      <w:tr w:rsidR="00705655" w:rsidRPr="00E10B6E" w14:paraId="7177D885" w14:textId="77777777" w:rsidTr="00661992">
        <w:trPr>
          <w:trHeight w:val="567"/>
        </w:trPr>
        <w:tc>
          <w:tcPr>
            <w:tcW w:w="2268" w:type="dxa"/>
            <w:vAlign w:val="center"/>
          </w:tcPr>
          <w:p w14:paraId="6AB5926E" w14:textId="77777777" w:rsidR="00705655" w:rsidRPr="00E10B6E" w:rsidRDefault="00705655" w:rsidP="00661992">
            <w:pPr>
              <w:jc w:val="center"/>
            </w:pPr>
            <w:r w:rsidRPr="00E10B6E">
              <w:t>0.92-0.95</w:t>
            </w:r>
          </w:p>
        </w:tc>
        <w:tc>
          <w:tcPr>
            <w:tcW w:w="2268" w:type="dxa"/>
            <w:vAlign w:val="center"/>
          </w:tcPr>
          <w:p w14:paraId="52BF6DD0" w14:textId="77777777" w:rsidR="00705655" w:rsidRPr="00E10B6E" w:rsidRDefault="00705655" w:rsidP="00661992">
            <w:pPr>
              <w:jc w:val="center"/>
            </w:pPr>
            <w:r w:rsidRPr="00E10B6E">
              <w:t>10-30</w:t>
            </w:r>
          </w:p>
        </w:tc>
        <w:tc>
          <w:tcPr>
            <w:tcW w:w="2268" w:type="dxa"/>
            <w:vAlign w:val="center"/>
          </w:tcPr>
          <w:p w14:paraId="14E494F7" w14:textId="77777777" w:rsidR="00705655" w:rsidRPr="00E10B6E" w:rsidRDefault="00705655" w:rsidP="00661992">
            <w:pPr>
              <w:jc w:val="center"/>
            </w:pPr>
            <w:r w:rsidRPr="00E10B6E">
              <w:t>55-65</w:t>
            </w:r>
          </w:p>
        </w:tc>
        <w:tc>
          <w:tcPr>
            <w:tcW w:w="2268" w:type="dxa"/>
            <w:vAlign w:val="center"/>
          </w:tcPr>
          <w:p w14:paraId="20337763" w14:textId="77777777" w:rsidR="00705655" w:rsidRPr="00E10B6E" w:rsidRDefault="00705655" w:rsidP="00661992">
            <w:pPr>
              <w:jc w:val="center"/>
            </w:pPr>
            <w:r w:rsidRPr="00E10B6E">
              <w:t>90-110</w:t>
            </w:r>
          </w:p>
        </w:tc>
      </w:tr>
    </w:tbl>
    <w:p w14:paraId="48090FE4" w14:textId="0C1EB64B" w:rsidR="00705655" w:rsidRPr="00E10B6E" w:rsidRDefault="00FE392E" w:rsidP="00705655">
      <w:pPr>
        <w:jc w:val="both"/>
      </w:pPr>
      <w:r w:rsidRPr="00E10B6E">
        <w:br/>
      </w:r>
      <w:r w:rsidR="00705655" w:rsidRPr="00E10B6E">
        <w:t xml:space="preserve">Just like LDPE, LLDPE </w:t>
      </w:r>
      <w:r w:rsidR="00F52340" w:rsidRPr="00E10B6E">
        <w:t>is</w:t>
      </w:r>
      <w:r w:rsidR="00705655" w:rsidRPr="00E10B6E">
        <w:t xml:space="preserve"> lightweight and </w:t>
      </w:r>
      <w:r w:rsidR="00F52340" w:rsidRPr="00E10B6E">
        <w:t xml:space="preserve">has a </w:t>
      </w:r>
      <w:r w:rsidR="00705655" w:rsidRPr="00E10B6E">
        <w:t xml:space="preserve">low production cost. The most common manufacturing process in extrusion (e.g. for blow and cast films), but injection and roto-moulding can also be used </w:t>
      </w:r>
      <w:r w:rsidR="00705655" w:rsidRPr="00E10B6E">
        <w:fldChar w:fldCharType="begin" w:fldLock="1"/>
      </w:r>
      <w:r w:rsidR="00705655"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00705655" w:rsidRPr="00E10B6E">
        <w:fldChar w:fldCharType="separate"/>
      </w:r>
      <w:r w:rsidR="00705655" w:rsidRPr="00E10B6E">
        <w:rPr>
          <w:noProof/>
        </w:rPr>
        <w:t>(Omnexus, 2020a)</w:t>
      </w:r>
      <w:r w:rsidR="00705655" w:rsidRPr="00E10B6E">
        <w:fldChar w:fldCharType="end"/>
      </w:r>
      <w:r w:rsidR="00705655" w:rsidRPr="00E10B6E">
        <w:t xml:space="preserve">. Moreover, LLDPE sheets are physiologically harmless, making it the perfect material for food packaging and agricultural film, as shown in </w:t>
      </w:r>
      <w:r w:rsidR="00705655" w:rsidRPr="00E10B6E">
        <w:fldChar w:fldCharType="begin"/>
      </w:r>
      <w:r w:rsidR="00705655" w:rsidRPr="00E10B6E">
        <w:instrText xml:space="preserve"> REF _Ref46348527 \h </w:instrText>
      </w:r>
      <w:r w:rsidR="00705655" w:rsidRPr="00E10B6E">
        <w:fldChar w:fldCharType="separate"/>
      </w:r>
      <w:r w:rsidR="00983F73" w:rsidRPr="00E10B6E">
        <w:t xml:space="preserve">Figure </w:t>
      </w:r>
      <w:r w:rsidR="00983F73">
        <w:rPr>
          <w:noProof/>
        </w:rPr>
        <w:t>9</w:t>
      </w:r>
      <w:r w:rsidR="00705655" w:rsidRPr="00E10B6E">
        <w:fldChar w:fldCharType="end"/>
      </w:r>
      <w:r w:rsidR="00705655" w:rsidRPr="00E10B6E">
        <w:t>.</w:t>
      </w:r>
    </w:p>
    <w:p w14:paraId="1EB370A0" w14:textId="77777777" w:rsidR="00705655" w:rsidRPr="00E10B6E" w:rsidRDefault="00705655" w:rsidP="00705655">
      <w:pPr>
        <w:keepNext/>
      </w:pPr>
      <w:r w:rsidRPr="00E10B6E">
        <w:rPr>
          <w:noProof/>
        </w:rPr>
        <w:drawing>
          <wp:inline distT="0" distB="0" distL="0" distR="0" wp14:anchorId="11D0DF6B" wp14:editId="1517B6E2">
            <wp:extent cx="4736842" cy="2160000"/>
            <wp:effectExtent l="0" t="0" r="6985" b="0"/>
            <wp:docPr id="28" name="Picture 28" descr="LLDPE Silver/Black Mu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DPE Silver/Black Mulch"/>
                    <pic:cNvPicPr>
                      <a:picLocks noChangeAspect="1" noChangeArrowheads="1"/>
                    </pic:cNvPicPr>
                  </pic:nvPicPr>
                  <pic:blipFill rotWithShape="1">
                    <a:blip r:embed="rId36">
                      <a:extLst>
                        <a:ext uri="{28A0092B-C50C-407E-A947-70E740481C1C}">
                          <a14:useLocalDpi xmlns:a14="http://schemas.microsoft.com/office/drawing/2010/main" val="0"/>
                        </a:ext>
                      </a:extLst>
                    </a:blip>
                    <a:srcRect t="20534" b="18666"/>
                    <a:stretch/>
                  </pic:blipFill>
                  <pic:spPr bwMode="auto">
                    <a:xfrm>
                      <a:off x="0" y="0"/>
                      <a:ext cx="473684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4F478F3" w14:textId="307EDECC" w:rsidR="00705655" w:rsidRPr="00E10B6E" w:rsidRDefault="00705655" w:rsidP="00705655">
      <w:pPr>
        <w:pStyle w:val="Caption"/>
        <w:jc w:val="both"/>
      </w:pPr>
      <w:bookmarkStart w:id="29" w:name="_Ref46348527"/>
      <w:r w:rsidRPr="00E10B6E">
        <w:t xml:space="preserve">Figure </w:t>
      </w:r>
      <w:r w:rsidR="00722F9A">
        <w:fldChar w:fldCharType="begin"/>
      </w:r>
      <w:r w:rsidR="00722F9A">
        <w:instrText xml:space="preserve"> SEQ Fig</w:instrText>
      </w:r>
      <w:r w:rsidR="00722F9A">
        <w:instrText xml:space="preserve">ure \* ARABIC </w:instrText>
      </w:r>
      <w:r w:rsidR="00722F9A">
        <w:fldChar w:fldCharType="separate"/>
      </w:r>
      <w:r w:rsidR="00983F73">
        <w:rPr>
          <w:noProof/>
        </w:rPr>
        <w:t>9</w:t>
      </w:r>
      <w:r w:rsidR="00722F9A">
        <w:rPr>
          <w:noProof/>
        </w:rPr>
        <w:fldChar w:fldCharType="end"/>
      </w:r>
      <w:bookmarkEnd w:id="29"/>
      <w:r w:rsidRPr="00E10B6E">
        <w:t xml:space="preserve">: Linear low-density polyethylene agricultural film </w:t>
      </w:r>
      <w:r w:rsidRPr="00E10B6E">
        <w:fldChar w:fldCharType="begin" w:fldLock="1"/>
      </w:r>
      <w:r w:rsidRPr="00E10B6E">
        <w:instrText>ADDIN CSL_CITATION {"citationItems":[{"id":"ITEM-1","itemData":{"URL":"http://www.mulchfilm.net/lldpe-silver-black-mulch.html","accessed":{"date-parts":[["2020","4","28"]]},"author":[{"dropping-particle":"","family":"Mulch Film","given":"","non-dropping-particle":"","parse-names":false,"suffix":""}],"id":"ITEM-1","issued":{"date-parts":[["2020"]]},"title":"LLDPE Silver/Black Mulch","type":"webpage"},"uris":["http://www.mendeley.com/documents/?uuid=3ec19bcf-b9d8-45d3-990f-73245015d30e"]}],"mendeley":{"formattedCitation":"(Mulch Film, 2020)","plainTextFormattedCitation":"(Mulch Film, 2020)","previouslyFormattedCitation":"(Mulch Film, 2020)"},"properties":{"noteIndex":0},"schema":"https://github.com/citation-style-language/schema/raw/master/csl-citation.json"}</w:instrText>
      </w:r>
      <w:r w:rsidRPr="00E10B6E">
        <w:fldChar w:fldCharType="separate"/>
      </w:r>
      <w:r w:rsidRPr="00E10B6E">
        <w:rPr>
          <w:i w:val="0"/>
          <w:noProof/>
        </w:rPr>
        <w:t>(Mulch Film, 2020)</w:t>
      </w:r>
      <w:r w:rsidRPr="00E10B6E">
        <w:fldChar w:fldCharType="end"/>
      </w:r>
      <w:r w:rsidRPr="00E10B6E">
        <w:t>.</w:t>
      </w:r>
    </w:p>
    <w:p w14:paraId="07E21477" w14:textId="5310EF3D" w:rsidR="004E487E" w:rsidRPr="00E10B6E" w:rsidRDefault="004E487E" w:rsidP="004E487E">
      <w:pPr>
        <w:jc w:val="both"/>
      </w:pPr>
      <w:r w:rsidRPr="00E10B6E">
        <w:t xml:space="preserve">LDPE and LLDPE together make 17.5% of the plastics demand in Europe, for a total of 8.96 million tonnes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 xml:space="preserve">. Assuming the ratio is the same in the Netherlands, the volume of LDPE and LLDPE would be equal to 385,000 tonnes. Considering a price between 0.98 and 1.08 €/kg </w:t>
      </w:r>
      <w:r w:rsidRPr="00E10B6E">
        <w:fldChar w:fldCharType="begin" w:fldLock="1"/>
      </w:r>
      <w:r w:rsidRPr="00E10B6E">
        <w:instrText>ADDIN CSL_CITATION {"citationItems":[{"id":"ITEM-1","itemData":{"URL":"https://www.plasticportal.eu/en/polymer-prices/lm/14/","accessed":{"date-parts":[["2020","4","27"]]},"author":[{"dropping-particle":"","family":"PlasticPortal","given":"","non-dropping-particle":"","parse-names":false,"suffix":""}],"id":"ITEM-1","issued":{"date-parts":[["2020"]]},"title":"Average Resin Prices","type":"webpage"},"uris":["http://www.mendeley.com/documents/?uuid=4bad33b8-39d7-409d-ad6a-6b489e32505a"]}],"mendeley":{"formattedCitation":"(PlasticPortal, 2020)","plainTextFormattedCitation":"(PlasticPortal, 2020)","previouslyFormattedCitation":"(PlasticPortal, 2020)"},"properties":{"noteIndex":0},"schema":"https://github.com/citation-style-language/schema/raw/master/csl-citation.json"}</w:instrText>
      </w:r>
      <w:r w:rsidRPr="00E10B6E">
        <w:fldChar w:fldCharType="separate"/>
      </w:r>
      <w:r w:rsidRPr="00E10B6E">
        <w:rPr>
          <w:noProof/>
        </w:rPr>
        <w:t>(PlasticPortal, 2020)</w:t>
      </w:r>
      <w:r w:rsidRPr="00E10B6E">
        <w:fldChar w:fldCharType="end"/>
      </w:r>
      <w:r w:rsidRPr="00E10B6E">
        <w:t>, the Dutch market would be worth 375-515 million euros per year.</w:t>
      </w:r>
    </w:p>
    <w:p w14:paraId="12A883F4" w14:textId="52F93BEB" w:rsidR="004E487E" w:rsidRPr="00E10B6E" w:rsidRDefault="004E487E" w:rsidP="004E487E">
      <w:pPr>
        <w:jc w:val="both"/>
      </w:pPr>
      <w:r w:rsidRPr="00E10B6E">
        <w:t>LDPE</w:t>
      </w:r>
      <w:r w:rsidR="00213C76" w:rsidRPr="00E10B6E">
        <w:t xml:space="preserve"> and LLDPE</w:t>
      </w:r>
      <w:r w:rsidRPr="00E10B6E">
        <w:t xml:space="preserve"> </w:t>
      </w:r>
      <w:r w:rsidR="00213C76" w:rsidRPr="00E10B6E">
        <w:t>are</w:t>
      </w:r>
      <w:r w:rsidRPr="00E10B6E">
        <w:t xml:space="preserve"> used especially in the packaging sector (single</w:t>
      </w:r>
      <w:r w:rsidR="00F52340" w:rsidRPr="00E10B6E">
        <w:t>-</w:t>
      </w:r>
      <w:r w:rsidRPr="00E10B6E">
        <w:t>use food film, reusable bags and containers), agriculture sector (single</w:t>
      </w:r>
      <w:r w:rsidR="00F52340" w:rsidRPr="00E10B6E">
        <w:t>-</w:t>
      </w:r>
      <w:r w:rsidRPr="00E10B6E">
        <w:t xml:space="preserve">use agricultural film), building and construction sector, and </w:t>
      </w:r>
      <w:r w:rsidR="00213C76" w:rsidRPr="00E10B6E">
        <w:t>are</w:t>
      </w:r>
      <w:r w:rsidRPr="00E10B6E">
        <w:t xml:space="preserve"> marginally used in the electrical and automotive sectors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 xml:space="preserve">. The shares of </w:t>
      </w:r>
      <w:r w:rsidR="00213C76" w:rsidRPr="00E10B6E">
        <w:t>LDPE/LLDPE</w:t>
      </w:r>
      <w:r w:rsidRPr="00E10B6E">
        <w:t xml:space="preserve"> </w:t>
      </w:r>
      <w:r w:rsidR="00213C76" w:rsidRPr="00E10B6E">
        <w:t xml:space="preserve">for the main consumer sectors </w:t>
      </w:r>
      <w:r w:rsidRPr="00E10B6E">
        <w:t xml:space="preserve">in The Netherlands are shown in </w:t>
      </w:r>
      <w:r w:rsidRPr="00E10B6E">
        <w:fldChar w:fldCharType="begin"/>
      </w:r>
      <w:r w:rsidRPr="00E10B6E">
        <w:instrText xml:space="preserve"> REF _Ref46348293 \h </w:instrText>
      </w:r>
      <w:r w:rsidRPr="00E10B6E">
        <w:fldChar w:fldCharType="separate"/>
      </w:r>
      <w:r w:rsidR="00983F73" w:rsidRPr="00E10B6E">
        <w:t xml:space="preserve">Figure </w:t>
      </w:r>
      <w:r w:rsidR="00983F73">
        <w:rPr>
          <w:noProof/>
        </w:rPr>
        <w:t>10</w:t>
      </w:r>
      <w:r w:rsidRPr="00E10B6E">
        <w:fldChar w:fldCharType="end"/>
      </w:r>
      <w:r w:rsidRPr="00E10B6E">
        <w:t>.</w:t>
      </w:r>
    </w:p>
    <w:p w14:paraId="65DAE588" w14:textId="5C61D595" w:rsidR="004E487E" w:rsidRPr="00E10B6E" w:rsidRDefault="00057F06" w:rsidP="004E487E">
      <w:pPr>
        <w:keepNext/>
        <w:jc w:val="both"/>
      </w:pPr>
      <w:r w:rsidRPr="00E10B6E">
        <w:rPr>
          <w:noProof/>
        </w:rPr>
        <w:lastRenderedPageBreak/>
        <w:drawing>
          <wp:inline distT="0" distB="0" distL="0" distR="0" wp14:anchorId="286BECB2" wp14:editId="3655CC61">
            <wp:extent cx="5760000" cy="2884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884760"/>
                    </a:xfrm>
                    <a:prstGeom prst="rect">
                      <a:avLst/>
                    </a:prstGeom>
                    <a:noFill/>
                    <a:ln>
                      <a:noFill/>
                    </a:ln>
                  </pic:spPr>
                </pic:pic>
              </a:graphicData>
            </a:graphic>
          </wp:inline>
        </w:drawing>
      </w:r>
    </w:p>
    <w:p w14:paraId="53A0B080" w14:textId="2FC1C5FD" w:rsidR="004E487E" w:rsidRPr="00E10B6E" w:rsidRDefault="004E487E" w:rsidP="002B4365">
      <w:pPr>
        <w:pStyle w:val="Caption"/>
        <w:jc w:val="both"/>
      </w:pPr>
      <w:bookmarkStart w:id="30" w:name="_Ref46348293"/>
      <w:r w:rsidRPr="00E10B6E">
        <w:t xml:space="preserve">Figure </w:t>
      </w:r>
      <w:r w:rsidR="00722F9A">
        <w:fldChar w:fldCharType="begin"/>
      </w:r>
      <w:r w:rsidR="00722F9A">
        <w:instrText xml:space="preserve"> SEQ Figure \* ARABIC </w:instrText>
      </w:r>
      <w:r w:rsidR="00722F9A">
        <w:fldChar w:fldCharType="separate"/>
      </w:r>
      <w:r w:rsidR="00983F73">
        <w:rPr>
          <w:noProof/>
        </w:rPr>
        <w:t>10</w:t>
      </w:r>
      <w:r w:rsidR="00722F9A">
        <w:rPr>
          <w:noProof/>
        </w:rPr>
        <w:fldChar w:fldCharType="end"/>
      </w:r>
      <w:bookmarkEnd w:id="30"/>
      <w:r w:rsidRPr="00E10B6E">
        <w:t xml:space="preserve">: </w:t>
      </w:r>
      <w:r w:rsidR="00E2447E" w:rsidRPr="00E10B6E">
        <w:t xml:space="preserve">Market demand (in kt/y) </w:t>
      </w:r>
      <w:r w:rsidRPr="00E10B6E">
        <w:t xml:space="preserve">of LDPE/LLDPE used by the main </w:t>
      </w:r>
      <w:r w:rsidR="001F0FE3" w:rsidRPr="00E10B6E">
        <w:t>consumer</w:t>
      </w:r>
      <w:r w:rsidRPr="00E10B6E">
        <w:t xml:space="preserve"> sectors in The Netherlands</w:t>
      </w:r>
      <w:r w:rsidR="001F0FE3" w:rsidRPr="00E10B6E">
        <w:t xml:space="preserve"> in 2018</w:t>
      </w:r>
      <w:r w:rsidRPr="00E10B6E">
        <w:t xml:space="preserve">. Made with estimates from European data extracted from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i w:val="0"/>
          <w:noProof/>
        </w:rPr>
        <w:t>(PlasticsEurope, 2019)</w:t>
      </w:r>
      <w:r w:rsidRPr="00E10B6E">
        <w:fldChar w:fldCharType="end"/>
      </w:r>
      <w:r w:rsidR="001F0FE3" w:rsidRPr="00E10B6E">
        <w:t>.</w:t>
      </w:r>
    </w:p>
    <w:p w14:paraId="56A013B0" w14:textId="741AB6A3" w:rsidR="004E487E" w:rsidRPr="00E10B6E" w:rsidRDefault="004E487E" w:rsidP="00914619">
      <w:pPr>
        <w:pStyle w:val="Heading3"/>
      </w:pPr>
      <w:bookmarkStart w:id="31" w:name="_Toc54274792"/>
      <w:r w:rsidRPr="00E10B6E">
        <w:t xml:space="preserve">4.2.2 </w:t>
      </w:r>
      <w:r w:rsidR="00183E6D" w:rsidRPr="00E10B6E">
        <w:t>High-density Polyethylene</w:t>
      </w:r>
      <w:bookmarkEnd w:id="31"/>
    </w:p>
    <w:p w14:paraId="56202413" w14:textId="39E55C5B" w:rsidR="004E487E" w:rsidRPr="00E10B6E" w:rsidRDefault="00936CF7" w:rsidP="004E487E">
      <w:r w:rsidRPr="00E10B6E">
        <w:t xml:space="preserve">High-density polyethylene (HDPE) is a flexible and translucent plastic with excellent resistance to electricity and solvents, and good resistance to heat, alcohols, dilute acids and alkalis </w:t>
      </w:r>
      <w:r w:rsidRPr="00E10B6E">
        <w:fldChar w:fldCharType="begin" w:fldLock="1"/>
      </w:r>
      <w:r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Pr="00E10B6E">
        <w:fldChar w:fldCharType="separate"/>
      </w:r>
      <w:r w:rsidRPr="00E10B6E">
        <w:rPr>
          <w:noProof/>
        </w:rPr>
        <w:t>(Omnexus, 2020a)</w:t>
      </w:r>
      <w:r w:rsidRPr="00E10B6E">
        <w:fldChar w:fldCharType="end"/>
      </w:r>
      <w:r w:rsidRPr="00E10B6E">
        <w:t xml:space="preserve">. </w:t>
      </w:r>
      <w:r w:rsidRPr="00E10B6E">
        <w:fldChar w:fldCharType="begin"/>
      </w:r>
      <w:r w:rsidRPr="00E10B6E">
        <w:instrText xml:space="preserve"> REF _Ref46355015 \h </w:instrText>
      </w:r>
      <w:r w:rsidRPr="00E10B6E">
        <w:fldChar w:fldCharType="separate"/>
      </w:r>
      <w:r w:rsidR="00983F73" w:rsidRPr="00E10B6E">
        <w:t xml:space="preserve">Table </w:t>
      </w:r>
      <w:r w:rsidR="00983F73">
        <w:rPr>
          <w:noProof/>
        </w:rPr>
        <w:t>3</w:t>
      </w:r>
      <w:r w:rsidRPr="00E10B6E">
        <w:fldChar w:fldCharType="end"/>
      </w:r>
      <w:r w:rsidRPr="00E10B6E">
        <w:t xml:space="preserve"> shows an overview of its physical properties</w:t>
      </w:r>
      <w:r w:rsidR="00062F8A" w:rsidRPr="00E10B6E">
        <w:t>.</w:t>
      </w:r>
    </w:p>
    <w:p w14:paraId="309CABEC" w14:textId="63A0B255" w:rsidR="00936CF7" w:rsidRPr="00E10B6E" w:rsidRDefault="00936CF7" w:rsidP="00936CF7">
      <w:pPr>
        <w:pStyle w:val="Caption"/>
        <w:keepNext/>
      </w:pPr>
      <w:bookmarkStart w:id="32" w:name="_Ref46355015"/>
      <w:r w:rsidRPr="00E10B6E">
        <w:t xml:space="preserve">Table </w:t>
      </w:r>
      <w:r w:rsidR="00722F9A">
        <w:fldChar w:fldCharType="begin"/>
      </w:r>
      <w:r w:rsidR="00722F9A">
        <w:instrText xml:space="preserve"> SEQ Table \* ARABIC </w:instrText>
      </w:r>
      <w:r w:rsidR="00722F9A">
        <w:fldChar w:fldCharType="separate"/>
      </w:r>
      <w:r w:rsidR="00983F73">
        <w:rPr>
          <w:noProof/>
        </w:rPr>
        <w:t>3</w:t>
      </w:r>
      <w:r w:rsidR="00722F9A">
        <w:rPr>
          <w:noProof/>
        </w:rPr>
        <w:fldChar w:fldCharType="end"/>
      </w:r>
      <w:bookmarkEnd w:id="32"/>
      <w:r w:rsidRPr="00E10B6E">
        <w:t>: Density, tensile yield strength, shore hardness and maximum continuous service temperature (CST) of high-density polyethylene (Omnexus, 2020b).</w:t>
      </w:r>
    </w:p>
    <w:tbl>
      <w:tblPr>
        <w:tblStyle w:val="TableGrid"/>
        <w:tblW w:w="9072" w:type="dxa"/>
        <w:tblLook w:val="04A0" w:firstRow="1" w:lastRow="0" w:firstColumn="1" w:lastColumn="0" w:noHBand="0" w:noVBand="1"/>
      </w:tblPr>
      <w:tblGrid>
        <w:gridCol w:w="2268"/>
        <w:gridCol w:w="2268"/>
        <w:gridCol w:w="2268"/>
        <w:gridCol w:w="2268"/>
      </w:tblGrid>
      <w:tr w:rsidR="00936CF7" w:rsidRPr="00E10B6E" w14:paraId="7E7A7F03" w14:textId="77777777" w:rsidTr="00936CF7">
        <w:trPr>
          <w:trHeight w:val="567"/>
        </w:trPr>
        <w:tc>
          <w:tcPr>
            <w:tcW w:w="2268" w:type="dxa"/>
            <w:shd w:val="clear" w:color="auto" w:fill="4472C4" w:themeFill="accent1"/>
            <w:vAlign w:val="center"/>
          </w:tcPr>
          <w:p w14:paraId="057C5228" w14:textId="77777777" w:rsidR="00936CF7" w:rsidRPr="00E10B6E" w:rsidRDefault="00936CF7" w:rsidP="005C5A88">
            <w:pPr>
              <w:jc w:val="center"/>
              <w:rPr>
                <w:b/>
                <w:bCs/>
                <w:color w:val="FFFFFF" w:themeColor="background1"/>
              </w:rPr>
            </w:pPr>
            <w:r w:rsidRPr="00E10B6E">
              <w:rPr>
                <w:b/>
                <w:bCs/>
                <w:color w:val="FFFFFF" w:themeColor="background1"/>
              </w:rPr>
              <w:t xml:space="preserve">Density </w:t>
            </w:r>
            <w:r w:rsidRPr="00E10B6E">
              <w:rPr>
                <w:b/>
                <w:bCs/>
                <w:color w:val="FFFFFF" w:themeColor="background1"/>
              </w:rPr>
              <w:br/>
              <w:t>(g/cm</w:t>
            </w:r>
            <w:r w:rsidRPr="00E10B6E">
              <w:rPr>
                <w:b/>
                <w:bCs/>
                <w:color w:val="FFFFFF" w:themeColor="background1"/>
                <w:vertAlign w:val="superscript"/>
              </w:rPr>
              <w:t>3</w:t>
            </w:r>
            <w:r w:rsidRPr="00E10B6E">
              <w:rPr>
                <w:b/>
                <w:bCs/>
                <w:color w:val="FFFFFF" w:themeColor="background1"/>
              </w:rPr>
              <w:t>)</w:t>
            </w:r>
          </w:p>
        </w:tc>
        <w:tc>
          <w:tcPr>
            <w:tcW w:w="2268" w:type="dxa"/>
            <w:shd w:val="clear" w:color="auto" w:fill="4472C4" w:themeFill="accent1"/>
            <w:vAlign w:val="center"/>
          </w:tcPr>
          <w:p w14:paraId="0D687EB5" w14:textId="77777777" w:rsidR="00936CF7" w:rsidRPr="00E10B6E" w:rsidRDefault="00936CF7" w:rsidP="005C5A88">
            <w:pPr>
              <w:jc w:val="center"/>
              <w:rPr>
                <w:b/>
                <w:bCs/>
                <w:color w:val="FFFFFF" w:themeColor="background1"/>
              </w:rPr>
            </w:pPr>
            <w:r w:rsidRPr="00E10B6E">
              <w:rPr>
                <w:b/>
                <w:bCs/>
                <w:color w:val="FFFFFF" w:themeColor="background1"/>
              </w:rPr>
              <w:t>Tensile yield strength (MPa)</w:t>
            </w:r>
          </w:p>
        </w:tc>
        <w:tc>
          <w:tcPr>
            <w:tcW w:w="2268" w:type="dxa"/>
            <w:shd w:val="clear" w:color="auto" w:fill="4472C4" w:themeFill="accent1"/>
            <w:vAlign w:val="center"/>
          </w:tcPr>
          <w:p w14:paraId="7CD1A5BD" w14:textId="77777777" w:rsidR="00936CF7" w:rsidRPr="00E10B6E" w:rsidRDefault="00936CF7" w:rsidP="005C5A88">
            <w:pPr>
              <w:jc w:val="center"/>
              <w:rPr>
                <w:b/>
                <w:bCs/>
                <w:color w:val="FFFFFF" w:themeColor="background1"/>
              </w:rPr>
            </w:pPr>
            <w:r w:rsidRPr="00E10B6E">
              <w:rPr>
                <w:b/>
                <w:bCs/>
                <w:color w:val="FFFFFF" w:themeColor="background1"/>
              </w:rPr>
              <w:t>Shore hardness</w:t>
            </w:r>
            <w:r w:rsidRPr="00E10B6E">
              <w:rPr>
                <w:b/>
                <w:bCs/>
                <w:color w:val="FFFFFF" w:themeColor="background1"/>
              </w:rPr>
              <w:br/>
              <w:t>(D scale)</w:t>
            </w:r>
          </w:p>
        </w:tc>
        <w:tc>
          <w:tcPr>
            <w:tcW w:w="2268" w:type="dxa"/>
            <w:shd w:val="clear" w:color="auto" w:fill="4472C4" w:themeFill="accent1"/>
            <w:vAlign w:val="center"/>
          </w:tcPr>
          <w:p w14:paraId="11D04883" w14:textId="77777777" w:rsidR="00936CF7" w:rsidRPr="00E10B6E" w:rsidRDefault="00936CF7" w:rsidP="005C5A88">
            <w:pPr>
              <w:jc w:val="center"/>
              <w:rPr>
                <w:b/>
                <w:bCs/>
                <w:color w:val="FFFFFF" w:themeColor="background1"/>
              </w:rPr>
            </w:pPr>
            <w:r w:rsidRPr="00E10B6E">
              <w:rPr>
                <w:b/>
                <w:bCs/>
                <w:color w:val="FFFFFF" w:themeColor="background1"/>
              </w:rPr>
              <w:t xml:space="preserve">Max CST </w:t>
            </w:r>
            <w:r w:rsidRPr="00E10B6E">
              <w:rPr>
                <w:b/>
                <w:bCs/>
                <w:color w:val="FFFFFF" w:themeColor="background1"/>
              </w:rPr>
              <w:br/>
              <w:t>(°C)</w:t>
            </w:r>
          </w:p>
        </w:tc>
      </w:tr>
      <w:tr w:rsidR="00936CF7" w:rsidRPr="00E10B6E" w14:paraId="158B0550" w14:textId="77777777" w:rsidTr="00661992">
        <w:trPr>
          <w:trHeight w:val="567"/>
        </w:trPr>
        <w:tc>
          <w:tcPr>
            <w:tcW w:w="2268" w:type="dxa"/>
            <w:vAlign w:val="center"/>
          </w:tcPr>
          <w:p w14:paraId="3C67837C" w14:textId="77777777" w:rsidR="00936CF7" w:rsidRPr="00E10B6E" w:rsidRDefault="00936CF7" w:rsidP="00661992">
            <w:pPr>
              <w:jc w:val="center"/>
            </w:pPr>
            <w:r w:rsidRPr="00E10B6E">
              <w:t>0.94-0.97</w:t>
            </w:r>
          </w:p>
        </w:tc>
        <w:tc>
          <w:tcPr>
            <w:tcW w:w="2268" w:type="dxa"/>
            <w:vAlign w:val="center"/>
          </w:tcPr>
          <w:p w14:paraId="6A2C0D60" w14:textId="77777777" w:rsidR="00936CF7" w:rsidRPr="00E10B6E" w:rsidRDefault="00936CF7" w:rsidP="00661992">
            <w:pPr>
              <w:jc w:val="center"/>
            </w:pPr>
            <w:r w:rsidRPr="00E10B6E">
              <w:t>25-30</w:t>
            </w:r>
          </w:p>
        </w:tc>
        <w:tc>
          <w:tcPr>
            <w:tcW w:w="2268" w:type="dxa"/>
            <w:vAlign w:val="center"/>
          </w:tcPr>
          <w:p w14:paraId="370A1A34" w14:textId="77777777" w:rsidR="00936CF7" w:rsidRPr="00E10B6E" w:rsidRDefault="00936CF7" w:rsidP="00661992">
            <w:pPr>
              <w:jc w:val="center"/>
            </w:pPr>
            <w:r w:rsidRPr="00E10B6E">
              <w:t>60-70</w:t>
            </w:r>
          </w:p>
        </w:tc>
        <w:tc>
          <w:tcPr>
            <w:tcW w:w="2268" w:type="dxa"/>
            <w:vAlign w:val="center"/>
          </w:tcPr>
          <w:p w14:paraId="199C202C" w14:textId="77777777" w:rsidR="00936CF7" w:rsidRPr="00E10B6E" w:rsidRDefault="00936CF7" w:rsidP="00661992">
            <w:pPr>
              <w:jc w:val="center"/>
            </w:pPr>
            <w:r w:rsidRPr="00E10B6E">
              <w:t>100-120</w:t>
            </w:r>
          </w:p>
        </w:tc>
      </w:tr>
    </w:tbl>
    <w:p w14:paraId="67AC3ECD" w14:textId="6AF62627" w:rsidR="00936CF7" w:rsidRPr="00E10B6E" w:rsidRDefault="00FE392E" w:rsidP="00936CF7">
      <w:pPr>
        <w:jc w:val="both"/>
      </w:pPr>
      <w:r w:rsidRPr="00E10B6E">
        <w:br/>
      </w:r>
      <w:r w:rsidR="00936CF7" w:rsidRPr="00E10B6E">
        <w:t xml:space="preserve">HDPE is usually processed by injection moulding, extrusion, roto-moulding, and blow moulding. This grade of PE is heavier, sturdier, harder and can resist to higher temperatures than both LDPE and LLDPE, making it suitable for rigid packaging, household and consumer goods, fibres, textiles, pipes and fittings </w:t>
      </w:r>
      <w:r w:rsidR="00936CF7" w:rsidRPr="00E10B6E">
        <w:fldChar w:fldCharType="begin" w:fldLock="1"/>
      </w:r>
      <w:r w:rsidR="00936CF7"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00936CF7" w:rsidRPr="00E10B6E">
        <w:fldChar w:fldCharType="separate"/>
      </w:r>
      <w:r w:rsidR="00936CF7" w:rsidRPr="00E10B6E">
        <w:rPr>
          <w:noProof/>
        </w:rPr>
        <w:t>(Omnexus, 2020a)</w:t>
      </w:r>
      <w:r w:rsidR="00936CF7" w:rsidRPr="00E10B6E">
        <w:fldChar w:fldCharType="end"/>
      </w:r>
      <w:r w:rsidR="00936CF7" w:rsidRPr="00E10B6E">
        <w:t xml:space="preserve">. Practical applications of HDPE are shown in </w:t>
      </w:r>
      <w:r w:rsidR="00936CF7" w:rsidRPr="00E10B6E">
        <w:fldChar w:fldCharType="begin"/>
      </w:r>
      <w:r w:rsidR="00936CF7" w:rsidRPr="00E10B6E">
        <w:instrText xml:space="preserve"> REF _Ref46348594 \h </w:instrText>
      </w:r>
      <w:r w:rsidR="00936CF7" w:rsidRPr="00E10B6E">
        <w:fldChar w:fldCharType="separate"/>
      </w:r>
      <w:r w:rsidR="00983F73" w:rsidRPr="00E10B6E">
        <w:t xml:space="preserve">Figure </w:t>
      </w:r>
      <w:r w:rsidR="00983F73">
        <w:rPr>
          <w:noProof/>
        </w:rPr>
        <w:t>11</w:t>
      </w:r>
      <w:r w:rsidR="00936CF7" w:rsidRPr="00E10B6E">
        <w:fldChar w:fldCharType="end"/>
      </w:r>
      <w:r w:rsidR="00936CF7" w:rsidRPr="00E10B6E">
        <w:t xml:space="preserve"> and </w:t>
      </w:r>
      <w:r w:rsidR="00936CF7" w:rsidRPr="00E10B6E">
        <w:fldChar w:fldCharType="begin"/>
      </w:r>
      <w:r w:rsidR="00936CF7" w:rsidRPr="00E10B6E">
        <w:instrText xml:space="preserve"> REF _Ref46348603 \h </w:instrText>
      </w:r>
      <w:r w:rsidR="00936CF7" w:rsidRPr="00E10B6E">
        <w:fldChar w:fldCharType="separate"/>
      </w:r>
      <w:r w:rsidR="00983F73" w:rsidRPr="00E10B6E">
        <w:t xml:space="preserve">Figure </w:t>
      </w:r>
      <w:r w:rsidR="00983F73">
        <w:rPr>
          <w:noProof/>
        </w:rPr>
        <w:t>12</w:t>
      </w:r>
      <w:r w:rsidR="00936CF7" w:rsidRPr="00E10B6E">
        <w:fldChar w:fldCharType="end"/>
      </w:r>
      <w:r w:rsidR="00936CF7" w:rsidRPr="00E10B6E">
        <w:t>.</w:t>
      </w:r>
    </w:p>
    <w:p w14:paraId="55F21ADC" w14:textId="77777777" w:rsidR="00936CF7" w:rsidRPr="00E10B6E" w:rsidRDefault="00936CF7" w:rsidP="00936CF7">
      <w:pPr>
        <w:jc w:val="both"/>
      </w:pPr>
    </w:p>
    <w:p w14:paraId="43FD4256" w14:textId="77777777" w:rsidR="00936CF7" w:rsidRPr="00E10B6E" w:rsidRDefault="00936CF7" w:rsidP="00936CF7">
      <w:pPr>
        <w:keepNext/>
        <w:jc w:val="center"/>
      </w:pPr>
      <w:r w:rsidRPr="00E10B6E">
        <w:rPr>
          <w:noProof/>
        </w:rPr>
        <w:lastRenderedPageBreak/>
        <w:drawing>
          <wp:inline distT="0" distB="0" distL="0" distR="0" wp14:anchorId="4346CD3F" wp14:editId="0E3CB0C6">
            <wp:extent cx="4235294" cy="2160000"/>
            <wp:effectExtent l="0" t="0" r="0" b="0"/>
            <wp:docPr id="1352839020" name="Picture 21" descr="Plastic HDPE Oil Jars, Capacity(litre): Upto 6 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8">
                      <a:extLst>
                        <a:ext uri="{28A0092B-C50C-407E-A947-70E740481C1C}">
                          <a14:useLocalDpi xmlns:a14="http://schemas.microsoft.com/office/drawing/2010/main" val="0"/>
                        </a:ext>
                      </a:extLst>
                    </a:blip>
                    <a:stretch>
                      <a:fillRect/>
                    </a:stretch>
                  </pic:blipFill>
                  <pic:spPr>
                    <a:xfrm>
                      <a:off x="0" y="0"/>
                      <a:ext cx="4235294" cy="2160000"/>
                    </a:xfrm>
                    <a:prstGeom prst="rect">
                      <a:avLst/>
                    </a:prstGeom>
                  </pic:spPr>
                </pic:pic>
              </a:graphicData>
            </a:graphic>
          </wp:inline>
        </w:drawing>
      </w:r>
    </w:p>
    <w:p w14:paraId="65E6C3F8" w14:textId="285ABDBC" w:rsidR="00936CF7" w:rsidRPr="00E10B6E" w:rsidRDefault="00936CF7" w:rsidP="00936CF7">
      <w:pPr>
        <w:pStyle w:val="Caption"/>
        <w:jc w:val="both"/>
      </w:pPr>
      <w:bookmarkStart w:id="33" w:name="_Ref46348594"/>
      <w:r w:rsidRPr="00E10B6E">
        <w:t xml:space="preserve">Figure </w:t>
      </w:r>
      <w:r w:rsidR="00722F9A">
        <w:fldChar w:fldCharType="begin"/>
      </w:r>
      <w:r w:rsidR="00722F9A">
        <w:instrText xml:space="preserve"> SEQ Figure \* ARABIC </w:instrText>
      </w:r>
      <w:r w:rsidR="00722F9A">
        <w:fldChar w:fldCharType="separate"/>
      </w:r>
      <w:r w:rsidR="00983F73">
        <w:rPr>
          <w:noProof/>
        </w:rPr>
        <w:t>11</w:t>
      </w:r>
      <w:r w:rsidR="00722F9A">
        <w:rPr>
          <w:noProof/>
        </w:rPr>
        <w:fldChar w:fldCharType="end"/>
      </w:r>
      <w:bookmarkEnd w:id="33"/>
      <w:r w:rsidRPr="00E10B6E">
        <w:t xml:space="preserve">: Example of blow moulded high-density polyethylene bottles </w:t>
      </w:r>
      <w:r w:rsidRPr="00E10B6E">
        <w:fldChar w:fldCharType="begin" w:fldLock="1"/>
      </w:r>
      <w:r w:rsidRPr="00E10B6E">
        <w:instrText>ADDIN CSL_CITATION {"citationItems":[{"id":"ITEM-1","itemData":{"URL":"https://www.indiamart.com/proddetail/plastic-hdpe-oil-jars-18778242373.html","accessed":{"date-parts":[["2020","4","28"]]},"author":[{"dropping-particle":"","family":"Indiamart","given":"","non-dropping-particle":"","parse-names":false,"suffix":""}],"id":"ITEM-1","issued":{"date-parts":[["2020"]]},"title":"Plastic HDPE Oil Jars","type":"webpage"},"uris":["http://www.mendeley.com/documents/?uuid=7ea8aca3-d114-4c61-b23e-2941644768e5"]}],"mendeley":{"formattedCitation":"(Indiamart, 2020)","plainTextFormattedCitation":"(Indiamart, 2020)","previouslyFormattedCitation":"(Indiamart, 2020)"},"properties":{"noteIndex":0},"schema":"https://github.com/citation-style-language/schema/raw/master/csl-citation.json"}</w:instrText>
      </w:r>
      <w:r w:rsidRPr="00E10B6E">
        <w:fldChar w:fldCharType="separate"/>
      </w:r>
      <w:r w:rsidRPr="00E10B6E">
        <w:rPr>
          <w:i w:val="0"/>
          <w:noProof/>
        </w:rPr>
        <w:t>(Indiamart, 2020)</w:t>
      </w:r>
      <w:r w:rsidRPr="00E10B6E">
        <w:fldChar w:fldCharType="end"/>
      </w:r>
      <w:r w:rsidRPr="00E10B6E">
        <w:t>.</w:t>
      </w:r>
    </w:p>
    <w:p w14:paraId="60F8DC0E" w14:textId="77777777" w:rsidR="00936CF7" w:rsidRPr="00E10B6E" w:rsidRDefault="00936CF7" w:rsidP="00936CF7">
      <w:pPr>
        <w:keepNext/>
        <w:jc w:val="center"/>
      </w:pPr>
      <w:r w:rsidRPr="00E10B6E">
        <w:rPr>
          <w:noProof/>
        </w:rPr>
        <w:drawing>
          <wp:inline distT="0" distB="0" distL="0" distR="0" wp14:anchorId="495648F6" wp14:editId="0E39E594">
            <wp:extent cx="3619500" cy="2159635"/>
            <wp:effectExtent l="0" t="0" r="0" b="0"/>
            <wp:docPr id="5205057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3619500" cy="2159635"/>
                    </a:xfrm>
                    <a:prstGeom prst="rect">
                      <a:avLst/>
                    </a:prstGeom>
                  </pic:spPr>
                </pic:pic>
              </a:graphicData>
            </a:graphic>
          </wp:inline>
        </w:drawing>
      </w:r>
    </w:p>
    <w:p w14:paraId="461EF28E" w14:textId="0B46E82E" w:rsidR="00936CF7" w:rsidRPr="00E10B6E" w:rsidRDefault="00936CF7" w:rsidP="00936CF7">
      <w:pPr>
        <w:pStyle w:val="Caption"/>
        <w:jc w:val="both"/>
      </w:pPr>
      <w:bookmarkStart w:id="34" w:name="_Ref46348603"/>
      <w:r w:rsidRPr="00E10B6E">
        <w:t xml:space="preserve">Figure </w:t>
      </w:r>
      <w:r w:rsidR="00722F9A">
        <w:fldChar w:fldCharType="begin"/>
      </w:r>
      <w:r w:rsidR="00722F9A">
        <w:instrText xml:space="preserve"> SEQ Figure \* ARABIC </w:instrText>
      </w:r>
      <w:r w:rsidR="00722F9A">
        <w:fldChar w:fldCharType="separate"/>
      </w:r>
      <w:r w:rsidR="00983F73">
        <w:rPr>
          <w:noProof/>
        </w:rPr>
        <w:t>12</w:t>
      </w:r>
      <w:r w:rsidR="00722F9A">
        <w:rPr>
          <w:noProof/>
        </w:rPr>
        <w:fldChar w:fldCharType="end"/>
      </w:r>
      <w:bookmarkEnd w:id="34"/>
      <w:r w:rsidRPr="00E10B6E">
        <w:t>: Example of high-density polyethylene corrosion</w:t>
      </w:r>
      <w:r w:rsidR="00F52340" w:rsidRPr="00E10B6E">
        <w:t>-</w:t>
      </w:r>
      <w:r w:rsidRPr="00E10B6E">
        <w:t xml:space="preserve">resistant pipes </w:t>
      </w:r>
      <w:r w:rsidRPr="00E10B6E">
        <w:fldChar w:fldCharType="begin" w:fldLock="1"/>
      </w:r>
      <w:r w:rsidRPr="00E10B6E">
        <w:instrText>ADDIN CSL_CITATION {"citationItems":[{"id":"ITEM-1","itemData":{"URL":"https://www.acmeplastics.com/what-is-hdpe","accessed":{"date-parts":[["2020","4","28"]]},"author":[{"dropping-particle":"","family":"Acme Plastics","given":"","non-dropping-particle":"","parse-names":false,"suffix":""}],"id":"ITEM-1","issued":{"date-parts":[["2020"]]},"title":"What is High Density Polyethylene (HDPE)?","type":"webpage"},"uris":["http://www.mendeley.com/documents/?uuid=36e50133-f62a-4545-b35d-cac324386c45"]}],"mendeley":{"formattedCitation":"(Acme Plastics, 2020)","plainTextFormattedCitation":"(Acme Plastics, 2020)","previouslyFormattedCitation":"(Acme Plastics, 2020)"},"properties":{"noteIndex":0},"schema":"https://github.com/citation-style-language/schema/raw/master/csl-citation.json"}</w:instrText>
      </w:r>
      <w:r w:rsidRPr="00E10B6E">
        <w:fldChar w:fldCharType="separate"/>
      </w:r>
      <w:r w:rsidRPr="00E10B6E">
        <w:rPr>
          <w:i w:val="0"/>
          <w:noProof/>
        </w:rPr>
        <w:t>(Acme Plastics, 2020)</w:t>
      </w:r>
      <w:r w:rsidRPr="00E10B6E">
        <w:fldChar w:fldCharType="end"/>
      </w:r>
      <w:r w:rsidRPr="00E10B6E">
        <w:t>.</w:t>
      </w:r>
    </w:p>
    <w:p w14:paraId="0C61D35B" w14:textId="2C3C6EA7" w:rsidR="00936CF7" w:rsidRPr="00E10B6E" w:rsidRDefault="00936CF7" w:rsidP="00936CF7">
      <w:pPr>
        <w:jc w:val="both"/>
      </w:pPr>
      <w:r w:rsidRPr="00E10B6E">
        <w:t xml:space="preserve">HDPE makes 12.2% of the plastics demand in Europe, for a total of 6.25 million tonnes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 xml:space="preserve">. Assuming the ratio is the same in the Netherlands, the volume of HDPE would be equal to 268,400 tonnes. Considering a price range between 1.05 and 1.08 €/kg </w:t>
      </w:r>
      <w:r w:rsidRPr="00E10B6E">
        <w:fldChar w:fldCharType="begin" w:fldLock="1"/>
      </w:r>
      <w:r w:rsidRPr="00E10B6E">
        <w:instrText>ADDIN CSL_CITATION {"citationItems":[{"id":"ITEM-1","itemData":{"URL":"https://www.plasticportal.eu/en/polymer-prices/lm/14/","accessed":{"date-parts":[["2020","4","27"]]},"author":[{"dropping-particle":"","family":"PlasticPortal","given":"","non-dropping-particle":"","parse-names":false,"suffix":""}],"id":"ITEM-1","issued":{"date-parts":[["2020"]]},"title":"Average Resin Prices","type":"webpage"},"uris":["http://www.mendeley.com/documents/?uuid=4bad33b8-39d7-409d-ad6a-6b489e32505a"]}],"mendeley":{"formattedCitation":"(PlasticPortal, 2020)","plainTextFormattedCitation":"(PlasticPortal, 2020)","previouslyFormattedCitation":"(PlasticPortal, 2020)"},"properties":{"noteIndex":0},"schema":"https://github.com/citation-style-language/schema/raw/master/csl-citation.json"}</w:instrText>
      </w:r>
      <w:r w:rsidRPr="00E10B6E">
        <w:fldChar w:fldCharType="separate"/>
      </w:r>
      <w:r w:rsidRPr="00E10B6E">
        <w:rPr>
          <w:noProof/>
        </w:rPr>
        <w:t>(PlasticPortal, 2020)</w:t>
      </w:r>
      <w:r w:rsidRPr="00E10B6E">
        <w:fldChar w:fldCharType="end"/>
      </w:r>
      <w:r w:rsidRPr="00E10B6E">
        <w:t>, the Dutch market would be worth 280-290 million euros per year.</w:t>
      </w:r>
    </w:p>
    <w:p w14:paraId="3E6A9BA5" w14:textId="59F5A3D9" w:rsidR="00936CF7" w:rsidRPr="00E10B6E" w:rsidRDefault="00936CF7" w:rsidP="00936CF7">
      <w:pPr>
        <w:jc w:val="both"/>
      </w:pPr>
      <w:r w:rsidRPr="00E10B6E">
        <w:t xml:space="preserve">HDPE is used especially in the packaging sector (milk bottles and shampoo bottles), for houseware and toys, and in the building and construction sector to make pipes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 xml:space="preserve">. The shares of HDPE in each sector are shown in </w:t>
      </w:r>
      <w:r w:rsidRPr="00E10B6E">
        <w:fldChar w:fldCharType="begin"/>
      </w:r>
      <w:r w:rsidRPr="00E10B6E">
        <w:instrText xml:space="preserve"> REF _Ref46348626 \h </w:instrText>
      </w:r>
      <w:r w:rsidRPr="00E10B6E">
        <w:fldChar w:fldCharType="separate"/>
      </w:r>
      <w:r w:rsidR="00983F73" w:rsidRPr="00E10B6E">
        <w:t xml:space="preserve">Figure </w:t>
      </w:r>
      <w:r w:rsidR="00983F73">
        <w:rPr>
          <w:noProof/>
        </w:rPr>
        <w:t>13</w:t>
      </w:r>
      <w:r w:rsidRPr="00E10B6E">
        <w:fldChar w:fldCharType="end"/>
      </w:r>
      <w:r w:rsidRPr="00E10B6E">
        <w:t>.</w:t>
      </w:r>
    </w:p>
    <w:p w14:paraId="1AE1D9A4" w14:textId="26635631" w:rsidR="00936CF7" w:rsidRPr="00E10B6E" w:rsidRDefault="00057F06" w:rsidP="00936CF7">
      <w:pPr>
        <w:keepNext/>
        <w:jc w:val="both"/>
      </w:pPr>
      <w:r w:rsidRPr="00E10B6E">
        <w:rPr>
          <w:noProof/>
          <w:color w:val="FF0000"/>
        </w:rPr>
        <w:lastRenderedPageBreak/>
        <w:drawing>
          <wp:inline distT="0" distB="0" distL="0" distR="0" wp14:anchorId="312E8F96" wp14:editId="0098F9A0">
            <wp:extent cx="5760000" cy="2884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884760"/>
                    </a:xfrm>
                    <a:prstGeom prst="rect">
                      <a:avLst/>
                    </a:prstGeom>
                    <a:noFill/>
                    <a:ln>
                      <a:noFill/>
                    </a:ln>
                  </pic:spPr>
                </pic:pic>
              </a:graphicData>
            </a:graphic>
          </wp:inline>
        </w:drawing>
      </w:r>
    </w:p>
    <w:p w14:paraId="0BD8CF96" w14:textId="7A5FF111" w:rsidR="00936CF7" w:rsidRPr="00E10B6E" w:rsidRDefault="00936CF7" w:rsidP="00936CF7">
      <w:pPr>
        <w:pStyle w:val="Caption"/>
        <w:jc w:val="both"/>
      </w:pPr>
      <w:bookmarkStart w:id="35" w:name="_Ref46348626"/>
      <w:r w:rsidRPr="00E10B6E">
        <w:t xml:space="preserve">Figure </w:t>
      </w:r>
      <w:r w:rsidR="00722F9A">
        <w:fldChar w:fldCharType="begin"/>
      </w:r>
      <w:r w:rsidR="00722F9A">
        <w:instrText xml:space="preserve"> SEQ Figure \* ARABIC </w:instrText>
      </w:r>
      <w:r w:rsidR="00722F9A">
        <w:fldChar w:fldCharType="separate"/>
      </w:r>
      <w:r w:rsidR="00983F73">
        <w:rPr>
          <w:noProof/>
        </w:rPr>
        <w:t>13</w:t>
      </w:r>
      <w:r w:rsidR="00722F9A">
        <w:rPr>
          <w:noProof/>
        </w:rPr>
        <w:fldChar w:fldCharType="end"/>
      </w:r>
      <w:bookmarkEnd w:id="35"/>
      <w:r w:rsidRPr="00E10B6E">
        <w:t xml:space="preserve">: </w:t>
      </w:r>
      <w:r w:rsidR="00D95D22" w:rsidRPr="00E10B6E">
        <w:t xml:space="preserve">Market demand (in kt/y) </w:t>
      </w:r>
      <w:r w:rsidRPr="00E10B6E">
        <w:t xml:space="preserve">of HDPE </w:t>
      </w:r>
      <w:r w:rsidR="001F0FE3" w:rsidRPr="00E10B6E">
        <w:t xml:space="preserve">used by the main consumer sectors in The Netherlands in 2018. Made with estimates from European data extracted from </w:t>
      </w:r>
      <w:r w:rsidR="001F0FE3" w:rsidRPr="00E10B6E">
        <w:fldChar w:fldCharType="begin" w:fldLock="1"/>
      </w:r>
      <w:r w:rsidR="001F0FE3"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1F0FE3" w:rsidRPr="00E10B6E">
        <w:fldChar w:fldCharType="separate"/>
      </w:r>
      <w:r w:rsidR="001F0FE3" w:rsidRPr="00E10B6E">
        <w:rPr>
          <w:i w:val="0"/>
          <w:noProof/>
        </w:rPr>
        <w:t>(PlasticsEurope, 2019)</w:t>
      </w:r>
      <w:r w:rsidR="001F0FE3" w:rsidRPr="00E10B6E">
        <w:fldChar w:fldCharType="end"/>
      </w:r>
      <w:r w:rsidR="001F0FE3" w:rsidRPr="00E10B6E">
        <w:t>.</w:t>
      </w:r>
    </w:p>
    <w:p w14:paraId="2A14BE47" w14:textId="7C9A6174" w:rsidR="004E487E" w:rsidRPr="00E10B6E" w:rsidRDefault="004E487E" w:rsidP="00914619">
      <w:pPr>
        <w:pStyle w:val="Heading3"/>
      </w:pPr>
      <w:bookmarkStart w:id="36" w:name="_Toc54274793"/>
      <w:r w:rsidRPr="00E10B6E">
        <w:t>4.2.3 P</w:t>
      </w:r>
      <w:r w:rsidR="00183E6D" w:rsidRPr="00E10B6E">
        <w:t>olypropylene</w:t>
      </w:r>
      <w:bookmarkEnd w:id="36"/>
    </w:p>
    <w:p w14:paraId="2BF674EE" w14:textId="12A15F63" w:rsidR="008A6DAC" w:rsidRPr="00E10B6E" w:rsidRDefault="008A6DAC" w:rsidP="008A6DAC">
      <w:pPr>
        <w:jc w:val="both"/>
      </w:pPr>
      <w:r w:rsidRPr="00E10B6E">
        <w:t xml:space="preserve">Polypropylene (PP) is a semi-rigid and translucent plastic with high resistance to heat, fatigue, electricity and chemicals like alcohols, acids, alkalis and oils </w:t>
      </w:r>
      <w:r w:rsidRPr="00E10B6E">
        <w:fldChar w:fldCharType="begin" w:fldLock="1"/>
      </w:r>
      <w:r w:rsidRPr="00E10B6E">
        <w:instrText>ADDIN CSL_CITATION {"citationItems":[{"id":"ITEM-1","itemData":{"URL":"https://www.bpf.co.uk/plastipedia/polymers/pp.aspx#physicalproperties","accessed":{"date-parts":[["2020","4","16"]]},"author":[{"dropping-particle":"","family":"BPF","given":"","non-dropping-particle":"","parse-names":false,"suffix":""}],"id":"ITEM-1","issued":{"date-parts":[["2020"]]},"title":"Polypropylene (PP)","type":"webpage"},"uris":["http://www.mendeley.com/documents/?uuid=48a32482-8cfe-4d67-8ee3-18356d326c3e"]}],"mendeley":{"formattedCitation":"(BPF, 2020)","plainTextFormattedCitation":"(BPF, 2020)","previouslyFormattedCitation":"(BPF, 2020)"},"properties":{"noteIndex":0},"schema":"https://github.com/citation-style-language/schema/raw/master/csl-citation.json"}</w:instrText>
      </w:r>
      <w:r w:rsidRPr="00E10B6E">
        <w:fldChar w:fldCharType="separate"/>
      </w:r>
      <w:r w:rsidRPr="00E10B6E">
        <w:rPr>
          <w:noProof/>
        </w:rPr>
        <w:t>(BPF, 2020)</w:t>
      </w:r>
      <w:r w:rsidRPr="00E10B6E">
        <w:fldChar w:fldCharType="end"/>
      </w:r>
      <w:r w:rsidRPr="00E10B6E">
        <w:t>. These properties can be altered by adding additives or by changing the share of co-monomers during the polymerisation process, making PP a very versatile material with a vast range of applications. The PP homopolymer contains only propylene and is a general</w:t>
      </w:r>
      <w:r w:rsidR="00F52340" w:rsidRPr="00E10B6E">
        <w:t>-</w:t>
      </w:r>
      <w:r w:rsidRPr="00E10B6E">
        <w:t xml:space="preserve">purpose grade plastic, while the PP Random Copolymer features ethene units (up to 6% by mass) randomly incorporated into the polymer chain, making it very flexible and optically clear, and the PP Block Copolymer incorporates ethene (5-15% by mass) arranged in a regular pattern, making the polymer less brittle. Finally, the PP Impact Copolymer also incorporates randomly ethylene, reaching a share of 45-65% and thus making it lighter while providing good resistance to impact </w:t>
      </w:r>
      <w:r w:rsidRPr="00E10B6E">
        <w:fldChar w:fldCharType="begin" w:fldLock="1"/>
      </w:r>
      <w:r w:rsidRPr="00E10B6E">
        <w:instrText>ADDIN CSL_CITATION {"citationItems":[{"id":"ITEM-1","itemData":{"URL":"https://omnexus.specialchem.com/selection-guide/polypropylene-pp-plastic#uses","accessed":{"date-parts":[["2020","6","12"]]},"author":[{"dropping-particle":"","family":"Omnexus","given":"","non-dropping-particle":"","parse-names":false,"suffix":""}],"id":"ITEM-1","issued":{"date-parts":[["2020"]]},"title":"Polypropylene (PP) Plastic: Types, Properties, Uses &amp; Structure Info","type":"webpage"},"uris":["http://www.mendeley.com/documents/?uuid=2b4d8289-66c7-3b7d-ad24-cc38cb7c9e8b"]}],"mendeley":{"formattedCitation":"(Omnexus, 2020c)","plainTextFormattedCitation":"(Omnexus, 2020c)","previouslyFormattedCitation":"(Omnexus, 2020c)"},"properties":{"noteIndex":0},"schema":"https://github.com/citation-style-language/schema/raw/master/csl-citation.json"}</w:instrText>
      </w:r>
      <w:r w:rsidRPr="00E10B6E">
        <w:fldChar w:fldCharType="separate"/>
      </w:r>
      <w:r w:rsidRPr="00E10B6E">
        <w:rPr>
          <w:noProof/>
        </w:rPr>
        <w:t>(Omnexus, 2020c)</w:t>
      </w:r>
      <w:r w:rsidRPr="00E10B6E">
        <w:fldChar w:fldCharType="end"/>
      </w:r>
      <w:r w:rsidRPr="00E10B6E">
        <w:t xml:space="preserve">. </w:t>
      </w:r>
      <w:r w:rsidRPr="00E10B6E">
        <w:fldChar w:fldCharType="begin"/>
      </w:r>
      <w:r w:rsidRPr="00E10B6E">
        <w:instrText xml:space="preserve"> REF _Ref46355033 \h </w:instrText>
      </w:r>
      <w:r w:rsidRPr="00E10B6E">
        <w:fldChar w:fldCharType="separate"/>
      </w:r>
      <w:r w:rsidR="00983F73" w:rsidRPr="00E10B6E">
        <w:t xml:space="preserve">Table </w:t>
      </w:r>
      <w:r w:rsidR="00983F73">
        <w:rPr>
          <w:noProof/>
        </w:rPr>
        <w:t>4</w:t>
      </w:r>
      <w:r w:rsidRPr="00E10B6E">
        <w:fldChar w:fldCharType="end"/>
      </w:r>
      <w:r w:rsidRPr="00E10B6E">
        <w:t xml:space="preserve"> shows an overview of its physical properties.</w:t>
      </w:r>
    </w:p>
    <w:p w14:paraId="712E52D5" w14:textId="7D40BE47" w:rsidR="008A6DAC" w:rsidRPr="00E10B6E" w:rsidRDefault="008A6DAC" w:rsidP="008A6DAC">
      <w:pPr>
        <w:pStyle w:val="Caption"/>
        <w:keepNext/>
      </w:pPr>
      <w:bookmarkStart w:id="37" w:name="_Ref46355033"/>
      <w:r w:rsidRPr="00E10B6E">
        <w:t xml:space="preserve">Table </w:t>
      </w:r>
      <w:r w:rsidR="00722F9A">
        <w:fldChar w:fldCharType="begin"/>
      </w:r>
      <w:r w:rsidR="00722F9A">
        <w:instrText xml:space="preserve"> SEQ Table \* ARABIC </w:instrText>
      </w:r>
      <w:r w:rsidR="00722F9A">
        <w:fldChar w:fldCharType="separate"/>
      </w:r>
      <w:r w:rsidR="00983F73">
        <w:rPr>
          <w:noProof/>
        </w:rPr>
        <w:t>4</w:t>
      </w:r>
      <w:r w:rsidR="00722F9A">
        <w:rPr>
          <w:noProof/>
        </w:rPr>
        <w:fldChar w:fldCharType="end"/>
      </w:r>
      <w:bookmarkEnd w:id="37"/>
      <w:r w:rsidRPr="00E10B6E">
        <w:t>: Density, tensile yield strength, shore hardness and maximum continuous service temperature (CST) of polypropylene (Omnexus, 2020b).</w:t>
      </w:r>
    </w:p>
    <w:tbl>
      <w:tblPr>
        <w:tblStyle w:val="TableGrid"/>
        <w:tblW w:w="9070" w:type="dxa"/>
        <w:tblLook w:val="04A0" w:firstRow="1" w:lastRow="0" w:firstColumn="1" w:lastColumn="0" w:noHBand="0" w:noVBand="1"/>
      </w:tblPr>
      <w:tblGrid>
        <w:gridCol w:w="1814"/>
        <w:gridCol w:w="1814"/>
        <w:gridCol w:w="1814"/>
        <w:gridCol w:w="1814"/>
        <w:gridCol w:w="1814"/>
      </w:tblGrid>
      <w:tr w:rsidR="008A6DAC" w:rsidRPr="00E10B6E" w14:paraId="737D4B0F" w14:textId="77777777" w:rsidTr="00974507">
        <w:trPr>
          <w:trHeight w:val="567"/>
        </w:trPr>
        <w:tc>
          <w:tcPr>
            <w:tcW w:w="1814" w:type="dxa"/>
            <w:shd w:val="clear" w:color="auto" w:fill="4472C4" w:themeFill="accent1"/>
            <w:vAlign w:val="center"/>
          </w:tcPr>
          <w:p w14:paraId="192CA579" w14:textId="77777777" w:rsidR="008A6DAC" w:rsidRPr="00E10B6E" w:rsidRDefault="008A6DAC" w:rsidP="0093270D">
            <w:pPr>
              <w:jc w:val="center"/>
              <w:rPr>
                <w:b/>
                <w:bCs/>
                <w:color w:val="FFFFFF" w:themeColor="background1"/>
              </w:rPr>
            </w:pPr>
            <w:r w:rsidRPr="00E10B6E">
              <w:rPr>
                <w:b/>
                <w:bCs/>
                <w:color w:val="FFFFFF" w:themeColor="background1"/>
              </w:rPr>
              <w:t>Grade</w:t>
            </w:r>
          </w:p>
        </w:tc>
        <w:tc>
          <w:tcPr>
            <w:tcW w:w="1814" w:type="dxa"/>
            <w:shd w:val="clear" w:color="auto" w:fill="4472C4" w:themeFill="accent1"/>
            <w:vAlign w:val="center"/>
          </w:tcPr>
          <w:p w14:paraId="60D4E29B" w14:textId="77777777" w:rsidR="008A6DAC" w:rsidRPr="00E10B6E" w:rsidRDefault="008A6DAC" w:rsidP="0093270D">
            <w:pPr>
              <w:jc w:val="center"/>
              <w:rPr>
                <w:b/>
                <w:bCs/>
                <w:color w:val="FFFFFF" w:themeColor="background1"/>
              </w:rPr>
            </w:pPr>
            <w:r w:rsidRPr="00E10B6E">
              <w:rPr>
                <w:b/>
                <w:bCs/>
                <w:color w:val="FFFFFF" w:themeColor="background1"/>
              </w:rPr>
              <w:t xml:space="preserve">Density </w:t>
            </w:r>
            <w:r w:rsidRPr="00E10B6E">
              <w:rPr>
                <w:b/>
                <w:bCs/>
                <w:color w:val="FFFFFF" w:themeColor="background1"/>
              </w:rPr>
              <w:br/>
              <w:t>(g/cm</w:t>
            </w:r>
            <w:r w:rsidRPr="00E10B6E">
              <w:rPr>
                <w:b/>
                <w:bCs/>
                <w:color w:val="FFFFFF" w:themeColor="background1"/>
                <w:vertAlign w:val="superscript"/>
              </w:rPr>
              <w:t>3</w:t>
            </w:r>
            <w:r w:rsidRPr="00E10B6E">
              <w:rPr>
                <w:b/>
                <w:bCs/>
                <w:color w:val="FFFFFF" w:themeColor="background1"/>
              </w:rPr>
              <w:t>)</w:t>
            </w:r>
          </w:p>
        </w:tc>
        <w:tc>
          <w:tcPr>
            <w:tcW w:w="1814" w:type="dxa"/>
            <w:shd w:val="clear" w:color="auto" w:fill="4472C4" w:themeFill="accent1"/>
            <w:vAlign w:val="center"/>
          </w:tcPr>
          <w:p w14:paraId="6206315E" w14:textId="77777777" w:rsidR="008A6DAC" w:rsidRPr="00E10B6E" w:rsidRDefault="008A6DAC" w:rsidP="0093270D">
            <w:pPr>
              <w:jc w:val="center"/>
              <w:rPr>
                <w:b/>
                <w:bCs/>
                <w:color w:val="FFFFFF" w:themeColor="background1"/>
              </w:rPr>
            </w:pPr>
            <w:r w:rsidRPr="00E10B6E">
              <w:rPr>
                <w:b/>
                <w:bCs/>
                <w:color w:val="FFFFFF" w:themeColor="background1"/>
              </w:rPr>
              <w:t>Tensile yield strength (MPa)</w:t>
            </w:r>
          </w:p>
        </w:tc>
        <w:tc>
          <w:tcPr>
            <w:tcW w:w="1814" w:type="dxa"/>
            <w:shd w:val="clear" w:color="auto" w:fill="4472C4" w:themeFill="accent1"/>
            <w:vAlign w:val="center"/>
          </w:tcPr>
          <w:p w14:paraId="22A0D3EB" w14:textId="77777777" w:rsidR="008A6DAC" w:rsidRPr="00E10B6E" w:rsidRDefault="008A6DAC" w:rsidP="0093270D">
            <w:pPr>
              <w:jc w:val="center"/>
              <w:rPr>
                <w:b/>
                <w:bCs/>
                <w:color w:val="FFFFFF" w:themeColor="background1"/>
              </w:rPr>
            </w:pPr>
            <w:r w:rsidRPr="00E10B6E">
              <w:rPr>
                <w:b/>
                <w:bCs/>
                <w:color w:val="FFFFFF" w:themeColor="background1"/>
              </w:rPr>
              <w:t>Shore hardness</w:t>
            </w:r>
            <w:r w:rsidRPr="00E10B6E">
              <w:rPr>
                <w:b/>
                <w:bCs/>
                <w:color w:val="FFFFFF" w:themeColor="background1"/>
              </w:rPr>
              <w:br/>
              <w:t>(D scale)</w:t>
            </w:r>
          </w:p>
        </w:tc>
        <w:tc>
          <w:tcPr>
            <w:tcW w:w="1814" w:type="dxa"/>
            <w:shd w:val="clear" w:color="auto" w:fill="4472C4" w:themeFill="accent1"/>
            <w:vAlign w:val="center"/>
          </w:tcPr>
          <w:p w14:paraId="0EEEA003" w14:textId="77777777" w:rsidR="008A6DAC" w:rsidRPr="00E10B6E" w:rsidRDefault="008A6DAC" w:rsidP="0093270D">
            <w:pPr>
              <w:jc w:val="center"/>
              <w:rPr>
                <w:b/>
                <w:bCs/>
                <w:color w:val="FFFFFF" w:themeColor="background1"/>
              </w:rPr>
            </w:pPr>
            <w:r w:rsidRPr="00E10B6E">
              <w:rPr>
                <w:b/>
                <w:bCs/>
                <w:color w:val="FFFFFF" w:themeColor="background1"/>
              </w:rPr>
              <w:t xml:space="preserve">Max CST </w:t>
            </w:r>
            <w:r w:rsidRPr="00E10B6E">
              <w:rPr>
                <w:b/>
                <w:bCs/>
                <w:color w:val="FFFFFF" w:themeColor="background1"/>
              </w:rPr>
              <w:br/>
              <w:t>(°C)</w:t>
            </w:r>
          </w:p>
        </w:tc>
      </w:tr>
      <w:tr w:rsidR="008A6DAC" w:rsidRPr="00E10B6E" w14:paraId="57D87469" w14:textId="77777777" w:rsidTr="00974507">
        <w:trPr>
          <w:trHeight w:val="567"/>
        </w:trPr>
        <w:tc>
          <w:tcPr>
            <w:tcW w:w="1814" w:type="dxa"/>
            <w:vAlign w:val="center"/>
          </w:tcPr>
          <w:p w14:paraId="28B57297" w14:textId="77777777" w:rsidR="008A6DAC" w:rsidRPr="00E10B6E" w:rsidRDefault="008A6DAC" w:rsidP="00661992">
            <w:pPr>
              <w:jc w:val="center"/>
            </w:pPr>
            <w:r w:rsidRPr="00E10B6E">
              <w:t>Homopolymer</w:t>
            </w:r>
          </w:p>
        </w:tc>
        <w:tc>
          <w:tcPr>
            <w:tcW w:w="1814" w:type="dxa"/>
            <w:vAlign w:val="center"/>
          </w:tcPr>
          <w:p w14:paraId="53F9D34F" w14:textId="77777777" w:rsidR="008A6DAC" w:rsidRPr="00E10B6E" w:rsidRDefault="008A6DAC" w:rsidP="00661992">
            <w:pPr>
              <w:jc w:val="center"/>
            </w:pPr>
            <w:r w:rsidRPr="00E10B6E">
              <w:t>0.90-0.91</w:t>
            </w:r>
          </w:p>
        </w:tc>
        <w:tc>
          <w:tcPr>
            <w:tcW w:w="1814" w:type="dxa"/>
            <w:vAlign w:val="center"/>
          </w:tcPr>
          <w:p w14:paraId="322C7057" w14:textId="77777777" w:rsidR="008A6DAC" w:rsidRPr="00E10B6E" w:rsidRDefault="008A6DAC" w:rsidP="00661992">
            <w:pPr>
              <w:jc w:val="center"/>
            </w:pPr>
            <w:r w:rsidRPr="00E10B6E">
              <w:t>35-40</w:t>
            </w:r>
          </w:p>
        </w:tc>
        <w:tc>
          <w:tcPr>
            <w:tcW w:w="1814" w:type="dxa"/>
            <w:vAlign w:val="center"/>
          </w:tcPr>
          <w:p w14:paraId="6DDE8FFF" w14:textId="77777777" w:rsidR="008A6DAC" w:rsidRPr="00E10B6E" w:rsidRDefault="008A6DAC" w:rsidP="00661992">
            <w:pPr>
              <w:jc w:val="center"/>
            </w:pPr>
            <w:r w:rsidRPr="00E10B6E">
              <w:t>70-83</w:t>
            </w:r>
          </w:p>
        </w:tc>
        <w:tc>
          <w:tcPr>
            <w:tcW w:w="1814" w:type="dxa"/>
            <w:vAlign w:val="center"/>
          </w:tcPr>
          <w:p w14:paraId="0E47140A" w14:textId="77777777" w:rsidR="008A6DAC" w:rsidRPr="00E10B6E" w:rsidRDefault="008A6DAC" w:rsidP="00661992">
            <w:pPr>
              <w:jc w:val="center"/>
            </w:pPr>
            <w:r w:rsidRPr="00E10B6E">
              <w:t>100-130</w:t>
            </w:r>
          </w:p>
        </w:tc>
      </w:tr>
      <w:tr w:rsidR="008A6DAC" w:rsidRPr="00E10B6E" w14:paraId="035E646C" w14:textId="77777777" w:rsidTr="00974507">
        <w:trPr>
          <w:trHeight w:val="567"/>
        </w:trPr>
        <w:tc>
          <w:tcPr>
            <w:tcW w:w="1814" w:type="dxa"/>
            <w:vAlign w:val="center"/>
          </w:tcPr>
          <w:p w14:paraId="25F6C380" w14:textId="77777777" w:rsidR="008A6DAC" w:rsidRPr="00E10B6E" w:rsidRDefault="008A6DAC" w:rsidP="00661992">
            <w:pPr>
              <w:jc w:val="center"/>
            </w:pPr>
            <w:r w:rsidRPr="00E10B6E">
              <w:t>Copolymer</w:t>
            </w:r>
          </w:p>
        </w:tc>
        <w:tc>
          <w:tcPr>
            <w:tcW w:w="1814" w:type="dxa"/>
            <w:vAlign w:val="center"/>
          </w:tcPr>
          <w:p w14:paraId="06B6D9CC" w14:textId="77777777" w:rsidR="008A6DAC" w:rsidRPr="00E10B6E" w:rsidRDefault="008A6DAC" w:rsidP="00661992">
            <w:pPr>
              <w:jc w:val="center"/>
            </w:pPr>
            <w:r w:rsidRPr="00E10B6E">
              <w:t>0.90-0.91</w:t>
            </w:r>
          </w:p>
        </w:tc>
        <w:tc>
          <w:tcPr>
            <w:tcW w:w="1814" w:type="dxa"/>
            <w:vAlign w:val="center"/>
          </w:tcPr>
          <w:p w14:paraId="2FCE27D9" w14:textId="77777777" w:rsidR="008A6DAC" w:rsidRPr="00E10B6E" w:rsidRDefault="008A6DAC" w:rsidP="00661992">
            <w:pPr>
              <w:jc w:val="center"/>
            </w:pPr>
            <w:r w:rsidRPr="00E10B6E">
              <w:t>20-35</w:t>
            </w:r>
          </w:p>
        </w:tc>
        <w:tc>
          <w:tcPr>
            <w:tcW w:w="1814" w:type="dxa"/>
            <w:vAlign w:val="center"/>
          </w:tcPr>
          <w:p w14:paraId="12DB8747" w14:textId="77777777" w:rsidR="008A6DAC" w:rsidRPr="00E10B6E" w:rsidRDefault="008A6DAC" w:rsidP="00661992">
            <w:pPr>
              <w:jc w:val="center"/>
            </w:pPr>
            <w:r w:rsidRPr="00E10B6E">
              <w:t>70-80</w:t>
            </w:r>
          </w:p>
        </w:tc>
        <w:tc>
          <w:tcPr>
            <w:tcW w:w="1814" w:type="dxa"/>
            <w:vAlign w:val="center"/>
          </w:tcPr>
          <w:p w14:paraId="0AE1614C" w14:textId="77777777" w:rsidR="008A6DAC" w:rsidRPr="00E10B6E" w:rsidRDefault="008A6DAC" w:rsidP="00661992">
            <w:pPr>
              <w:jc w:val="center"/>
            </w:pPr>
            <w:r w:rsidRPr="00E10B6E">
              <w:t>100-130</w:t>
            </w:r>
          </w:p>
        </w:tc>
      </w:tr>
      <w:tr w:rsidR="008A6DAC" w:rsidRPr="00E10B6E" w14:paraId="2B74C011" w14:textId="77777777" w:rsidTr="00974507">
        <w:trPr>
          <w:trHeight w:val="567"/>
        </w:trPr>
        <w:tc>
          <w:tcPr>
            <w:tcW w:w="1814" w:type="dxa"/>
            <w:vAlign w:val="center"/>
          </w:tcPr>
          <w:p w14:paraId="573F4578" w14:textId="77777777" w:rsidR="008A6DAC" w:rsidRPr="00E10B6E" w:rsidRDefault="008A6DAC" w:rsidP="00661992">
            <w:pPr>
              <w:jc w:val="center"/>
            </w:pPr>
            <w:r w:rsidRPr="00E10B6E">
              <w:t>Impact modified</w:t>
            </w:r>
          </w:p>
        </w:tc>
        <w:tc>
          <w:tcPr>
            <w:tcW w:w="1814" w:type="dxa"/>
            <w:vAlign w:val="center"/>
          </w:tcPr>
          <w:p w14:paraId="3158FC50" w14:textId="77777777" w:rsidR="008A6DAC" w:rsidRPr="00E10B6E" w:rsidRDefault="008A6DAC" w:rsidP="00661992">
            <w:pPr>
              <w:jc w:val="center"/>
            </w:pPr>
            <w:r w:rsidRPr="00E10B6E">
              <w:t>0.88-0.91</w:t>
            </w:r>
          </w:p>
        </w:tc>
        <w:tc>
          <w:tcPr>
            <w:tcW w:w="1814" w:type="dxa"/>
            <w:vAlign w:val="center"/>
          </w:tcPr>
          <w:p w14:paraId="3DD45C3C" w14:textId="77777777" w:rsidR="008A6DAC" w:rsidRPr="00E10B6E" w:rsidRDefault="008A6DAC" w:rsidP="00661992">
            <w:pPr>
              <w:jc w:val="center"/>
            </w:pPr>
            <w:r w:rsidRPr="00E10B6E">
              <w:t>11-28</w:t>
            </w:r>
          </w:p>
        </w:tc>
        <w:tc>
          <w:tcPr>
            <w:tcW w:w="1814" w:type="dxa"/>
            <w:vAlign w:val="center"/>
          </w:tcPr>
          <w:p w14:paraId="16E3351A" w14:textId="77777777" w:rsidR="008A6DAC" w:rsidRPr="00E10B6E" w:rsidRDefault="008A6DAC" w:rsidP="00661992">
            <w:pPr>
              <w:jc w:val="center"/>
            </w:pPr>
            <w:r w:rsidRPr="00E10B6E">
              <w:t>45-55</w:t>
            </w:r>
          </w:p>
        </w:tc>
        <w:tc>
          <w:tcPr>
            <w:tcW w:w="1814" w:type="dxa"/>
            <w:vAlign w:val="center"/>
          </w:tcPr>
          <w:p w14:paraId="2578EEFA" w14:textId="77777777" w:rsidR="008A6DAC" w:rsidRPr="00E10B6E" w:rsidRDefault="008A6DAC" w:rsidP="00661992">
            <w:pPr>
              <w:jc w:val="center"/>
            </w:pPr>
            <w:r w:rsidRPr="00E10B6E">
              <w:t>90-115</w:t>
            </w:r>
          </w:p>
        </w:tc>
      </w:tr>
    </w:tbl>
    <w:p w14:paraId="4811E630" w14:textId="301A2A88" w:rsidR="008A6DAC" w:rsidRPr="00E10B6E" w:rsidRDefault="00FE392E" w:rsidP="008A6DAC">
      <w:pPr>
        <w:jc w:val="both"/>
      </w:pPr>
      <w:r w:rsidRPr="00E10B6E">
        <w:br/>
      </w:r>
      <w:r w:rsidR="008A6DAC" w:rsidRPr="00E10B6E">
        <w:t xml:space="preserve">Polypropylene is harder and more resistant to heat than most of </w:t>
      </w:r>
      <w:r w:rsidR="00F52340" w:rsidRPr="00E10B6E">
        <w:t xml:space="preserve">the </w:t>
      </w:r>
      <w:r w:rsidR="008A6DAC" w:rsidRPr="00E10B6E">
        <w:t xml:space="preserve">polyethylene compounds. Moreover, the tensile strength of PP makes it the perfect material to manufacture living hinges, i.e. thin and flexible connections between two relatively rigid section, potentially being able to be flexed more than 900,000 times without breaking </w:t>
      </w:r>
      <w:r w:rsidR="008A6DAC" w:rsidRPr="00E10B6E">
        <w:fldChar w:fldCharType="begin" w:fldLock="1"/>
      </w:r>
      <w:r w:rsidR="008A6DAC" w:rsidRPr="00E10B6E">
        <w:instrText>ADDIN CSL_CITATION {"citationItems":[{"id":"ITEM-1","itemData":{"author":[{"dropping-particle":"","family":"MIT-Edu","given":"","non-dropping-particle":"","parse-names":false,"suffix":""}],"id":"ITEM-1","issued":{"date-parts":[["2020"]]},"title":"Design Issues on Living Hinges","type":"report"},"uris":["http://www.mendeley.com/documents/?uuid=6d100233-1055-417c-b1bc-33dd6a566531"]}],"mendeley":{"formattedCitation":"(MIT-Edu, 2020)","plainTextFormattedCitation":"(MIT-Edu, 2020)","previouslyFormattedCitation":"(MIT-Edu, 2020)"},"properties":{"noteIndex":0},"schema":"https://github.com/citation-style-language/schema/raw/master/csl-citation.json"}</w:instrText>
      </w:r>
      <w:r w:rsidR="008A6DAC" w:rsidRPr="00E10B6E">
        <w:fldChar w:fldCharType="separate"/>
      </w:r>
      <w:r w:rsidR="008A6DAC" w:rsidRPr="00E10B6E">
        <w:rPr>
          <w:noProof/>
        </w:rPr>
        <w:t>(MIT-Edu, 2020)</w:t>
      </w:r>
      <w:r w:rsidR="008A6DAC" w:rsidRPr="00E10B6E">
        <w:fldChar w:fldCharType="end"/>
      </w:r>
      <w:r w:rsidR="008A6DAC" w:rsidRPr="00E10B6E">
        <w:t xml:space="preserve">. A practical application of a PP living hinge can be seen in </w:t>
      </w:r>
      <w:r w:rsidR="008A6DAC" w:rsidRPr="00E10B6E">
        <w:fldChar w:fldCharType="begin"/>
      </w:r>
      <w:r w:rsidR="008A6DAC" w:rsidRPr="00E10B6E">
        <w:instrText xml:space="preserve"> REF _Ref46348708 \h </w:instrText>
      </w:r>
      <w:r w:rsidR="008A6DAC" w:rsidRPr="00E10B6E">
        <w:fldChar w:fldCharType="separate"/>
      </w:r>
      <w:r w:rsidR="00983F73" w:rsidRPr="00E10B6E">
        <w:t xml:space="preserve">Figure </w:t>
      </w:r>
      <w:r w:rsidR="00983F73">
        <w:rPr>
          <w:noProof/>
        </w:rPr>
        <w:t>14</w:t>
      </w:r>
      <w:r w:rsidR="008A6DAC" w:rsidRPr="00E10B6E">
        <w:fldChar w:fldCharType="end"/>
      </w:r>
      <w:r w:rsidR="008A6DAC" w:rsidRPr="00E10B6E">
        <w:t>.</w:t>
      </w:r>
    </w:p>
    <w:p w14:paraId="71B8930E" w14:textId="77777777" w:rsidR="008A6DAC" w:rsidRPr="00E10B6E" w:rsidRDefault="008A6DAC" w:rsidP="008A6DAC">
      <w:pPr>
        <w:keepNext/>
        <w:jc w:val="center"/>
      </w:pPr>
      <w:r w:rsidRPr="00E10B6E">
        <w:rPr>
          <w:noProof/>
        </w:rPr>
        <w:lastRenderedPageBreak/>
        <w:drawing>
          <wp:inline distT="0" distB="0" distL="0" distR="0" wp14:anchorId="43A31FB3" wp14:editId="6403E872">
            <wp:extent cx="3877842" cy="2160000"/>
            <wp:effectExtent l="0" t="0" r="8890" b="0"/>
            <wp:docPr id="20" name="Picture 20" descr="Living Hinge Design - The Ultimate Guide - Rev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Hinge Design - The Ultimate Guide - RevPart"/>
                    <pic:cNvPicPr>
                      <a:picLocks noChangeAspect="1" noChangeArrowheads="1"/>
                    </pic:cNvPicPr>
                  </pic:nvPicPr>
                  <pic:blipFill rotWithShape="1">
                    <a:blip r:embed="rId41">
                      <a:extLst>
                        <a:ext uri="{28A0092B-C50C-407E-A947-70E740481C1C}">
                          <a14:useLocalDpi xmlns:a14="http://schemas.microsoft.com/office/drawing/2010/main" val="0"/>
                        </a:ext>
                      </a:extLst>
                    </a:blip>
                    <a:srcRect l="-48" t="2836" r="143" b="3270"/>
                    <a:stretch/>
                  </pic:blipFill>
                  <pic:spPr bwMode="auto">
                    <a:xfrm>
                      <a:off x="0" y="0"/>
                      <a:ext cx="387784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0EE7533" w14:textId="000AD208" w:rsidR="008A6DAC" w:rsidRPr="00E10B6E" w:rsidRDefault="008A6DAC" w:rsidP="008A6DAC">
      <w:pPr>
        <w:pStyle w:val="Caption"/>
        <w:jc w:val="both"/>
      </w:pPr>
      <w:bookmarkStart w:id="38" w:name="_Ref46348708"/>
      <w:r w:rsidRPr="00E10B6E">
        <w:t xml:space="preserve">Figure </w:t>
      </w:r>
      <w:r w:rsidR="00722F9A">
        <w:fldChar w:fldCharType="begin"/>
      </w:r>
      <w:r w:rsidR="00722F9A">
        <w:instrText xml:space="preserve"> SEQ Figure \* ARABIC </w:instrText>
      </w:r>
      <w:r w:rsidR="00722F9A">
        <w:fldChar w:fldCharType="separate"/>
      </w:r>
      <w:r w:rsidR="00983F73">
        <w:rPr>
          <w:noProof/>
        </w:rPr>
        <w:t>14</w:t>
      </w:r>
      <w:r w:rsidR="00722F9A">
        <w:rPr>
          <w:noProof/>
        </w:rPr>
        <w:fldChar w:fldCharType="end"/>
      </w:r>
      <w:bookmarkEnd w:id="38"/>
      <w:r w:rsidRPr="00E10B6E">
        <w:t xml:space="preserve">: Example of a polypropylene butterfly living hinge used on the dispensing cap of a ketchup bottle </w:t>
      </w:r>
      <w:r w:rsidRPr="00E10B6E">
        <w:fldChar w:fldCharType="begin" w:fldLock="1"/>
      </w:r>
      <w:r w:rsidRPr="00E10B6E">
        <w:instrText>ADDIN CSL_CITATION {"citationItems":[{"id":"ITEM-1","itemData":{"URL":"https://revpart.com/living-hinge-design-guide/","accessed":{"date-parts":[["2020","4","27"]]},"author":[{"dropping-particle":"","family":"Davis","given":"M.","non-dropping-particle":"","parse-names":false,"suffix":""}],"id":"ITEM-1","issued":{"date-parts":[["2015"]]},"title":"Living Hinge Design - RevPart","type":"webpage"},"uris":["http://www.mendeley.com/documents/?uuid=e48be10b-d73b-46b8-894e-aa7aa1a11b58"]}],"mendeley":{"formattedCitation":"(Davis, 2015)","plainTextFormattedCitation":"(Davis, 2015)","previouslyFormattedCitation":"(Davis, 2015)"},"properties":{"noteIndex":0},"schema":"https://github.com/citation-style-language/schema/raw/master/csl-citation.json"}</w:instrText>
      </w:r>
      <w:r w:rsidRPr="00E10B6E">
        <w:fldChar w:fldCharType="separate"/>
      </w:r>
      <w:r w:rsidRPr="00E10B6E">
        <w:rPr>
          <w:i w:val="0"/>
          <w:noProof/>
        </w:rPr>
        <w:t>(Davis, 2015)</w:t>
      </w:r>
      <w:r w:rsidRPr="00E10B6E">
        <w:fldChar w:fldCharType="end"/>
      </w:r>
      <w:r w:rsidRPr="00E10B6E">
        <w:t>.</w:t>
      </w:r>
    </w:p>
    <w:p w14:paraId="7A3598EC" w14:textId="40830DA9" w:rsidR="008A6DAC" w:rsidRPr="00E10B6E" w:rsidRDefault="008A6DAC" w:rsidP="008A6DAC">
      <w:pPr>
        <w:jc w:val="both"/>
      </w:pPr>
      <w:r w:rsidRPr="00E10B6E">
        <w:t xml:space="preserve">PP makes 19.3% of the plastics demand in Europe, for a total of 9.88 million tonnes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 xml:space="preserve">. Assuming the ratio is the same in the Netherlands, the volume of PP would be equal to 424,600 tonnes. Considering a price range between 1.08 and 1.21 €/kg </w:t>
      </w:r>
      <w:r w:rsidRPr="00E10B6E">
        <w:fldChar w:fldCharType="begin" w:fldLock="1"/>
      </w:r>
      <w:r w:rsidRPr="00E10B6E">
        <w:instrText>ADDIN CSL_CITATION {"citationItems":[{"id":"ITEM-1","itemData":{"URL":"https://www.plasticportal.eu/en/polymer-prices/lm/14/","accessed":{"date-parts":[["2020","4","27"]]},"author":[{"dropping-particle":"","family":"PlasticPortal","given":"","non-dropping-particle":"","parse-names":false,"suffix":""}],"id":"ITEM-1","issued":{"date-parts":[["2020"]]},"title":"Average Resin Prices","type":"webpage"},"uris":["http://www.mendeley.com/documents/?uuid=4bad33b8-39d7-409d-ad6a-6b489e32505a"]}],"mendeley":{"formattedCitation":"(PlasticPortal, 2020)","plainTextFormattedCitation":"(PlasticPortal, 2020)","previouslyFormattedCitation":"(PlasticPortal, 2020)"},"properties":{"noteIndex":0},"schema":"https://github.com/citation-style-language/schema/raw/master/csl-citation.json"}</w:instrText>
      </w:r>
      <w:r w:rsidRPr="00E10B6E">
        <w:fldChar w:fldCharType="separate"/>
      </w:r>
      <w:r w:rsidRPr="00E10B6E">
        <w:rPr>
          <w:noProof/>
        </w:rPr>
        <w:t>(PlasticPortal, 2020)</w:t>
      </w:r>
      <w:r w:rsidRPr="00E10B6E">
        <w:fldChar w:fldCharType="end"/>
      </w:r>
      <w:r w:rsidRPr="00E10B6E">
        <w:t>, the Dutch market would be worth 450-510 million euros per year.</w:t>
      </w:r>
    </w:p>
    <w:p w14:paraId="182D3ABB" w14:textId="1A99AFBB" w:rsidR="008A6DAC" w:rsidRPr="00E10B6E" w:rsidRDefault="008A6DAC" w:rsidP="008A6DAC">
      <w:pPr>
        <w:jc w:val="both"/>
      </w:pPr>
      <w:r w:rsidRPr="00E10B6E">
        <w:t xml:space="preserve">PP is used especially in the packaging sector for flexible packaging (e.g. snack wrappers, thin films for clothing and tobacco) and rigid packaging (e.g. stackable crates, detergent and condiments bottles), in the household sector for reusable items (e.g. microwave food containers, toys, and gardening tools), in the building and construction sector (e.g. pipes), and has many applications in the automotive sector (e.g. interiors and bumpers)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id":"ITEM-2","itemData":{"URL":"https://www.bpf.co.uk/plastipedia/polymers/pp.aspx#physicalproperties","accessed":{"date-parts":[["2020","4","16"]]},"author":[{"dropping-particle":"","family":"BPF","given":"","non-dropping-particle":"","parse-names":false,"suffix":""}],"id":"ITEM-2","issued":{"date-parts":[["2020"]]},"title":"Polypropylene (PP)","type":"webpage"},"uris":["http://www.mendeley.com/documents/?uuid=48a32482-8cfe-4d67-8ee3-18356d326c3e"]}],"mendeley":{"formattedCitation":"(BPF, 2020; PlasticsEurope, 2019)","plainTextFormattedCitation":"(BPF, 2020; PlasticsEurope, 2019)","previouslyFormattedCitation":"(BPF, 2020; PlasticsEurope, 2019)"},"properties":{"noteIndex":0},"schema":"https://github.com/citation-style-language/schema/raw/master/csl-citation.json"}</w:instrText>
      </w:r>
      <w:r w:rsidRPr="00E10B6E">
        <w:fldChar w:fldCharType="separate"/>
      </w:r>
      <w:r w:rsidRPr="00E10B6E">
        <w:rPr>
          <w:noProof/>
        </w:rPr>
        <w:t>(BPF, 2020; PlasticsEurope, 2019)</w:t>
      </w:r>
      <w:r w:rsidRPr="00E10B6E">
        <w:fldChar w:fldCharType="end"/>
      </w:r>
      <w:r w:rsidRPr="00E10B6E">
        <w:t>. The shares of PP in each sector are shown in</w:t>
      </w:r>
      <w:r w:rsidR="00E47B76" w:rsidRPr="00E10B6E">
        <w:t xml:space="preserve"> </w:t>
      </w:r>
      <w:r w:rsidR="00E47B76" w:rsidRPr="00E10B6E">
        <w:fldChar w:fldCharType="begin"/>
      </w:r>
      <w:r w:rsidR="00E47B76" w:rsidRPr="00E10B6E">
        <w:instrText xml:space="preserve"> REF _Ref52461767 \h </w:instrText>
      </w:r>
      <w:r w:rsidR="00E47B76" w:rsidRPr="00E10B6E">
        <w:fldChar w:fldCharType="separate"/>
      </w:r>
      <w:r w:rsidR="00983F73" w:rsidRPr="00E10B6E">
        <w:t xml:space="preserve">Figure </w:t>
      </w:r>
      <w:r w:rsidR="00983F73">
        <w:rPr>
          <w:noProof/>
        </w:rPr>
        <w:t>15</w:t>
      </w:r>
      <w:r w:rsidR="00E47B76" w:rsidRPr="00E10B6E">
        <w:fldChar w:fldCharType="end"/>
      </w:r>
      <w:r w:rsidRPr="00E10B6E">
        <w:t>.</w:t>
      </w:r>
    </w:p>
    <w:p w14:paraId="0F65A5D9" w14:textId="076D8BAA" w:rsidR="0049274A" w:rsidRPr="00E10B6E" w:rsidRDefault="00E47B76" w:rsidP="0049274A">
      <w:pPr>
        <w:keepNext/>
        <w:jc w:val="both"/>
      </w:pPr>
      <w:r w:rsidRPr="00E10B6E">
        <w:rPr>
          <w:noProof/>
          <w:color w:val="FF0000"/>
        </w:rPr>
        <w:drawing>
          <wp:inline distT="0" distB="0" distL="0" distR="0" wp14:anchorId="787A1CC0" wp14:editId="2D754890">
            <wp:extent cx="5762625" cy="2886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14:paraId="1A32DB99" w14:textId="4FD030DA" w:rsidR="008A6DAC" w:rsidRPr="00E10B6E" w:rsidRDefault="0049274A" w:rsidP="0049274A">
      <w:pPr>
        <w:pStyle w:val="Caption"/>
        <w:jc w:val="both"/>
      </w:pPr>
      <w:bookmarkStart w:id="39" w:name="_Ref52461767"/>
      <w:r w:rsidRPr="00E10B6E">
        <w:t xml:space="preserve">Figure </w:t>
      </w:r>
      <w:r w:rsidR="00722F9A">
        <w:fldChar w:fldCharType="begin"/>
      </w:r>
      <w:r w:rsidR="00722F9A">
        <w:instrText xml:space="preserve"> SEQ Figure \* ARABIC </w:instrText>
      </w:r>
      <w:r w:rsidR="00722F9A">
        <w:fldChar w:fldCharType="separate"/>
      </w:r>
      <w:r w:rsidR="00983F73">
        <w:rPr>
          <w:noProof/>
        </w:rPr>
        <w:t>15</w:t>
      </w:r>
      <w:r w:rsidR="00722F9A">
        <w:rPr>
          <w:noProof/>
        </w:rPr>
        <w:fldChar w:fldCharType="end"/>
      </w:r>
      <w:bookmarkEnd w:id="39"/>
      <w:r w:rsidRPr="00E10B6E">
        <w:t xml:space="preserve">: </w:t>
      </w:r>
      <w:r w:rsidR="00D95D22" w:rsidRPr="00E10B6E">
        <w:t xml:space="preserve">Market demand (in kt/y) </w:t>
      </w:r>
      <w:r w:rsidRPr="00E10B6E">
        <w:t>of PP used by the main consumer sectors in The Netherlands in 2018. Made with estimates from European data extracted from (PlasticsEurope, 2019).</w:t>
      </w:r>
    </w:p>
    <w:p w14:paraId="7A4E0D14" w14:textId="77777777" w:rsidR="005724B8" w:rsidRPr="00E10B6E" w:rsidRDefault="005724B8">
      <w:pPr>
        <w:rPr>
          <w:rFonts w:asciiTheme="majorHAnsi" w:eastAsiaTheme="majorEastAsia" w:hAnsiTheme="majorHAnsi" w:cstheme="majorBidi"/>
          <w:color w:val="2F5496" w:themeColor="accent1" w:themeShade="BF"/>
          <w:sz w:val="28"/>
          <w:szCs w:val="26"/>
        </w:rPr>
      </w:pPr>
      <w:r w:rsidRPr="00E10B6E">
        <w:br w:type="page"/>
      </w:r>
    </w:p>
    <w:p w14:paraId="61FB0592" w14:textId="5806072C" w:rsidR="00EB6E3D" w:rsidRPr="00E10B6E" w:rsidRDefault="00EB6E3D" w:rsidP="00EB6E3D">
      <w:pPr>
        <w:pStyle w:val="Heading2"/>
      </w:pPr>
      <w:bookmarkStart w:id="40" w:name="_Toc54274794"/>
      <w:r w:rsidRPr="00E10B6E">
        <w:lastRenderedPageBreak/>
        <w:t>4.2 Polyolefin producers in the Netherlands</w:t>
      </w:r>
      <w:bookmarkEnd w:id="40"/>
    </w:p>
    <w:p w14:paraId="388B0107" w14:textId="78AED931" w:rsidR="00EB6E3D" w:rsidRPr="00E10B6E" w:rsidRDefault="00EB6E3D" w:rsidP="003D38B9">
      <w:pPr>
        <w:jc w:val="both"/>
      </w:pPr>
      <w:r w:rsidRPr="00E10B6E">
        <w:t>T</w:t>
      </w:r>
      <w:r w:rsidR="00B00DD6" w:rsidRPr="00E10B6E">
        <w:t xml:space="preserve">his section answers the second research question: </w:t>
      </w:r>
      <w:r w:rsidR="003D38B9" w:rsidRPr="00E10B6E">
        <w:t>“</w:t>
      </w:r>
      <w:r w:rsidR="003D38B9" w:rsidRPr="00E10B6E">
        <w:rPr>
          <w:i/>
          <w:iCs/>
        </w:rPr>
        <w:t xml:space="preserve">Who are the main producers of polyolefins in the Netherlands, and what are their production volumes, energy use, and carbon emissions?”. </w:t>
      </w:r>
      <w:r w:rsidR="003D38B9" w:rsidRPr="00E10B6E">
        <w:t xml:space="preserve">As explained in the Methodology chapter, </w:t>
      </w:r>
      <w:r w:rsidR="00155381" w:rsidRPr="00E10B6E">
        <w:fldChar w:fldCharType="begin"/>
      </w:r>
      <w:r w:rsidR="00155381" w:rsidRPr="00E10B6E">
        <w:instrText xml:space="preserve"> REF _Ref52460607 \h </w:instrText>
      </w:r>
      <w:r w:rsidR="00155381" w:rsidRPr="00E10B6E">
        <w:fldChar w:fldCharType="separate"/>
      </w:r>
      <w:r w:rsidR="00983F73" w:rsidRPr="00E10B6E">
        <w:t xml:space="preserve">Table </w:t>
      </w:r>
      <w:r w:rsidR="00983F73">
        <w:rPr>
          <w:noProof/>
        </w:rPr>
        <w:t>5</w:t>
      </w:r>
      <w:r w:rsidR="00155381" w:rsidRPr="00E10B6E">
        <w:fldChar w:fldCharType="end"/>
      </w:r>
      <w:r w:rsidR="00E0162C" w:rsidRPr="00E10B6E">
        <w:t xml:space="preserve"> only shows the aggregated values</w:t>
      </w:r>
      <w:r w:rsidR="008843B0" w:rsidRPr="00E10B6E">
        <w:t xml:space="preserve"> for the Netherlands, without explicating the contribution of each company </w:t>
      </w:r>
      <w:r w:rsidR="00E0162C" w:rsidRPr="00E10B6E">
        <w:t>due to confidentiality reasons.</w:t>
      </w:r>
    </w:p>
    <w:p w14:paraId="64BFD9B9" w14:textId="4C57476C" w:rsidR="00155381" w:rsidRPr="00E10B6E" w:rsidRDefault="00155381" w:rsidP="00155381">
      <w:pPr>
        <w:pStyle w:val="Caption"/>
        <w:keepNext/>
      </w:pPr>
      <w:bookmarkStart w:id="41" w:name="_Ref52460607"/>
      <w:r w:rsidRPr="00E10B6E">
        <w:t xml:space="preserve">Table </w:t>
      </w:r>
      <w:r w:rsidR="00722F9A">
        <w:fldChar w:fldCharType="begin"/>
      </w:r>
      <w:r w:rsidR="00722F9A">
        <w:instrText xml:space="preserve"> SEQ Table \* ARABIC </w:instrText>
      </w:r>
      <w:r w:rsidR="00722F9A">
        <w:fldChar w:fldCharType="separate"/>
      </w:r>
      <w:r w:rsidR="00983F73">
        <w:rPr>
          <w:noProof/>
        </w:rPr>
        <w:t>5</w:t>
      </w:r>
      <w:r w:rsidR="00722F9A">
        <w:rPr>
          <w:noProof/>
        </w:rPr>
        <w:fldChar w:fldCharType="end"/>
      </w:r>
      <w:bookmarkEnd w:id="41"/>
      <w:r w:rsidRPr="00E10B6E">
        <w:t>: Aggregated capacity, electricity consumption and heat consumption from polyolefins production in the Netherlands in 2019 (Confidential data from Dow, SABIC and Ducor, 2020).</w:t>
      </w:r>
    </w:p>
    <w:tbl>
      <w:tblPr>
        <w:tblStyle w:val="TableGrid"/>
        <w:tblW w:w="9072" w:type="dxa"/>
        <w:tblLook w:val="04A0" w:firstRow="1" w:lastRow="0" w:firstColumn="1" w:lastColumn="0" w:noHBand="0" w:noVBand="1"/>
      </w:tblPr>
      <w:tblGrid>
        <w:gridCol w:w="2268"/>
        <w:gridCol w:w="2268"/>
        <w:gridCol w:w="2268"/>
        <w:gridCol w:w="2268"/>
      </w:tblGrid>
      <w:tr w:rsidR="00264530" w:rsidRPr="00E10B6E" w14:paraId="6817D31C" w14:textId="77777777" w:rsidTr="00BF2B3A">
        <w:trPr>
          <w:trHeight w:val="567"/>
        </w:trPr>
        <w:tc>
          <w:tcPr>
            <w:tcW w:w="2268" w:type="dxa"/>
            <w:shd w:val="clear" w:color="auto" w:fill="4472C4" w:themeFill="accent1"/>
            <w:vAlign w:val="center"/>
          </w:tcPr>
          <w:p w14:paraId="4E94D157" w14:textId="0DC341F4" w:rsidR="00264530" w:rsidRPr="00E10B6E" w:rsidRDefault="00264530" w:rsidP="00BF2B3A">
            <w:pPr>
              <w:jc w:val="center"/>
              <w:rPr>
                <w:b/>
                <w:bCs/>
                <w:color w:val="FFFFFF" w:themeColor="background1"/>
              </w:rPr>
            </w:pPr>
            <w:r w:rsidRPr="00E10B6E">
              <w:rPr>
                <w:b/>
                <w:bCs/>
                <w:color w:val="FFFFFF" w:themeColor="background1"/>
              </w:rPr>
              <w:t>Polyolefin product</w:t>
            </w:r>
          </w:p>
        </w:tc>
        <w:tc>
          <w:tcPr>
            <w:tcW w:w="2268" w:type="dxa"/>
            <w:shd w:val="clear" w:color="auto" w:fill="4472C4" w:themeFill="accent1"/>
            <w:vAlign w:val="center"/>
          </w:tcPr>
          <w:p w14:paraId="31CC85B3" w14:textId="523B78C4" w:rsidR="00264530" w:rsidRPr="00E10B6E" w:rsidRDefault="00264530" w:rsidP="00BF2B3A">
            <w:pPr>
              <w:jc w:val="center"/>
              <w:rPr>
                <w:b/>
                <w:bCs/>
                <w:color w:val="FFFFFF" w:themeColor="background1"/>
              </w:rPr>
            </w:pPr>
            <w:r w:rsidRPr="00E10B6E">
              <w:rPr>
                <w:b/>
                <w:bCs/>
                <w:color w:val="FFFFFF" w:themeColor="background1"/>
              </w:rPr>
              <w:t>Nominal capacity [kt/y]</w:t>
            </w:r>
          </w:p>
        </w:tc>
        <w:tc>
          <w:tcPr>
            <w:tcW w:w="2268" w:type="dxa"/>
            <w:shd w:val="clear" w:color="auto" w:fill="4472C4" w:themeFill="accent1"/>
            <w:vAlign w:val="center"/>
          </w:tcPr>
          <w:p w14:paraId="0E31ECF0" w14:textId="77777777" w:rsidR="00264530" w:rsidRPr="00E10B6E" w:rsidRDefault="00264530" w:rsidP="00BF2B3A">
            <w:pPr>
              <w:jc w:val="center"/>
              <w:rPr>
                <w:b/>
                <w:bCs/>
                <w:color w:val="FFFFFF" w:themeColor="background1"/>
              </w:rPr>
            </w:pPr>
            <w:r w:rsidRPr="00E10B6E">
              <w:rPr>
                <w:b/>
                <w:bCs/>
                <w:color w:val="FFFFFF" w:themeColor="background1"/>
              </w:rPr>
              <w:t>Electricity consumption [GWh/y]</w:t>
            </w:r>
          </w:p>
        </w:tc>
        <w:tc>
          <w:tcPr>
            <w:tcW w:w="2268" w:type="dxa"/>
            <w:shd w:val="clear" w:color="auto" w:fill="4472C4" w:themeFill="accent1"/>
            <w:vAlign w:val="center"/>
          </w:tcPr>
          <w:p w14:paraId="2C5B5C8D" w14:textId="1790F05D" w:rsidR="00264530" w:rsidRPr="00E10B6E" w:rsidRDefault="00264530" w:rsidP="00BF2B3A">
            <w:pPr>
              <w:jc w:val="center"/>
              <w:rPr>
                <w:b/>
                <w:bCs/>
                <w:color w:val="FFFFFF" w:themeColor="background1"/>
              </w:rPr>
            </w:pPr>
            <w:r w:rsidRPr="00E10B6E">
              <w:rPr>
                <w:b/>
                <w:bCs/>
                <w:color w:val="FFFFFF" w:themeColor="background1"/>
              </w:rPr>
              <w:t>Heat consumption [TJ/y]</w:t>
            </w:r>
          </w:p>
        </w:tc>
      </w:tr>
      <w:tr w:rsidR="00264530" w:rsidRPr="00E10B6E" w14:paraId="2BD9DEBC" w14:textId="77777777" w:rsidTr="00BF2B3A">
        <w:trPr>
          <w:trHeight w:val="567"/>
        </w:trPr>
        <w:tc>
          <w:tcPr>
            <w:tcW w:w="2268" w:type="dxa"/>
            <w:vAlign w:val="center"/>
          </w:tcPr>
          <w:p w14:paraId="4E507513" w14:textId="45A75FCE" w:rsidR="00264530" w:rsidRPr="00E10B6E" w:rsidRDefault="00264530" w:rsidP="00BF2B3A">
            <w:pPr>
              <w:jc w:val="center"/>
            </w:pPr>
            <w:r w:rsidRPr="00E10B6E">
              <w:t>LDPE</w:t>
            </w:r>
          </w:p>
        </w:tc>
        <w:tc>
          <w:tcPr>
            <w:tcW w:w="2268" w:type="dxa"/>
            <w:vAlign w:val="center"/>
          </w:tcPr>
          <w:p w14:paraId="750AC18B" w14:textId="44C4225A" w:rsidR="00264530" w:rsidRPr="00E10B6E" w:rsidRDefault="00264530" w:rsidP="00BF2B3A">
            <w:pPr>
              <w:jc w:val="center"/>
            </w:pPr>
            <w:r w:rsidRPr="00E10B6E">
              <w:t>730</w:t>
            </w:r>
          </w:p>
        </w:tc>
        <w:tc>
          <w:tcPr>
            <w:tcW w:w="2268" w:type="dxa"/>
            <w:vAlign w:val="center"/>
          </w:tcPr>
          <w:p w14:paraId="38AFF2AC" w14:textId="78D4FC8D" w:rsidR="00264530" w:rsidRPr="00E10B6E" w:rsidRDefault="00264530" w:rsidP="00BF2B3A">
            <w:pPr>
              <w:jc w:val="center"/>
            </w:pPr>
            <w:r w:rsidRPr="00E10B6E">
              <w:t>678</w:t>
            </w:r>
          </w:p>
        </w:tc>
        <w:tc>
          <w:tcPr>
            <w:tcW w:w="2268" w:type="dxa"/>
            <w:vAlign w:val="center"/>
          </w:tcPr>
          <w:p w14:paraId="50FD9004" w14:textId="281C9251" w:rsidR="00264530" w:rsidRPr="00E10B6E" w:rsidRDefault="00264530" w:rsidP="00BF2B3A">
            <w:pPr>
              <w:jc w:val="center"/>
            </w:pPr>
            <w:r w:rsidRPr="00E10B6E">
              <w:t>-645</w:t>
            </w:r>
          </w:p>
        </w:tc>
      </w:tr>
      <w:tr w:rsidR="00264530" w:rsidRPr="00E10B6E" w14:paraId="15D9AB43" w14:textId="77777777" w:rsidTr="00BF2B3A">
        <w:trPr>
          <w:trHeight w:val="567"/>
        </w:trPr>
        <w:tc>
          <w:tcPr>
            <w:tcW w:w="2268" w:type="dxa"/>
            <w:vAlign w:val="center"/>
          </w:tcPr>
          <w:p w14:paraId="21D6AC43" w14:textId="4257A350" w:rsidR="00264530" w:rsidRPr="00E10B6E" w:rsidRDefault="00264530" w:rsidP="00BF2B3A">
            <w:pPr>
              <w:jc w:val="center"/>
            </w:pPr>
            <w:r w:rsidRPr="00E10B6E">
              <w:t>LLDPE</w:t>
            </w:r>
          </w:p>
        </w:tc>
        <w:tc>
          <w:tcPr>
            <w:tcW w:w="2268" w:type="dxa"/>
            <w:vAlign w:val="center"/>
          </w:tcPr>
          <w:p w14:paraId="439B59E3" w14:textId="3366ACF0" w:rsidR="00264530" w:rsidRPr="00E10B6E" w:rsidRDefault="00264530" w:rsidP="00BF2B3A">
            <w:pPr>
              <w:jc w:val="center"/>
            </w:pPr>
            <w:r w:rsidRPr="00E10B6E">
              <w:t>800</w:t>
            </w:r>
          </w:p>
        </w:tc>
        <w:tc>
          <w:tcPr>
            <w:tcW w:w="2268" w:type="dxa"/>
            <w:vAlign w:val="center"/>
          </w:tcPr>
          <w:p w14:paraId="39D4213F" w14:textId="6870E028" w:rsidR="00264530" w:rsidRPr="00E10B6E" w:rsidRDefault="00264530" w:rsidP="00BF2B3A">
            <w:pPr>
              <w:jc w:val="center"/>
            </w:pPr>
            <w:r w:rsidRPr="00E10B6E">
              <w:t>282</w:t>
            </w:r>
          </w:p>
        </w:tc>
        <w:tc>
          <w:tcPr>
            <w:tcW w:w="2268" w:type="dxa"/>
            <w:vAlign w:val="center"/>
          </w:tcPr>
          <w:p w14:paraId="1A0C482E" w14:textId="1B0C0DD9" w:rsidR="00264530" w:rsidRPr="00E10B6E" w:rsidRDefault="00264530" w:rsidP="00BF2B3A">
            <w:pPr>
              <w:jc w:val="center"/>
            </w:pPr>
            <w:r w:rsidRPr="00E10B6E">
              <w:t>552</w:t>
            </w:r>
          </w:p>
        </w:tc>
      </w:tr>
      <w:tr w:rsidR="00264530" w:rsidRPr="00E10B6E" w14:paraId="21A0C9CB" w14:textId="77777777" w:rsidTr="00BF2B3A">
        <w:trPr>
          <w:trHeight w:val="567"/>
        </w:trPr>
        <w:tc>
          <w:tcPr>
            <w:tcW w:w="2268" w:type="dxa"/>
            <w:vAlign w:val="center"/>
          </w:tcPr>
          <w:p w14:paraId="34203330" w14:textId="36777500" w:rsidR="00264530" w:rsidRPr="00E10B6E" w:rsidRDefault="00264530" w:rsidP="00BF2B3A">
            <w:pPr>
              <w:jc w:val="center"/>
            </w:pPr>
            <w:r w:rsidRPr="00E10B6E">
              <w:t>HDPE</w:t>
            </w:r>
          </w:p>
        </w:tc>
        <w:tc>
          <w:tcPr>
            <w:tcW w:w="2268" w:type="dxa"/>
            <w:vAlign w:val="center"/>
          </w:tcPr>
          <w:p w14:paraId="52589559" w14:textId="05054FA7" w:rsidR="00264530" w:rsidRPr="00E10B6E" w:rsidRDefault="00264530" w:rsidP="00BF2B3A">
            <w:pPr>
              <w:jc w:val="center"/>
            </w:pPr>
            <w:r w:rsidRPr="00E10B6E">
              <w:t>310</w:t>
            </w:r>
          </w:p>
        </w:tc>
        <w:tc>
          <w:tcPr>
            <w:tcW w:w="2268" w:type="dxa"/>
            <w:vAlign w:val="center"/>
          </w:tcPr>
          <w:p w14:paraId="2B665A2A" w14:textId="27870BF4" w:rsidR="00264530" w:rsidRPr="00E10B6E" w:rsidRDefault="00264530" w:rsidP="00BF2B3A">
            <w:pPr>
              <w:jc w:val="center"/>
            </w:pPr>
            <w:r w:rsidRPr="00E10B6E">
              <w:t>105</w:t>
            </w:r>
          </w:p>
        </w:tc>
        <w:tc>
          <w:tcPr>
            <w:tcW w:w="2268" w:type="dxa"/>
            <w:vAlign w:val="center"/>
          </w:tcPr>
          <w:p w14:paraId="109DC724" w14:textId="4CF80443" w:rsidR="00264530" w:rsidRPr="00E10B6E" w:rsidRDefault="00264530" w:rsidP="00BF2B3A">
            <w:pPr>
              <w:jc w:val="center"/>
            </w:pPr>
            <w:r w:rsidRPr="00E10B6E">
              <w:t>450</w:t>
            </w:r>
          </w:p>
        </w:tc>
      </w:tr>
      <w:tr w:rsidR="00264530" w:rsidRPr="00E10B6E" w14:paraId="62ECA33C" w14:textId="77777777" w:rsidTr="00BF2B3A">
        <w:trPr>
          <w:trHeight w:val="567"/>
        </w:trPr>
        <w:tc>
          <w:tcPr>
            <w:tcW w:w="2268" w:type="dxa"/>
            <w:vAlign w:val="center"/>
          </w:tcPr>
          <w:p w14:paraId="067B39FA" w14:textId="18844CE8" w:rsidR="00264530" w:rsidRPr="00E10B6E" w:rsidRDefault="00264530" w:rsidP="00BF2B3A">
            <w:pPr>
              <w:jc w:val="center"/>
            </w:pPr>
            <w:r w:rsidRPr="00E10B6E">
              <w:t>PP</w:t>
            </w:r>
          </w:p>
        </w:tc>
        <w:tc>
          <w:tcPr>
            <w:tcW w:w="2268" w:type="dxa"/>
            <w:vAlign w:val="center"/>
          </w:tcPr>
          <w:p w14:paraId="406BCCB7" w14:textId="37CD72B0" w:rsidR="00264530" w:rsidRPr="00E10B6E" w:rsidRDefault="00264530" w:rsidP="00BF2B3A">
            <w:pPr>
              <w:jc w:val="center"/>
            </w:pPr>
            <w:r w:rsidRPr="00E10B6E">
              <w:t>730</w:t>
            </w:r>
          </w:p>
        </w:tc>
        <w:tc>
          <w:tcPr>
            <w:tcW w:w="2268" w:type="dxa"/>
            <w:vAlign w:val="center"/>
          </w:tcPr>
          <w:p w14:paraId="0299585C" w14:textId="65D8A7BB" w:rsidR="00264530" w:rsidRPr="00E10B6E" w:rsidRDefault="00264530" w:rsidP="00BF2B3A">
            <w:pPr>
              <w:jc w:val="center"/>
            </w:pPr>
            <w:r w:rsidRPr="00E10B6E">
              <w:t>253</w:t>
            </w:r>
          </w:p>
        </w:tc>
        <w:tc>
          <w:tcPr>
            <w:tcW w:w="2268" w:type="dxa"/>
            <w:vAlign w:val="center"/>
          </w:tcPr>
          <w:p w14:paraId="4FDF66A9" w14:textId="34469689" w:rsidR="00264530" w:rsidRPr="00E10B6E" w:rsidRDefault="00264530" w:rsidP="00BF2B3A">
            <w:pPr>
              <w:jc w:val="center"/>
            </w:pPr>
            <w:r w:rsidRPr="00E10B6E">
              <w:t>286</w:t>
            </w:r>
          </w:p>
        </w:tc>
      </w:tr>
      <w:tr w:rsidR="00264530" w:rsidRPr="00E10B6E" w14:paraId="3C2CD9DB" w14:textId="77777777" w:rsidTr="00BF2B3A">
        <w:trPr>
          <w:trHeight w:val="567"/>
        </w:trPr>
        <w:tc>
          <w:tcPr>
            <w:tcW w:w="2268" w:type="dxa"/>
            <w:vAlign w:val="center"/>
          </w:tcPr>
          <w:p w14:paraId="0537BDC3" w14:textId="203858D7" w:rsidR="00264530" w:rsidRPr="00E10B6E" w:rsidRDefault="00264530" w:rsidP="00BF2B3A">
            <w:pPr>
              <w:jc w:val="center"/>
            </w:pPr>
            <w:r w:rsidRPr="00E10B6E">
              <w:t>Total</w:t>
            </w:r>
          </w:p>
        </w:tc>
        <w:tc>
          <w:tcPr>
            <w:tcW w:w="2268" w:type="dxa"/>
            <w:vAlign w:val="center"/>
          </w:tcPr>
          <w:p w14:paraId="4677A3ED" w14:textId="06C98F34" w:rsidR="00264530" w:rsidRPr="00E10B6E" w:rsidRDefault="00264530" w:rsidP="00BF2B3A">
            <w:pPr>
              <w:jc w:val="center"/>
            </w:pPr>
            <w:r w:rsidRPr="00E10B6E">
              <w:t>2,570</w:t>
            </w:r>
          </w:p>
        </w:tc>
        <w:tc>
          <w:tcPr>
            <w:tcW w:w="2268" w:type="dxa"/>
            <w:vAlign w:val="center"/>
          </w:tcPr>
          <w:p w14:paraId="76D89CE0" w14:textId="524769CB" w:rsidR="00264530" w:rsidRPr="00E10B6E" w:rsidRDefault="00264530" w:rsidP="00BF2B3A">
            <w:pPr>
              <w:jc w:val="center"/>
            </w:pPr>
            <w:r w:rsidRPr="00E10B6E">
              <w:t>1,318</w:t>
            </w:r>
          </w:p>
        </w:tc>
        <w:tc>
          <w:tcPr>
            <w:tcW w:w="2268" w:type="dxa"/>
            <w:vAlign w:val="center"/>
          </w:tcPr>
          <w:p w14:paraId="6F073F26" w14:textId="3B18E6DA" w:rsidR="00264530" w:rsidRPr="00E10B6E" w:rsidRDefault="00264530" w:rsidP="00BF2B3A">
            <w:pPr>
              <w:jc w:val="center"/>
            </w:pPr>
            <w:r w:rsidRPr="00E10B6E">
              <w:t>643</w:t>
            </w:r>
          </w:p>
        </w:tc>
      </w:tr>
    </w:tbl>
    <w:p w14:paraId="1A58734A" w14:textId="2C451D4C" w:rsidR="00264530" w:rsidRPr="00E10B6E" w:rsidRDefault="00155381" w:rsidP="00381FB3">
      <w:pPr>
        <w:jc w:val="both"/>
      </w:pPr>
      <w:r w:rsidRPr="00E10B6E">
        <w:br/>
      </w:r>
      <w:r w:rsidR="00BF2B3A" w:rsidRPr="00E10B6E">
        <w:t xml:space="preserve">As explained in the methodology, it is difficult to quantify the </w:t>
      </w:r>
      <w:r w:rsidR="00371845" w:rsidRPr="00E10B6E">
        <w:t xml:space="preserve">GHG emissions for polyolefins production. If only </w:t>
      </w:r>
      <w:r w:rsidR="00F52340" w:rsidRPr="00E10B6E">
        <w:t xml:space="preserve">the </w:t>
      </w:r>
      <w:r w:rsidR="00371845" w:rsidRPr="00E10B6E">
        <w:t xml:space="preserve">polymerisation </w:t>
      </w:r>
      <w:r w:rsidR="00F52340" w:rsidRPr="00E10B6E">
        <w:t xml:space="preserve">process </w:t>
      </w:r>
      <w:r w:rsidR="00371845" w:rsidRPr="00E10B6E">
        <w:t xml:space="preserve">is considered, </w:t>
      </w:r>
      <w:r w:rsidR="00381FB3" w:rsidRPr="00E10B6E">
        <w:t>the aggregate emissions of the three companies are calculated as 794 kt CO</w:t>
      </w:r>
      <w:r w:rsidR="00381FB3" w:rsidRPr="00E10B6E">
        <w:rPr>
          <w:vertAlign w:val="subscript"/>
        </w:rPr>
        <w:t>2</w:t>
      </w:r>
      <w:r w:rsidR="00381FB3" w:rsidRPr="00E10B6E">
        <w:t>-eq, while using the cradle-to-gate method</w:t>
      </w:r>
      <w:r w:rsidR="00D52746" w:rsidRPr="00E10B6E">
        <w:t xml:space="preserve"> (which includes the emissions caused while producing the feedstock necessary to manufacture polyolefins) the value reaches </w:t>
      </w:r>
      <w:r w:rsidR="00DD5407" w:rsidRPr="00E10B6E">
        <w:t>4,495 kt CO</w:t>
      </w:r>
      <w:r w:rsidR="00DD5407" w:rsidRPr="00E10B6E">
        <w:rPr>
          <w:vertAlign w:val="subscript"/>
        </w:rPr>
        <w:t>2</w:t>
      </w:r>
      <w:r w:rsidR="00DD5407" w:rsidRPr="00E10B6E">
        <w:t>-eq.</w:t>
      </w:r>
      <w:r w:rsidR="008B3B66" w:rsidRPr="00E10B6E">
        <w:t xml:space="preserve"> </w:t>
      </w:r>
    </w:p>
    <w:p w14:paraId="186922B0" w14:textId="6D30A846" w:rsidR="005B4BE2" w:rsidRPr="00E10B6E" w:rsidRDefault="005B4BE2" w:rsidP="00420301">
      <w:pPr>
        <w:jc w:val="both"/>
      </w:pPr>
      <w:r w:rsidRPr="00E10B6E">
        <w:t>To understand the scale of the</w:t>
      </w:r>
      <w:r w:rsidR="0062521B" w:rsidRPr="00E10B6E">
        <w:t xml:space="preserve"> values</w:t>
      </w:r>
      <w:r w:rsidR="003D3E8A" w:rsidRPr="00E10B6E">
        <w:t xml:space="preserve"> shown in</w:t>
      </w:r>
      <w:r w:rsidR="00155381" w:rsidRPr="00E10B6E">
        <w:t xml:space="preserve"> Table </w:t>
      </w:r>
      <w:r w:rsidR="00F52340" w:rsidRPr="00E10B6E">
        <w:t>5</w:t>
      </w:r>
      <w:r w:rsidR="0062521B" w:rsidRPr="00E10B6E">
        <w:t>, the</w:t>
      </w:r>
      <w:r w:rsidR="007C49CC" w:rsidRPr="00E10B6E">
        <w:t>y represent 8.5% of the</w:t>
      </w:r>
      <w:r w:rsidR="0062521B" w:rsidRPr="00E10B6E">
        <w:t xml:space="preserve"> polyolefins produ</w:t>
      </w:r>
      <w:r w:rsidR="00F52340" w:rsidRPr="00E10B6E">
        <w:t>ced</w:t>
      </w:r>
      <w:r w:rsidR="0062521B" w:rsidRPr="00E10B6E">
        <w:t xml:space="preserve"> </w:t>
      </w:r>
      <w:r w:rsidR="0093270D" w:rsidRPr="00E10B6E">
        <w:t xml:space="preserve">(30,282 kt/y) </w:t>
      </w:r>
      <w:r w:rsidR="0062521B" w:rsidRPr="00E10B6E">
        <w:t>in Europe</w:t>
      </w:r>
      <w:r w:rsidR="0093270D" w:rsidRPr="00E10B6E">
        <w:t xml:space="preserve"> </w:t>
      </w:r>
      <w:r w:rsidR="00BA60A6" w:rsidRPr="00E10B6E">
        <w:fldChar w:fldCharType="begin" w:fldLock="1"/>
      </w:r>
      <w:r w:rsidR="0093270D"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00BA60A6" w:rsidRPr="00E10B6E">
        <w:fldChar w:fldCharType="separate"/>
      </w:r>
      <w:r w:rsidR="00BA60A6" w:rsidRPr="00E10B6E">
        <w:rPr>
          <w:noProof/>
        </w:rPr>
        <w:t>(PlasticsEurope, 2019)</w:t>
      </w:r>
      <w:r w:rsidR="00BA60A6" w:rsidRPr="00E10B6E">
        <w:fldChar w:fldCharType="end"/>
      </w:r>
      <w:r w:rsidR="0062521B" w:rsidRPr="00E10B6E">
        <w:t>,</w:t>
      </w:r>
      <w:r w:rsidR="00C02506" w:rsidRPr="00E10B6E">
        <w:t xml:space="preserve"> and</w:t>
      </w:r>
      <w:r w:rsidR="0062521B" w:rsidRPr="00E10B6E">
        <w:t xml:space="preserve"> </w:t>
      </w:r>
      <w:r w:rsidR="00420301" w:rsidRPr="00E10B6E">
        <w:t xml:space="preserve">1.2% of </w:t>
      </w:r>
      <w:r w:rsidR="0062521B" w:rsidRPr="00E10B6E">
        <w:t>the electricity consum</w:t>
      </w:r>
      <w:r w:rsidR="00F52340" w:rsidRPr="00E10B6E">
        <w:t>ed</w:t>
      </w:r>
      <w:r w:rsidR="0062521B" w:rsidRPr="00E10B6E">
        <w:t xml:space="preserve"> </w:t>
      </w:r>
      <w:r w:rsidR="0093270D" w:rsidRPr="00E10B6E">
        <w:t xml:space="preserve">(113,382 GWh/y) </w:t>
      </w:r>
      <w:r w:rsidR="0062521B" w:rsidRPr="00E10B6E">
        <w:t>in the Netherlands</w:t>
      </w:r>
      <w:r w:rsidR="0093270D" w:rsidRPr="00E10B6E">
        <w:t xml:space="preserve"> </w:t>
      </w:r>
      <w:r w:rsidR="0093270D" w:rsidRPr="00E10B6E">
        <w:fldChar w:fldCharType="begin" w:fldLock="1"/>
      </w:r>
      <w:r w:rsidR="00C72E3B" w:rsidRPr="00E10B6E">
        <w:instrText>ADDIN CSL_CITATION {"citationItems":[{"id":"ITEM-1","itemData":{"URL":"https://opendata.cbs.nl/statline/#/CBS/nl/dataset/84575NED/table?ts=1601150685532","accessed":{"date-parts":[["2020","9","26"]]},"author":[{"dropping-particle":"","family":"CBS","given":"","non-dropping-particle":"","parse-names":false,"suffix":""}],"id":"ITEM-1","issued":{"date-parts":[["2020"]]},"title":"StatLine - Electricity balance","type":"webpage"},"uris":["http://www.mendeley.com/documents/?uuid=7460447f-adf5-3f15-bdc2-bebbdb422de0"]}],"mendeley":{"formattedCitation":"(CBS, 2020a)","plainTextFormattedCitation":"(CBS, 2020a)","previouslyFormattedCitation":"(CBS, 2020a)"},"properties":{"noteIndex":0},"schema":"https://github.com/citation-style-language/schema/raw/master/csl-citation.json"}</w:instrText>
      </w:r>
      <w:r w:rsidR="0093270D" w:rsidRPr="00E10B6E">
        <w:fldChar w:fldCharType="separate"/>
      </w:r>
      <w:r w:rsidR="00EB6702" w:rsidRPr="00E10B6E">
        <w:rPr>
          <w:noProof/>
        </w:rPr>
        <w:t>(CBS, 2020a)</w:t>
      </w:r>
      <w:r w:rsidR="0093270D" w:rsidRPr="00E10B6E">
        <w:fldChar w:fldCharType="end"/>
      </w:r>
      <w:r w:rsidR="0062521B" w:rsidRPr="00E10B6E">
        <w:t xml:space="preserve">, </w:t>
      </w:r>
      <w:r w:rsidR="00C02506" w:rsidRPr="00E10B6E">
        <w:t xml:space="preserve">while </w:t>
      </w:r>
      <w:r w:rsidR="0062521B" w:rsidRPr="00E10B6E">
        <w:t xml:space="preserve">the </w:t>
      </w:r>
      <w:r w:rsidR="00B00DD6" w:rsidRPr="00E10B6E">
        <w:t>GHG emi</w:t>
      </w:r>
      <w:r w:rsidR="00C02506" w:rsidRPr="00E10B6E">
        <w:t>tted</w:t>
      </w:r>
      <w:r w:rsidR="00B00DD6" w:rsidRPr="00E10B6E">
        <w:t xml:space="preserve"> by the </w:t>
      </w:r>
      <w:r w:rsidR="00C13B52" w:rsidRPr="00E10B6E">
        <w:t xml:space="preserve">whole </w:t>
      </w:r>
      <w:r w:rsidR="00B00DD6" w:rsidRPr="00E10B6E">
        <w:t xml:space="preserve">Dutch industrial </w:t>
      </w:r>
      <w:r w:rsidR="008B3B66" w:rsidRPr="00E10B6E">
        <w:t xml:space="preserve">sector </w:t>
      </w:r>
      <w:r w:rsidR="00C02506" w:rsidRPr="00E10B6E">
        <w:t>are 34,984 kt CO</w:t>
      </w:r>
      <w:r w:rsidR="00C02506" w:rsidRPr="00E10B6E">
        <w:rPr>
          <w:vertAlign w:val="subscript"/>
        </w:rPr>
        <w:t>2</w:t>
      </w:r>
      <w:r w:rsidR="008B3B66" w:rsidRPr="00E10B6E">
        <w:t>-</w:t>
      </w:r>
      <w:r w:rsidR="00C02506" w:rsidRPr="00E10B6E">
        <w:t>eq/y</w:t>
      </w:r>
      <w:r w:rsidR="008B3B66" w:rsidRPr="00E10B6E">
        <w:t>ear</w:t>
      </w:r>
      <w:r w:rsidR="00C02506" w:rsidRPr="00E10B6E">
        <w:t xml:space="preserve"> </w:t>
      </w:r>
      <w:r w:rsidR="00EB6702" w:rsidRPr="00E10B6E">
        <w:fldChar w:fldCharType="begin" w:fldLock="1"/>
      </w:r>
      <w:r w:rsidR="00C72E3B" w:rsidRPr="00E10B6E">
        <w:instrText>ADDIN CSL_CITATION {"citationItems":[{"id":"ITEM-1","itemData":{"URL":"https://opendata.cbs.nl/statline/#/CBS/en/dataset/70946eng/table?dl=262E4","accessed":{"date-parts":[["2020","3","30"]]},"author":[{"dropping-particle":"","family":"CBS","given":"","non-dropping-particle":"","parse-names":false,"suffix":""}],"id":"ITEM-1","issued":{"date-parts":[["2020"]]},"title":"StatLine - Emissions of greenhouse gases according to IPCC guide-lines","type":"webpage"},"uris":["http://www.mendeley.com/documents/?uuid=63cd7740-58d0-4f31-8b08-70aec8facd9e"]}],"mendeley":{"formattedCitation":"(CBS, 2020b)","plainTextFormattedCitation":"(CBS, 2020b)","previouslyFormattedCitation":"(CBS, 2020b)"},"properties":{"noteIndex":0},"schema":"https://github.com/citation-style-language/schema/raw/master/csl-citation.json"}</w:instrText>
      </w:r>
      <w:r w:rsidR="00EB6702" w:rsidRPr="00E10B6E">
        <w:fldChar w:fldCharType="separate"/>
      </w:r>
      <w:r w:rsidR="00EB6702" w:rsidRPr="00E10B6E">
        <w:rPr>
          <w:noProof/>
        </w:rPr>
        <w:t>(CBS, 2020b)</w:t>
      </w:r>
      <w:r w:rsidR="00EB6702" w:rsidRPr="00E10B6E">
        <w:fldChar w:fldCharType="end"/>
      </w:r>
      <w:r w:rsidR="0093270D" w:rsidRPr="00E10B6E">
        <w:t>.</w:t>
      </w:r>
    </w:p>
    <w:p w14:paraId="2C3AD9AD" w14:textId="71F218CF" w:rsidR="00356E16" w:rsidRPr="00E10B6E" w:rsidRDefault="00356E16" w:rsidP="00914619">
      <w:pPr>
        <w:pStyle w:val="Heading3"/>
      </w:pPr>
      <w:bookmarkStart w:id="42" w:name="_Toc54274795"/>
      <w:r w:rsidRPr="00E10B6E">
        <w:t>4.2.1 Dow</w:t>
      </w:r>
      <w:r w:rsidR="00EA5A63" w:rsidRPr="00E10B6E">
        <w:t xml:space="preserve"> Chemical Company</w:t>
      </w:r>
      <w:bookmarkEnd w:id="42"/>
    </w:p>
    <w:p w14:paraId="45F34D30" w14:textId="33245FAF" w:rsidR="00EA5A63" w:rsidRPr="00E10B6E" w:rsidRDefault="00EA5A63" w:rsidP="00EA5A63">
      <w:pPr>
        <w:jc w:val="both"/>
      </w:pPr>
      <w:r w:rsidRPr="00E10B6E">
        <w:t>Dow Chemical Company (from now on, Dow) is the third</w:t>
      </w:r>
      <w:r w:rsidR="00F52340" w:rsidRPr="00E10B6E">
        <w:t>-</w:t>
      </w:r>
      <w:r w:rsidRPr="00E10B6E">
        <w:t xml:space="preserve">largest chemical producer in the world </w:t>
      </w:r>
      <w:r w:rsidRPr="00E10B6E">
        <w:fldChar w:fldCharType="begin" w:fldLock="1"/>
      </w:r>
      <w:r w:rsidRPr="00E10B6E">
        <w:instrText>ADDIN CSL_CITATION {"citationItems":[{"id":"ITEM-1","itemData":{"DOI":"10.1021/cen-09730-cover","ISSN":"2474-7408","abstract":"The world's largest chemical firms are growing and enjoying stronger profits","author":[{"dropping-particle":"","family":"C&amp;EN","given":"","non-dropping-particle":"","parse-names":false,"suffix":""}],"container-title":"C&amp;EN Global Enterprise","id":"ITEM-1","issue":"30","issued":{"date-parts":[["2019","7","29"]]},"page":"30-35","publisher":"American Chemical Society (ACS)","title":"C&amp;EN’s Global Top 50 Chemical Companies","type":"article-journal","volume":"97"},"uris":["http://www.mendeley.com/documents/?uuid=78b78197-f439-33c3-a647-a4a3ccf633e8"]}],"mendeley":{"formattedCitation":"(C&amp;EN, 2019)","plainTextFormattedCitation":"(C&amp;EN, 2019)","previouslyFormattedCitation":"(C&amp;EN, 2019)"},"properties":{"noteIndex":0},"schema":"https://github.com/citation-style-language/schema/raw/master/csl-citation.json"}</w:instrText>
      </w:r>
      <w:r w:rsidRPr="00E10B6E">
        <w:fldChar w:fldCharType="separate"/>
      </w:r>
      <w:r w:rsidRPr="00E10B6E">
        <w:rPr>
          <w:noProof/>
        </w:rPr>
        <w:t>(C&amp;EN, 2019)</w:t>
      </w:r>
      <w:r w:rsidRPr="00E10B6E">
        <w:fldChar w:fldCharType="end"/>
      </w:r>
      <w:r w:rsidRPr="00E10B6E">
        <w:t xml:space="preserve">, with headquarters in the United States of America. Dow was founded in 1897 by chemist Herbert Henry Dow and always had the tradition of diversifying its product line, ranging from agricultural chemicals and plastics resins, to plutonium during World War II and napalm during the Vietnam War. In 2011, Dow divested its global polypropylene business to Braskem, the largest petrochemical company in Latin America, in order to better focus on improving the performance of its polyethylene production </w:t>
      </w:r>
      <w:r w:rsidRPr="00E10B6E">
        <w:fldChar w:fldCharType="begin" w:fldLock="1"/>
      </w:r>
      <w:r w:rsidRPr="00E10B6E">
        <w:instrText>ADDIN CSL_CITATION {"citationItems":[{"id":"ITEM-1","itemData":{"URL":"https://www.businesswire.com/news/home/20110727006633/en/Dow-Announces-Sale-Global-Polypropylene-Business-Braskem","accessed":{"date-parts":[["2020","5","28"]]},"author":[{"dropping-particle":"","family":"Business Wire","given":"","non-dropping-particle":"","parse-names":false,"suffix":""}],"id":"ITEM-1","issued":{"date-parts":[["2011"]]},"title":"Dow Announces Sale of Global Polypropylene Business to Braskem for $340 Million | Business Wire","type":"webpage"},"uris":["http://www.mendeley.com/documents/?uuid=c9e33591-95e2-3199-b2b5-78571543689b"]}],"mendeley":{"formattedCitation":"(Business Wire, 2011)","plainTextFormattedCitation":"(Business Wire, 2011)","previouslyFormattedCitation":"(Business Wire, 2011)"},"properties":{"noteIndex":0},"schema":"https://github.com/citation-style-language/schema/raw/master/csl-citation.json"}</w:instrText>
      </w:r>
      <w:r w:rsidRPr="00E10B6E">
        <w:fldChar w:fldCharType="separate"/>
      </w:r>
      <w:r w:rsidRPr="00E10B6E">
        <w:rPr>
          <w:noProof/>
        </w:rPr>
        <w:t>(Business Wire, 2011)</w:t>
      </w:r>
      <w:r w:rsidRPr="00E10B6E">
        <w:fldChar w:fldCharType="end"/>
      </w:r>
      <w:r w:rsidRPr="00E10B6E">
        <w:t>. In 2017, Dow merged with DuPont, becoming the largest chemical producer in the world, but two years later the company was reorganised and split into three separate publicly traded companies focusing on materials science (Dow Inc.), agriculture (Corteva), and special</w:t>
      </w:r>
      <w:r w:rsidR="00F52340" w:rsidRPr="00E10B6E">
        <w:t>i</w:t>
      </w:r>
      <w:r w:rsidRPr="00E10B6E">
        <w:t xml:space="preserve">ty products (DuPont) </w:t>
      </w:r>
      <w:r w:rsidRPr="00E10B6E">
        <w:fldChar w:fldCharType="begin" w:fldLock="1"/>
      </w:r>
      <w:r w:rsidRPr="00E10B6E">
        <w:instrText>ADDIN CSL_CITATION {"citationItems":[{"id":"ITEM-1","itemData":{"DOI":"10.1021/cen-09730-cover","ISSN":"2474-7408","abstract":"The world's largest chemical firms are growing and enjoying stronger profits","author":[{"dropping-particle":"","family":"C&amp;EN","given":"","non-dropping-particle":"","parse-names":false,"suffix":""}],"container-title":"C&amp;EN Global Enterprise","id":"ITEM-1","issue":"30","issued":{"date-parts":[["2019","7","29"]]},"page":"30-35","publisher":"American Chemical Society (ACS)","title":"C&amp;EN’s Global Top 50 Chemical Companies","type":"article-journal","volume":"97"},"uris":["http://www.mendeley.com/documents/?uuid=78b78197-f439-33c3-a647-a4a3ccf633e8"]}],"mendeley":{"formattedCitation":"(C&amp;EN, 2019)","plainTextFormattedCitation":"(C&amp;EN, 2019)","previouslyFormattedCitation":"(C&amp;EN, 2019)"},"properties":{"noteIndex":0},"schema":"https://github.com/citation-style-language/schema/raw/master/csl-citation.json"}</w:instrText>
      </w:r>
      <w:r w:rsidRPr="00E10B6E">
        <w:fldChar w:fldCharType="separate"/>
      </w:r>
      <w:r w:rsidRPr="00E10B6E">
        <w:rPr>
          <w:noProof/>
        </w:rPr>
        <w:t>(C&amp;EN, 2019)</w:t>
      </w:r>
      <w:r w:rsidRPr="00E10B6E">
        <w:fldChar w:fldCharType="end"/>
      </w:r>
      <w:r w:rsidRPr="00E10B6E">
        <w:t xml:space="preserve">. </w:t>
      </w:r>
    </w:p>
    <w:p w14:paraId="6874D9E3" w14:textId="6560581A" w:rsidR="00EA5A63" w:rsidRPr="00E10B6E" w:rsidRDefault="00EA5A63" w:rsidP="00EA5A63">
      <w:pPr>
        <w:jc w:val="both"/>
      </w:pPr>
      <w:r w:rsidRPr="00E10B6E">
        <w:t xml:space="preserve">Dow is present in Europe since 1955 and in the Netherlands since 1964, when it opened its first factory in Terneuzen. The industrial cluster in the province of Zeeland also houses other chemical companies, like Yara and Arkema, and good transport connections via land and water </w:t>
      </w:r>
      <w:r w:rsidRPr="00E10B6E">
        <w:fldChar w:fldCharType="begin" w:fldLock="1"/>
      </w:r>
      <w:r w:rsidRPr="00E10B6E">
        <w:instrText>ADDIN CSL_CITATION {"citationItems":[{"id":"ITEM-1","itemData":{"author":[{"dropping-particle":"","family":"VNCI","given":"","non-dropping-particle":"","parse-names":false,"suffix":""}],"id":"ITEM-1","issued":{"date-parts":[["2018"]]},"title":"Chemistry for Climate - Roadmap for the Dutch Chemical Industry towards 2050","type":"report"},"uris":["http://www.mendeley.com/documents/?uuid=837720ec-d9d6-3717-b374-33e77cdb2883"]}],"mendeley":{"formattedCitation":"(VNCI, 2018)","plainTextFormattedCitation":"(VNCI, 2018)","previouslyFormattedCitation":"(VNCI, 2018)"},"properties":{"noteIndex":0},"schema":"https://github.com/citation-style-language/schema/raw/master/csl-citation.json"}</w:instrText>
      </w:r>
      <w:r w:rsidRPr="00E10B6E">
        <w:fldChar w:fldCharType="separate"/>
      </w:r>
      <w:r w:rsidRPr="00E10B6E">
        <w:rPr>
          <w:noProof/>
        </w:rPr>
        <w:t>(VNCI, 2018)</w:t>
      </w:r>
      <w:r w:rsidRPr="00E10B6E">
        <w:fldChar w:fldCharType="end"/>
      </w:r>
      <w:r w:rsidRPr="00E10B6E">
        <w:t>. The company expanded in the last decades, and Terneuzen is currently the second</w:t>
      </w:r>
      <w:r w:rsidR="00F52340" w:rsidRPr="00E10B6E">
        <w:t>-</w:t>
      </w:r>
      <w:r w:rsidRPr="00E10B6E">
        <w:t xml:space="preserve">largest Dow production site in the world </w:t>
      </w:r>
      <w:r w:rsidRPr="00E10B6E">
        <w:fldChar w:fldCharType="begin" w:fldLock="1"/>
      </w:r>
      <w:r w:rsidR="00D62573" w:rsidRPr="00E10B6E">
        <w:instrText>ADDIN CSL_CITATION {"citationItems":[{"id":"ITEM-1","itemData":{"URL":"https://benelux.dow.com/en-us","accessed":{"date-parts":[["2020","3","26"]]},"author":[{"dropping-particle":"","family":"Dow","given":"","non-dropping-particle":"","parse-names":false,"suffix":""}],"id":"ITEM-1","issued":{"date-parts":[["2020"]]},"title":"Terneuzen - Dow Benelux","type":"webpage"},"uris":["http://www.mendeley.com/documents/?uuid=617e7b6a-e530-44bf-96d9-20b682667ecf"]}],"mendeley":{"formattedCitation":"(Dow, 2020b)","plainTextFormattedCitation":"(Dow, 2020b)","previouslyFormattedCitation":"(Dow, 2020b)"},"properties":{"noteIndex":0},"schema":"https://github.com/citation-style-language/schema/raw/master/csl-citation.json"}</w:instrText>
      </w:r>
      <w:r w:rsidRPr="00E10B6E">
        <w:fldChar w:fldCharType="separate"/>
      </w:r>
      <w:r w:rsidR="00C72E3B" w:rsidRPr="00E10B6E">
        <w:rPr>
          <w:noProof/>
        </w:rPr>
        <w:t>(Dow, 2020b)</w:t>
      </w:r>
      <w:r w:rsidRPr="00E10B6E">
        <w:fldChar w:fldCharType="end"/>
      </w:r>
      <w:r w:rsidRPr="00E10B6E">
        <w:t xml:space="preserve">, with a yearly turnover of more than 2 billion euros </w:t>
      </w:r>
      <w:r w:rsidRPr="00E10B6E">
        <w:fldChar w:fldCharType="begin" w:fldLock="1"/>
      </w:r>
      <w:r w:rsidRPr="00E10B6E">
        <w:instrText>ADDIN CSL_CITATION {"citationItems":[{"id":"ITEM-1","itemData":{"author":[{"dropping-particle":"","family":"Dow","given":"","non-dropping-particle":"","parse-names":false,"suffix":""}],"id":"ITEM-1","issued":{"date-parts":[["2017"]]},"title":"Sustainability report 2017 Dow Terneuzen content","type":"report"},"uris":["http://www.mendeley.com/documents/?uuid=d6402139-0a34-40bf-b7db-7db378cfe2ec"]}],"mendeley":{"formattedCitation":"(Dow, 2017)","plainTextFormattedCitation":"(Dow, 2017)","previouslyFormattedCitation":"(Dow, 2017)"},"properties":{"noteIndex":0},"schema":"https://github.com/citation-style-language/schema/raw/master/csl-citation.json"}</w:instrText>
      </w:r>
      <w:r w:rsidRPr="00E10B6E">
        <w:fldChar w:fldCharType="separate"/>
      </w:r>
      <w:r w:rsidRPr="00E10B6E">
        <w:rPr>
          <w:noProof/>
        </w:rPr>
        <w:t>(Dow, 2017)</w:t>
      </w:r>
      <w:r w:rsidRPr="00E10B6E">
        <w:fldChar w:fldCharType="end"/>
      </w:r>
      <w:r w:rsidRPr="00E10B6E">
        <w:t xml:space="preserve">. For what </w:t>
      </w:r>
      <w:r w:rsidRPr="00E10B6E">
        <w:lastRenderedPageBreak/>
        <w:t>concerns polyethylene production, the site hosts a production line for LDPE, built between 1968 and 1975, and three production lines for LLDPE, built in 1980, 1986 and 2000</w:t>
      </w:r>
      <w:r w:rsidR="00384E7B" w:rsidRPr="00E10B6E">
        <w:t xml:space="preserve"> </w:t>
      </w:r>
      <w:r w:rsidRPr="00E10B6E">
        <w:t>(</w:t>
      </w:r>
      <w:r w:rsidRPr="00E10B6E">
        <w:rPr>
          <w:i/>
          <w:iCs/>
        </w:rPr>
        <w:t>Internal communication with Dow Terneuzen, 2020</w:t>
      </w:r>
      <w:r w:rsidRPr="00E10B6E">
        <w:t>)</w:t>
      </w:r>
      <w:r w:rsidR="00384E7B" w:rsidRPr="00E10B6E">
        <w:t xml:space="preserve">, as seen in </w:t>
      </w:r>
      <w:r w:rsidR="00384E7B" w:rsidRPr="00E10B6E">
        <w:fldChar w:fldCharType="begin"/>
      </w:r>
      <w:r w:rsidR="00384E7B" w:rsidRPr="00E10B6E">
        <w:instrText xml:space="preserve"> REF _Ref46348069 \h </w:instrText>
      </w:r>
      <w:r w:rsidR="00384E7B" w:rsidRPr="00E10B6E">
        <w:fldChar w:fldCharType="separate"/>
      </w:r>
      <w:r w:rsidR="00983F73" w:rsidRPr="00E10B6E">
        <w:t xml:space="preserve">Figure </w:t>
      </w:r>
      <w:r w:rsidR="00983F73">
        <w:rPr>
          <w:noProof/>
        </w:rPr>
        <w:t>16</w:t>
      </w:r>
      <w:r w:rsidR="00384E7B" w:rsidRPr="00E10B6E">
        <w:fldChar w:fldCharType="end"/>
      </w:r>
      <w:r w:rsidR="00384E7B" w:rsidRPr="00E10B6E">
        <w:t>.</w:t>
      </w:r>
    </w:p>
    <w:p w14:paraId="65D7CB81" w14:textId="77777777" w:rsidR="00EA5A63" w:rsidRPr="00E10B6E" w:rsidRDefault="00EA5A63" w:rsidP="00EA5A63">
      <w:pPr>
        <w:keepNext/>
        <w:jc w:val="both"/>
      </w:pPr>
      <w:r w:rsidRPr="00E10B6E">
        <w:rPr>
          <w:noProof/>
        </w:rPr>
        <w:drawing>
          <wp:inline distT="0" distB="0" distL="0" distR="0" wp14:anchorId="7B9A85CC" wp14:editId="55D57016">
            <wp:extent cx="5760000" cy="4054537"/>
            <wp:effectExtent l="0" t="0" r="0" b="3175"/>
            <wp:docPr id="13" name="Picture 13" descr="Werken bij Dow Benelux | Dow in de Bene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en bij Dow Benelux | Dow in de Benelux"/>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t="15656" b="12199"/>
                    <a:stretch/>
                  </pic:blipFill>
                  <pic:spPr bwMode="auto">
                    <a:xfrm>
                      <a:off x="0" y="0"/>
                      <a:ext cx="5760000" cy="4054537"/>
                    </a:xfrm>
                    <a:prstGeom prst="rect">
                      <a:avLst/>
                    </a:prstGeom>
                    <a:noFill/>
                    <a:ln>
                      <a:noFill/>
                    </a:ln>
                    <a:extLst>
                      <a:ext uri="{53640926-AAD7-44D8-BBD7-CCE9431645EC}">
                        <a14:shadowObscured xmlns:a14="http://schemas.microsoft.com/office/drawing/2010/main"/>
                      </a:ext>
                    </a:extLst>
                  </pic:spPr>
                </pic:pic>
              </a:graphicData>
            </a:graphic>
          </wp:inline>
        </w:drawing>
      </w:r>
    </w:p>
    <w:p w14:paraId="22A6FF3D" w14:textId="2A080075" w:rsidR="00EA5A63" w:rsidRPr="00E10B6E" w:rsidRDefault="00EA5A63" w:rsidP="00EA5A63">
      <w:pPr>
        <w:pStyle w:val="Caption"/>
        <w:jc w:val="both"/>
      </w:pPr>
      <w:bookmarkStart w:id="43" w:name="_Ref46348069"/>
      <w:r w:rsidRPr="00E10B6E">
        <w:t xml:space="preserve">Figure </w:t>
      </w:r>
      <w:r w:rsidR="00722F9A">
        <w:fldChar w:fldCharType="begin"/>
      </w:r>
      <w:r w:rsidR="00722F9A">
        <w:instrText xml:space="preserve"> SEQ Figure \* ARABIC </w:instrText>
      </w:r>
      <w:r w:rsidR="00722F9A">
        <w:fldChar w:fldCharType="separate"/>
      </w:r>
      <w:r w:rsidR="00983F73">
        <w:rPr>
          <w:noProof/>
        </w:rPr>
        <w:t>16</w:t>
      </w:r>
      <w:r w:rsidR="00722F9A">
        <w:rPr>
          <w:noProof/>
        </w:rPr>
        <w:fldChar w:fldCharType="end"/>
      </w:r>
      <w:bookmarkEnd w:id="43"/>
      <w:r w:rsidRPr="00E10B6E">
        <w:t xml:space="preserve">: Aerial view of Dow chemical plants in the Terneuzen site </w:t>
      </w:r>
      <w:r w:rsidRPr="00E10B6E">
        <w:fldChar w:fldCharType="begin" w:fldLock="1"/>
      </w:r>
      <w:r w:rsidR="00D62573" w:rsidRPr="00E10B6E">
        <w:instrText>ADDIN CSL_CITATION {"citationItems":[{"id":"ITEM-1","itemData":{"URL":"https://benelux.dow.com/en-us","accessed":{"date-parts":[["2020","3","26"]]},"author":[{"dropping-particle":"","family":"Dow","given":"","non-dropping-particle":"","parse-names":false,"suffix":""}],"id":"ITEM-1","issued":{"date-parts":[["2020"]]},"title":"Terneuzen - Dow Benelux","type":"webpage"},"uris":["http://www.mendeley.com/documents/?uuid=617e7b6a-e530-44bf-96d9-20b682667ecf"]}],"mendeley":{"formattedCitation":"(Dow, 2020b)","plainTextFormattedCitation":"(Dow, 2020b)","previouslyFormattedCitation":"(Dow, 2020b)"},"properties":{"noteIndex":0},"schema":"https://github.com/citation-style-language/schema/raw/master/csl-citation.json"}</w:instrText>
      </w:r>
      <w:r w:rsidRPr="00E10B6E">
        <w:fldChar w:fldCharType="separate"/>
      </w:r>
      <w:r w:rsidR="00C72E3B" w:rsidRPr="00E10B6E">
        <w:rPr>
          <w:i w:val="0"/>
          <w:noProof/>
        </w:rPr>
        <w:t>(Dow, 2020b)</w:t>
      </w:r>
      <w:r w:rsidRPr="00E10B6E">
        <w:fldChar w:fldCharType="end"/>
      </w:r>
      <w:r w:rsidRPr="00E10B6E">
        <w:t>.</w:t>
      </w:r>
    </w:p>
    <w:p w14:paraId="617615D3" w14:textId="21CFA427" w:rsidR="00356E16" w:rsidRPr="00E10B6E" w:rsidRDefault="00384E7B" w:rsidP="00384E7B">
      <w:pPr>
        <w:jc w:val="both"/>
      </w:pPr>
      <w:r w:rsidRPr="00E10B6E">
        <w:t xml:space="preserve">Electricity and steam are supplied to Dow by the “Electricity and Steam Association” (ELSTA) near Terneuzen, which has been owned by Dow since 2018. The cogeneration facility is equipped with one steam turbine and three gas-fired turbines with a connected heat recovery boiler, and </w:t>
      </w:r>
      <w:r w:rsidR="00F52340" w:rsidRPr="00E10B6E">
        <w:t>can</w:t>
      </w:r>
      <w:r w:rsidRPr="00E10B6E">
        <w:t xml:space="preserve"> generate a total of 460 MW of electricity and 850 ton/hour of steam at a pressure of 90 bar, supplying both Dow and the public grid </w:t>
      </w:r>
      <w:r w:rsidRPr="00E10B6E">
        <w:fldChar w:fldCharType="begin" w:fldLock="1"/>
      </w:r>
      <w:r w:rsidRPr="00E10B6E">
        <w:instrText>ADDIN CSL_CITATION {"citationItems":[{"id":"ITEM-1","itemData":{"URL":"https://www.elstacogen.nl/index_en.php?p=en_home","accessed":{"date-parts":[["2020","5","25"]]},"author":[{"dropping-particle":"","family":"ELSTA","given":"","non-dropping-particle":"","parse-names":false,"suffix":""}],"id":"ITEM-1","issued":{"date-parts":[["2020"]]},"title":"Elsta Cogeneration Power plant Hoek | AES","type":"webpage"},"uris":["http://www.mendeley.com/documents/?uuid=7ff7d772-ea85-4d49-83d0-6368e77f3792"]}],"mendeley":{"formattedCitation":"(ELSTA, 2020)","plainTextFormattedCitation":"(ELSTA, 2020)","previouslyFormattedCitation":"(ELSTA, 2020)"},"properties":{"noteIndex":0},"schema":"https://github.com/citation-style-language/schema/raw/master/csl-citation.json"}</w:instrText>
      </w:r>
      <w:r w:rsidRPr="00E10B6E">
        <w:fldChar w:fldCharType="separate"/>
      </w:r>
      <w:r w:rsidRPr="00E10B6E">
        <w:rPr>
          <w:noProof/>
        </w:rPr>
        <w:t>(ELSTA, 2020)</w:t>
      </w:r>
      <w:r w:rsidRPr="00E10B6E">
        <w:fldChar w:fldCharType="end"/>
      </w:r>
      <w:r w:rsidRPr="00E10B6E">
        <w:t xml:space="preserve">. </w:t>
      </w:r>
    </w:p>
    <w:p w14:paraId="7ABD23B2" w14:textId="04E3A949" w:rsidR="00356E16" w:rsidRPr="00E10B6E" w:rsidRDefault="00356E16" w:rsidP="00914619">
      <w:pPr>
        <w:pStyle w:val="Heading3"/>
      </w:pPr>
      <w:bookmarkStart w:id="44" w:name="_Toc54274796"/>
      <w:r w:rsidRPr="00E10B6E">
        <w:t>4.2.2 SABIC</w:t>
      </w:r>
      <w:bookmarkEnd w:id="44"/>
    </w:p>
    <w:p w14:paraId="21003B53" w14:textId="2A71D337" w:rsidR="000272F3" w:rsidRPr="00E10B6E" w:rsidRDefault="000272F3" w:rsidP="000272F3">
      <w:pPr>
        <w:jc w:val="both"/>
      </w:pPr>
      <w:r w:rsidRPr="00E10B6E">
        <w:t xml:space="preserve">SABIC is the fourth largest chemical producer in the world </w:t>
      </w:r>
      <w:r w:rsidRPr="00E10B6E">
        <w:fldChar w:fldCharType="begin" w:fldLock="1"/>
      </w:r>
      <w:r w:rsidRPr="00E10B6E">
        <w:instrText>ADDIN CSL_CITATION {"citationItems":[{"id":"ITEM-1","itemData":{"DOI":"10.1021/cen-09730-cover","ISSN":"2474-7408","abstract":"The world's largest chemical firms are growing and enjoying stronger profits","author":[{"dropping-particle":"","family":"C&amp;EN","given":"","non-dropping-particle":"","parse-names":false,"suffix":""}],"container-title":"C&amp;EN Global Enterprise","id":"ITEM-1","issue":"30","issued":{"date-parts":[["2019","7","29"]]},"page":"30-35","publisher":"American Chemical Society (ACS)","title":"C&amp;EN’s Global Top 50 Chemical Companies","type":"article-journal","volume":"97"},"uris":["http://www.mendeley.com/documents/?uuid=78b78197-f439-33c3-a647-a4a3ccf633e8"]}],"mendeley":{"formattedCitation":"(C&amp;EN, 2019)","plainTextFormattedCitation":"(C&amp;EN, 2019)","previouslyFormattedCitation":"(C&amp;EN, 2019)"},"properties":{"noteIndex":0},"schema":"https://github.com/citation-style-language/schema/raw/master/csl-citation.json"}</w:instrText>
      </w:r>
      <w:r w:rsidRPr="00E10B6E">
        <w:fldChar w:fldCharType="separate"/>
      </w:r>
      <w:r w:rsidRPr="00E10B6E">
        <w:rPr>
          <w:noProof/>
        </w:rPr>
        <w:t>(C&amp;EN, 2019)</w:t>
      </w:r>
      <w:r w:rsidRPr="00E10B6E">
        <w:fldChar w:fldCharType="end"/>
      </w:r>
      <w:r w:rsidRPr="00E10B6E">
        <w:t>, and the second</w:t>
      </w:r>
      <w:r w:rsidR="00F52340" w:rsidRPr="00E10B6E">
        <w:t>-</w:t>
      </w:r>
      <w:r w:rsidRPr="00E10B6E">
        <w:t xml:space="preserve">largest public company in the Middle East and in Saudi Arabia, where its headquarters are based. SABIC was founded in 1976 under the will of the Saudi government to covert the oil into polymers and other chemicals, and later expanded in the fertilizers and metals subsectors. In 2019, 70% of SABIC’s shares were acquired by Saudi Aramco, the state-owned energy company of Saudi Arabia </w:t>
      </w:r>
      <w:r w:rsidRPr="00E10B6E">
        <w:fldChar w:fldCharType="begin" w:fldLock="1"/>
      </w:r>
      <w:r w:rsidRPr="00E10B6E">
        <w:instrText>ADDIN CSL_CITATION {"citationItems":[{"id":"ITEM-1","itemData":{"URL":"https://www.sustg.com/saudi-aramco-agrees-to-buy-70-stake-in-sabic-from-kingdoms-public-investment-fund/","accessed":{"date-parts":[["2020","3","26"]]},"author":[{"dropping-particle":"","family":"SUSTG","given":"","non-dropping-particle":"","parse-names":false,"suffix":""}],"id":"ITEM-1","issued":{"date-parts":[["2019","3","28"]]},"title":"Saudi Aramco Agrees to Buy 70% Stake in SABIC from Kingdom’s Public Investment Fund | SUSTG.com – News, Analysis, and Features on all things Saudi Arabia","type":"webpage"},"uris":["http://www.mendeley.com/documents/?uuid=36018e2b-230a-42b7-9efa-bdb79b1475c6"]}],"mendeley":{"formattedCitation":"(SUSTG, 2019)","plainTextFormattedCitation":"(SUSTG, 2019)","previouslyFormattedCitation":"(SUSTG, 2019)"},"properties":{"noteIndex":0},"schema":"https://github.com/citation-style-language/schema/raw/master/csl-citation.json"}</w:instrText>
      </w:r>
      <w:r w:rsidRPr="00E10B6E">
        <w:fldChar w:fldCharType="separate"/>
      </w:r>
      <w:r w:rsidRPr="00E10B6E">
        <w:rPr>
          <w:noProof/>
        </w:rPr>
        <w:t>(SUSTG, 2019)</w:t>
      </w:r>
      <w:r w:rsidRPr="00E10B6E">
        <w:fldChar w:fldCharType="end"/>
      </w:r>
      <w:r w:rsidRPr="00E10B6E">
        <w:t xml:space="preserve">. In 2002, SABIC acquired several factories from the Dutch petrochemical company DSM, officially starting operations in Europe </w:t>
      </w:r>
      <w:r w:rsidRPr="00E10B6E">
        <w:fldChar w:fldCharType="begin" w:fldLock="1"/>
      </w:r>
      <w:r w:rsidRPr="00E10B6E">
        <w:instrText>ADDIN CSL_CITATION {"citationItems":[{"id":"ITEM-1","itemData":{"author":[{"dropping-particle":"","family":"Kapner","given":"S.","non-dropping-particle":"","parse-names":false,"suffix":""}],"id":"ITEM-1","issued":{"date-parts":[["2002","4"]]},"publisher-place":"4","title":"Saudi Chemical Maker in Dutch Acquisition - The New York Times","type":"article-newspaper"},"uris":["http://www.mendeley.com/documents/?uuid=c0b46a67-df38-4454-90e1-87199bd26668"]}],"mendeley":{"formattedCitation":"(Kapner, 2002)","plainTextFormattedCitation":"(Kapner, 2002)","previouslyFormattedCitation":"(Kapner, 2002)"},"properties":{"noteIndex":0},"schema":"https://github.com/citation-style-language/schema/raw/master/csl-citation.json"}</w:instrText>
      </w:r>
      <w:r w:rsidRPr="00E10B6E">
        <w:fldChar w:fldCharType="separate"/>
      </w:r>
      <w:r w:rsidRPr="00E10B6E">
        <w:rPr>
          <w:noProof/>
        </w:rPr>
        <w:t>(Kapner, 2002)</w:t>
      </w:r>
      <w:r w:rsidRPr="00E10B6E">
        <w:fldChar w:fldCharType="end"/>
      </w:r>
      <w:r w:rsidRPr="00E10B6E">
        <w:t xml:space="preserve">. The company is present in the Netherlands through its subsidiaries SABIC Europe, SABIC Limburg B.V., SABIC Petrochemicals B.V., and SABIC Innovative Plastics B.V. </w:t>
      </w:r>
      <w:r w:rsidRPr="00E10B6E">
        <w:fldChar w:fldCharType="begin" w:fldLock="1"/>
      </w:r>
      <w:r w:rsidR="00BA60A6" w:rsidRPr="00E10B6E">
        <w:instrText>ADDIN CSL_CITATION {"citationItems":[{"id":"ITEM-1","itemData":{"URL":"http://www.sabic-limburg.nl/nl/sabic-limburg/fabrieken-en-productieprocessen","accessed":{"date-parts":[["2020","3","9"]]},"author":[{"dropping-particle":"","family":"SABIC Limburg","given":"","non-dropping-particle":"","parse-names":false,"suffix":""}],"id":"ITEM-1","issued":{"date-parts":[["2020"]]},"title":"Fabrieken en Productieprocessen","type":"webpage"},"uris":["http://www.mendeley.com/documents/?uuid=716e16f0-c48d-48c0-814c-fb60f65b6034"]}],"mendeley":{"formattedCitation":"(SABIC Limburg, 2020)","plainTextFormattedCitation":"(SABIC Limburg, 2020)","previouslyFormattedCitation":"(SABIC Limburg, 2020)"},"properties":{"noteIndex":0},"schema":"https://github.com/citation-style-language/schema/raw/master/csl-citation.json"}</w:instrText>
      </w:r>
      <w:r w:rsidRPr="00E10B6E">
        <w:fldChar w:fldCharType="separate"/>
      </w:r>
      <w:r w:rsidRPr="00E10B6E">
        <w:rPr>
          <w:noProof/>
        </w:rPr>
        <w:t>(SABIC Limburg, 2020)</w:t>
      </w:r>
      <w:r w:rsidRPr="00E10B6E">
        <w:fldChar w:fldCharType="end"/>
      </w:r>
      <w:r w:rsidRPr="00E10B6E">
        <w:t xml:space="preserve">. SABIC is part of the Chemelot cluster in Geleen, an industrial area characterized by </w:t>
      </w:r>
      <w:r w:rsidR="00F52340" w:rsidRPr="00E10B6E">
        <w:t xml:space="preserve">a </w:t>
      </w:r>
      <w:r w:rsidRPr="00E10B6E">
        <w:t xml:space="preserve">strong integration of utilities and services, grouping more than 50 factories and R&amp;D facilities </w:t>
      </w:r>
      <w:r w:rsidRPr="00E10B6E">
        <w:fldChar w:fldCharType="begin" w:fldLock="1"/>
      </w:r>
      <w:r w:rsidRPr="00E10B6E">
        <w:instrText>ADDIN CSL_CITATION {"citationItems":[{"id":"ITEM-1","itemData":{"author":[{"dropping-particle":"","family":"VNCI","given":"","non-dropping-particle":"","parse-names":false,"suffix":""}],"id":"ITEM-1","issued":{"date-parts":[["2018"]]},"title":"Chemistry for Climate - Roadmap for the Dutch Chemical Industry towards 2050","type":"report"},"uris":["http://www.mendeley.com/documents/?uuid=837720ec-d9d6-3717-b374-33e77cdb2883"]}],"mendeley":{"formattedCitation":"(VNCI, 2018)","plainTextFormattedCitation":"(VNCI, 2018)","previouslyFormattedCitation":"(VNCI, 2018)"},"properties":{"noteIndex":0},"schema":"https://github.com/citation-style-language/schema/raw/master/csl-citation.json"}</w:instrText>
      </w:r>
      <w:r w:rsidRPr="00E10B6E">
        <w:fldChar w:fldCharType="separate"/>
      </w:r>
      <w:r w:rsidRPr="00E10B6E">
        <w:rPr>
          <w:noProof/>
        </w:rPr>
        <w:t>(VNCI, 2018)</w:t>
      </w:r>
      <w:r w:rsidRPr="00E10B6E">
        <w:fldChar w:fldCharType="end"/>
      </w:r>
      <w:r w:rsidRPr="00E10B6E">
        <w:t xml:space="preserve">. SABIC infrastructures constitute about half of the space at Chemelot, including two naphtha crackers (NAK3 and NAK4) for the production of plastic monomers, three LDPE production </w:t>
      </w:r>
      <w:r w:rsidRPr="00E10B6E">
        <w:lastRenderedPageBreak/>
        <w:t>lines (ld-PE), two HDPE production lines (hd-PE), and two PP reactors (</w:t>
      </w:r>
      <w:r w:rsidRPr="00E10B6E">
        <w:rPr>
          <w:i/>
          <w:iCs/>
        </w:rPr>
        <w:t>Internal communication with SABIC, 2020</w:t>
      </w:r>
      <w:r w:rsidRPr="00E10B6E">
        <w:t xml:space="preserve">), as shown in </w:t>
      </w:r>
      <w:r w:rsidRPr="00E10B6E">
        <w:fldChar w:fldCharType="begin"/>
      </w:r>
      <w:r w:rsidRPr="00E10B6E">
        <w:instrText xml:space="preserve"> REF _Ref46348088 \h </w:instrText>
      </w:r>
      <w:r w:rsidRPr="00E10B6E">
        <w:fldChar w:fldCharType="separate"/>
      </w:r>
      <w:r w:rsidR="00983F73" w:rsidRPr="00E10B6E">
        <w:t xml:space="preserve">Figure </w:t>
      </w:r>
      <w:r w:rsidR="00983F73">
        <w:rPr>
          <w:noProof/>
        </w:rPr>
        <w:t>17</w:t>
      </w:r>
      <w:r w:rsidRPr="00E10B6E">
        <w:fldChar w:fldCharType="end"/>
      </w:r>
      <w:r w:rsidRPr="00E10B6E">
        <w:t>.</w:t>
      </w:r>
    </w:p>
    <w:p w14:paraId="20F0A54A" w14:textId="77777777" w:rsidR="000272F3" w:rsidRPr="00E10B6E" w:rsidRDefault="000272F3" w:rsidP="000272F3">
      <w:pPr>
        <w:keepNext/>
        <w:jc w:val="both"/>
      </w:pPr>
      <w:r w:rsidRPr="00E10B6E">
        <w:rPr>
          <w:noProof/>
        </w:rPr>
        <w:drawing>
          <wp:inline distT="0" distB="0" distL="0" distR="0" wp14:anchorId="095AE33D" wp14:editId="1ED61A97">
            <wp:extent cx="5760000" cy="3942051"/>
            <wp:effectExtent l="0" t="0" r="0" b="1905"/>
            <wp:docPr id="2012641941" name="Picture 2" descr="chemelot_ge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760000" cy="3942051"/>
                    </a:xfrm>
                    <a:prstGeom prst="rect">
                      <a:avLst/>
                    </a:prstGeom>
                  </pic:spPr>
                </pic:pic>
              </a:graphicData>
            </a:graphic>
          </wp:inline>
        </w:drawing>
      </w:r>
    </w:p>
    <w:p w14:paraId="4B01BBF5" w14:textId="79CC15AA" w:rsidR="000272F3" w:rsidRPr="00E10B6E" w:rsidRDefault="000272F3" w:rsidP="000272F3">
      <w:pPr>
        <w:pStyle w:val="Caption"/>
        <w:jc w:val="both"/>
      </w:pPr>
      <w:bookmarkStart w:id="45" w:name="_Ref46348088"/>
      <w:r w:rsidRPr="00E10B6E">
        <w:t xml:space="preserve">Figure </w:t>
      </w:r>
      <w:r w:rsidR="00722F9A">
        <w:fldChar w:fldCharType="begin"/>
      </w:r>
      <w:r w:rsidR="00722F9A">
        <w:instrText xml:space="preserve"> SEQ Figure \* ARABIC </w:instrText>
      </w:r>
      <w:r w:rsidR="00722F9A">
        <w:fldChar w:fldCharType="separate"/>
      </w:r>
      <w:r w:rsidR="00983F73">
        <w:rPr>
          <w:noProof/>
        </w:rPr>
        <w:t>17</w:t>
      </w:r>
      <w:r w:rsidR="00722F9A">
        <w:rPr>
          <w:noProof/>
        </w:rPr>
        <w:fldChar w:fldCharType="end"/>
      </w:r>
      <w:bookmarkEnd w:id="45"/>
      <w:r w:rsidRPr="00E10B6E">
        <w:t xml:space="preserve">: Aerial view of SABIC chemical plants at Chemelot industrial park, showing the </w:t>
      </w:r>
      <w:r w:rsidR="009B6835" w:rsidRPr="00E10B6E">
        <w:t>naphtha</w:t>
      </w:r>
      <w:r w:rsidRPr="00E10B6E">
        <w:t xml:space="preserve"> crackers NAK3 and NAK4, and the production lines of PP, HDPE and LDPE </w:t>
      </w:r>
      <w:r w:rsidRPr="00E10B6E">
        <w:fldChar w:fldCharType="begin" w:fldLock="1"/>
      </w:r>
      <w:r w:rsidR="00BA60A6" w:rsidRPr="00E10B6E">
        <w:instrText>ADDIN CSL_CITATION {"citationItems":[{"id":"ITEM-1","itemData":{"URL":"http://www.sabic-limburg.nl/nl/sabic-limburg/fabrieken-en-productieprocessen","accessed":{"date-parts":[["2020","3","9"]]},"author":[{"dropping-particle":"","family":"SABIC Limburg","given":"","non-dropping-particle":"","parse-names":false,"suffix":""}],"id":"ITEM-1","issued":{"date-parts":[["2020"]]},"title":"Fabrieken en Productieprocessen","type":"webpage"},"uris":["http://www.mendeley.com/documents/?uuid=716e16f0-c48d-48c0-814c-fb60f65b6034"]}],"mendeley":{"formattedCitation":"(SABIC Limburg, 2020)","plainTextFormattedCitation":"(SABIC Limburg, 2020)","previouslyFormattedCitation":"(SABIC Limburg, 2020)"},"properties":{"noteIndex":0},"schema":"https://github.com/citation-style-language/schema/raw/master/csl-citation.json"}</w:instrText>
      </w:r>
      <w:r w:rsidRPr="00E10B6E">
        <w:fldChar w:fldCharType="separate"/>
      </w:r>
      <w:r w:rsidRPr="00E10B6E">
        <w:rPr>
          <w:i w:val="0"/>
          <w:noProof/>
        </w:rPr>
        <w:t>(SABIC Limburg, 2020)</w:t>
      </w:r>
      <w:r w:rsidRPr="00E10B6E">
        <w:fldChar w:fldCharType="end"/>
      </w:r>
      <w:r w:rsidRPr="00E10B6E">
        <w:t>.</w:t>
      </w:r>
    </w:p>
    <w:p w14:paraId="48AD32BE" w14:textId="77777777" w:rsidR="000272F3" w:rsidRPr="00E10B6E" w:rsidRDefault="000272F3" w:rsidP="000272F3">
      <w:pPr>
        <w:jc w:val="both"/>
      </w:pPr>
      <w:r w:rsidRPr="00E10B6E">
        <w:t xml:space="preserve">Electricity, steam and technical gases are supplied by Utility Support Group (USG), a joint venture between SABIC and Sitech Utility Holding CV with approximately 200 employees </w:t>
      </w:r>
      <w:r w:rsidRPr="00E10B6E">
        <w:fldChar w:fldCharType="begin" w:fldLock="1"/>
      </w:r>
      <w:r w:rsidRPr="00E10B6E">
        <w:instrText>ADDIN CSL_CITATION {"citationItems":[{"id":"ITEM-1","itemData":{"URL":"https://www.usg.company/nl/over-usg-industrial-utilities","accessed":{"date-parts":[["2020","5","25"]]},"author":[{"dropping-particle":"","family":"USG","given":"","non-dropping-particle":"","parse-names":false,"suffix":""}],"id":"ITEM-1","issued":{"date-parts":[["2020"]]},"title":"About USG Industrial Utilities | Utility Support Group","type":"webpage"},"uris":["http://www.mendeley.com/documents/?uuid=4dffbd13-e294-3483-a1fd-454fd7227c47"]}],"mendeley":{"formattedCitation":"(USG, 2020a)","plainTextFormattedCitation":"(USG, 2020a)","previouslyFormattedCitation":"(USG, 2020a)"},"properties":{"noteIndex":0},"schema":"https://github.com/citation-style-language/schema/raw/master/csl-citation.json"}</w:instrText>
      </w:r>
      <w:r w:rsidRPr="00E10B6E">
        <w:fldChar w:fldCharType="separate"/>
      </w:r>
      <w:r w:rsidRPr="00E10B6E">
        <w:rPr>
          <w:noProof/>
        </w:rPr>
        <w:t>(USG, 2020a)</w:t>
      </w:r>
      <w:r w:rsidRPr="00E10B6E">
        <w:fldChar w:fldCharType="end"/>
      </w:r>
      <w:r w:rsidRPr="00E10B6E">
        <w:t xml:space="preserve">. USG supplies many companies within the Chemelot industrial park thanks to its 150 MW cogeneration plant, plus other 90 MW purchased externally. USG also collects around 620 tons/hour of waste steam produced by the factories and produces itself an additional 330 tons/hour to satisfy the steam demand of the companies </w:t>
      </w:r>
      <w:r w:rsidRPr="00E10B6E">
        <w:fldChar w:fldCharType="begin" w:fldLock="1"/>
      </w:r>
      <w:r w:rsidRPr="00E10B6E">
        <w:instrText>ADDIN CSL_CITATION {"citationItems":[{"id":"ITEM-1","itemData":{"URL":"https://www.usg.company/nl/utilities","accessed":{"date-parts":[["2020","5","25"]]},"author":[{"dropping-particle":"","family":"USG","given":"","non-dropping-particle":"","parse-names":false,"suffix":""}],"id":"ITEM-1","issued":{"date-parts":[["2020"]]},"title":"Utilities | Utility Support Group","type":"webpage"},"uris":["http://www.mendeley.com/documents/?uuid=9fd34b4a-9171-3d93-bc2f-3df1ee7897f5"]}],"mendeley":{"formattedCitation":"(USG, 2020b)","plainTextFormattedCitation":"(USG, 2020b)","previouslyFormattedCitation":"(USG, 2020b)"},"properties":{"noteIndex":0},"schema":"https://github.com/citation-style-language/schema/raw/master/csl-citation.json"}</w:instrText>
      </w:r>
      <w:r w:rsidRPr="00E10B6E">
        <w:fldChar w:fldCharType="separate"/>
      </w:r>
      <w:r w:rsidRPr="00E10B6E">
        <w:rPr>
          <w:noProof/>
        </w:rPr>
        <w:t>(USG, 2020b)</w:t>
      </w:r>
      <w:r w:rsidRPr="00E10B6E">
        <w:fldChar w:fldCharType="end"/>
      </w:r>
      <w:r w:rsidRPr="00E10B6E">
        <w:t>.</w:t>
      </w:r>
    </w:p>
    <w:p w14:paraId="0B139FA4" w14:textId="399E1611" w:rsidR="00356E16" w:rsidRPr="00E10B6E" w:rsidRDefault="00356E16" w:rsidP="00914619">
      <w:pPr>
        <w:pStyle w:val="Heading3"/>
      </w:pPr>
      <w:bookmarkStart w:id="46" w:name="_Toc54274797"/>
      <w:r w:rsidRPr="00E10B6E">
        <w:t>4.2.3 Ducor</w:t>
      </w:r>
      <w:r w:rsidR="000272F3" w:rsidRPr="00E10B6E">
        <w:t xml:space="preserve"> Petrochemicals</w:t>
      </w:r>
      <w:bookmarkEnd w:id="46"/>
    </w:p>
    <w:p w14:paraId="6278BA6E" w14:textId="3EFCA251" w:rsidR="00154C32" w:rsidRPr="00E10B6E" w:rsidRDefault="00154C32" w:rsidP="00154C32">
      <w:pPr>
        <w:jc w:val="both"/>
      </w:pPr>
      <w:r w:rsidRPr="00E10B6E">
        <w:t xml:space="preserve">The polypropylene manufacturing facilities in Rozenburg were built in 1979 by Basell, but in 2007 the company merged with Lyondell and the agreement involved some capacity divestment requirement </w:t>
      </w:r>
      <w:r w:rsidRPr="00E10B6E">
        <w:fldChar w:fldCharType="begin" w:fldLock="1"/>
      </w:r>
      <w:r w:rsidRPr="00E10B6E">
        <w:instrText>ADDIN CSL_CITATION {"citationItems":[{"id":"ITEM-1","itemData":{"URL":"https://www.chemeurope.com/en/news/3123/domo-to-acquire-basell-pp-manufacturing-facilities-in-rozenburg-the-netherlands.html","accessed":{"date-parts":[["2020","3","30"]]},"author":[{"dropping-particle":"","family":"ChemEurope","given":"","non-dropping-particle":"","parse-names":false,"suffix":""}],"id":"ITEM-1","issued":{"date-parts":[["2001"]]},"title":"DOMO to Acquire Basell PP manufacturing facilities in Rozenburg, The Netherlands","type":"webpage"},"uris":["http://www.mendeley.com/documents/?uuid=74799a22-7789-4f4a-9f75-461584ae839b"]}],"mendeley":{"formattedCitation":"(ChemEurope, 2001)","plainTextFormattedCitation":"(ChemEurope, 2001)","previouslyFormattedCitation":"(ChemEurope, 2001)"},"properties":{"noteIndex":0},"schema":"https://github.com/citation-style-language/schema/raw/master/csl-citation.json"}</w:instrText>
      </w:r>
      <w:r w:rsidRPr="00E10B6E">
        <w:fldChar w:fldCharType="separate"/>
      </w:r>
      <w:r w:rsidRPr="00E10B6E">
        <w:rPr>
          <w:noProof/>
        </w:rPr>
        <w:t>(ChemEurope, 2001)</w:t>
      </w:r>
      <w:r w:rsidRPr="00E10B6E">
        <w:fldChar w:fldCharType="end"/>
      </w:r>
      <w:r w:rsidRPr="00E10B6E">
        <w:t xml:space="preserve">. The Rozenburg plant was acquired by DOMO, a joint venture between the Belgian Domo Group and Carmel Olefins, a subsidiary of BAZAN Group, the biggest petrochemical company of Israel. The joint venture changed name in 2011, becoming Ducor Petrochemicals </w:t>
      </w:r>
      <w:r w:rsidRPr="00E10B6E">
        <w:fldChar w:fldCharType="begin" w:fldLock="1"/>
      </w:r>
      <w:r w:rsidRPr="00E10B6E">
        <w:instrText>ADDIN CSL_CITATION {"citationItems":[{"id":"ITEM-1","itemData":{"URL":"https://www.plasteurope.com/news/DOMO_t219770/","accessed":{"date-parts":[["2020","3","30"]]},"author":[{"dropping-particle":"","family":"PlastEurope","given":"","non-dropping-particle":"","parse-names":false,"suffix":""}],"id":"ITEM-1","issued":{"date-parts":[["2011"]]},"title":"DOMO: Domo Polypropylene joint venture changes name to Ducor Petrochemicals / Carmel takeover not yet finalised | Plasteurope.com","type":"webpage"},"uris":["http://www.mendeley.com/documents/?uuid=fbcdb2fc-c580-45fc-9f69-e684b2cbbf58"]}],"mendeley":{"formattedCitation":"(PlastEurope, 2011)","plainTextFormattedCitation":"(PlastEurope, 2011)","previouslyFormattedCitation":"(PlastEurope, 2011)"},"properties":{"noteIndex":0},"schema":"https://github.com/citation-style-language/schema/raw/master/csl-citation.json"}</w:instrText>
      </w:r>
      <w:r w:rsidRPr="00E10B6E">
        <w:fldChar w:fldCharType="separate"/>
      </w:r>
      <w:r w:rsidRPr="00E10B6E">
        <w:rPr>
          <w:noProof/>
        </w:rPr>
        <w:t>(PlastEurope, 2011)</w:t>
      </w:r>
      <w:r w:rsidRPr="00E10B6E">
        <w:fldChar w:fldCharType="end"/>
      </w:r>
      <w:r w:rsidRPr="00E10B6E">
        <w:t xml:space="preserve">. The manufacturing site in Rozenburg operates within the boundaries of Rotterdam-Rijnmond, the largest chemical and petrochemical cluster in the Netherlands, which is characterised by excellent infrastructures and connections, i.e. roads, pipelines and railways </w:t>
      </w:r>
      <w:r w:rsidRPr="00E10B6E">
        <w:fldChar w:fldCharType="begin" w:fldLock="1"/>
      </w:r>
      <w:r w:rsidRPr="00E10B6E">
        <w:instrText>ADDIN CSL_CITATION {"citationItems":[{"id":"ITEM-1","itemData":{"author":[{"dropping-particle":"","family":"VNCI","given":"","non-dropping-particle":"","parse-names":false,"suffix":""}],"id":"ITEM-1","issued":{"date-parts":[["2018"]]},"title":"Chemistry for Climate - Roadmap for the Dutch Chemical Industry towards 2050","type":"report"},"uris":["http://www.mendeley.com/documents/?uuid=837720ec-d9d6-3717-b374-33e77cdb2883"]}],"mendeley":{"formattedCitation":"(VNCI, 2018)","plainTextFormattedCitation":"(VNCI, 2018)","previouslyFormattedCitation":"(VNCI, 2018)"},"properties":{"noteIndex":0},"schema":"https://github.com/citation-style-language/schema/raw/master/csl-citation.json"}</w:instrText>
      </w:r>
      <w:r w:rsidRPr="00E10B6E">
        <w:fldChar w:fldCharType="separate"/>
      </w:r>
      <w:r w:rsidRPr="00E10B6E">
        <w:rPr>
          <w:noProof/>
        </w:rPr>
        <w:t>(VNCI, 2018)</w:t>
      </w:r>
      <w:r w:rsidRPr="00E10B6E">
        <w:fldChar w:fldCharType="end"/>
      </w:r>
      <w:r w:rsidRPr="00E10B6E">
        <w:t xml:space="preserve">. Ducor is also part of “CIRCLE”, a consortium of international plastic companies and academia aiming to reduce industrial waste and increase the amount of recycled material in plastic products </w:t>
      </w:r>
      <w:r w:rsidRPr="00E10B6E">
        <w:fldChar w:fldCharType="begin" w:fldLock="1"/>
      </w:r>
      <w:r w:rsidR="00D62573" w:rsidRPr="00E10B6E">
        <w:instrText>ADDIN CSL_CITATION {"citationItems":[{"id":"ITEM-1","itemData":{"URL":"https://ducorchem.com/news/","accessed":{"date-parts":[["2020","3","30"]]},"author":[{"dropping-particle":"","family":"Ducor","given":"","non-dropping-particle":"","parse-names":false,"suffix":""}],"id":"ITEM-1","issued":{"date-parts":[["2020"]]},"title":"News - Ducor Petrochemicals","type":"webpage"},"uris":["http://www.mendeley.com/documents/?uuid=0aa21d4e-0e75-4f76-84c4-027f73202841"]}],"mendeley":{"formattedCitation":"(Ducor, 2020b)","plainTextFormattedCitation":"(Ducor, 2020b)","previouslyFormattedCitation":"(Ducor, 2020b)"},"properties":{"noteIndex":0},"schema":"https://github.com/citation-style-language/schema/raw/master/csl-citation.json"}</w:instrText>
      </w:r>
      <w:r w:rsidRPr="00E10B6E">
        <w:fldChar w:fldCharType="separate"/>
      </w:r>
      <w:r w:rsidR="00C72E3B" w:rsidRPr="00E10B6E">
        <w:rPr>
          <w:noProof/>
        </w:rPr>
        <w:t>(Ducor, 2020b)</w:t>
      </w:r>
      <w:r w:rsidRPr="00E10B6E">
        <w:fldChar w:fldCharType="end"/>
      </w:r>
      <w:r w:rsidRPr="00E10B6E">
        <w:t xml:space="preserve">. </w:t>
      </w:r>
    </w:p>
    <w:p w14:paraId="3C3F6728" w14:textId="03D56407" w:rsidR="00154C32" w:rsidRPr="00E10B6E" w:rsidRDefault="00154C32" w:rsidP="00154C32">
      <w:pPr>
        <w:jc w:val="both"/>
      </w:pPr>
      <w:r w:rsidRPr="00E10B6E">
        <w:t xml:space="preserve">Ducor Rozenburg has 80 employees </w:t>
      </w:r>
      <w:r w:rsidRPr="00E10B6E">
        <w:fldChar w:fldCharType="begin" w:fldLock="1"/>
      </w:r>
      <w:r w:rsidRPr="00E10B6E">
        <w:instrText>ADDIN CSL_CITATION {"citationItems":[{"id":"ITEM-1","itemData":{"author":[{"dropping-particle":"","family":"Port of Rotterdam","given":"","non-dropping-particle":"","parse-names":false,"suffix":""}],"id":"ITEM-1","issued":{"date-parts":[["2016","2"]]},"title":"Facts and figures on the Rotterdam  energy port and petrochemical cluster","type":"report"},"uris":["http://www.mendeley.com/documents/?uuid=bbbc87f3-8bd0-3092-9abc-7bdd9f3f7277"]}],"mendeley":{"formattedCitation":"(Port of Rotterdam, 2016)","plainTextFormattedCitation":"(Port of Rotterdam, 2016)","previouslyFormattedCitation":"(Port of Rotterdam, 2016)"},"properties":{"noteIndex":0},"schema":"https://github.com/citation-style-language/schema/raw/master/csl-citation.json"}</w:instrText>
      </w:r>
      <w:r w:rsidRPr="00E10B6E">
        <w:fldChar w:fldCharType="separate"/>
      </w:r>
      <w:r w:rsidRPr="00E10B6E">
        <w:rPr>
          <w:noProof/>
        </w:rPr>
        <w:t>(Port of Rotterdam, 2016)</w:t>
      </w:r>
      <w:r w:rsidRPr="00E10B6E">
        <w:fldChar w:fldCharType="end"/>
      </w:r>
      <w:r w:rsidRPr="00E10B6E">
        <w:t xml:space="preserve"> and three production lines that can produce different PP resins at the same time or be combined to bear big production loads in a short </w:t>
      </w:r>
      <w:r w:rsidRPr="00E10B6E">
        <w:lastRenderedPageBreak/>
        <w:t xml:space="preserve">time. The strategic location into the logistic hub of the Rotterdam port also means that Ducor is connected with an efficient system of pipelines for the supply of utilities and feedstock </w:t>
      </w:r>
      <w:r w:rsidRPr="00E10B6E">
        <w:fldChar w:fldCharType="begin" w:fldLock="1"/>
      </w:r>
      <w:r w:rsidRPr="00E10B6E">
        <w:instrText>ADDIN CSL_CITATION {"citationItems":[{"id":"ITEM-1","itemData":{"author":[{"dropping-particle":"","family":"Ducor","given":"","non-dropping-particle":"","parse-names":false,"suffix":""}],"id":"ITEM-1","issued":{"date-parts":[["2018"]]},"title":"Ducor Petrochemicals Corporate Brochure","type":"report"},"uris":["http://www.mendeley.com/documents/?uuid=6431a854-81bc-3c1e-ad8f-40178586b3b1"]}],"mendeley":{"formattedCitation":"(Ducor, 2018)","plainTextFormattedCitation":"(Ducor, 2018)","previouslyFormattedCitation":"(Ducor, 2018)"},"properties":{"noteIndex":0},"schema":"https://github.com/citation-style-language/schema/raw/master/csl-citation.json"}</w:instrText>
      </w:r>
      <w:r w:rsidRPr="00E10B6E">
        <w:fldChar w:fldCharType="separate"/>
      </w:r>
      <w:r w:rsidRPr="00E10B6E">
        <w:rPr>
          <w:noProof/>
        </w:rPr>
        <w:t>(Ducor, 2018)</w:t>
      </w:r>
      <w:r w:rsidRPr="00E10B6E">
        <w:fldChar w:fldCharType="end"/>
      </w:r>
      <w:r w:rsidRPr="00E10B6E">
        <w:t xml:space="preserve">. Part of the infrastructures of Ducor Rozenburg can be seen in </w:t>
      </w:r>
      <w:r w:rsidRPr="00E10B6E">
        <w:fldChar w:fldCharType="begin"/>
      </w:r>
      <w:r w:rsidRPr="00E10B6E">
        <w:instrText xml:space="preserve"> REF _Ref46348104 \h </w:instrText>
      </w:r>
      <w:r w:rsidRPr="00E10B6E">
        <w:fldChar w:fldCharType="separate"/>
      </w:r>
      <w:r w:rsidR="00983F73" w:rsidRPr="00E10B6E">
        <w:t xml:space="preserve">Figure </w:t>
      </w:r>
      <w:r w:rsidR="00983F73">
        <w:rPr>
          <w:noProof/>
        </w:rPr>
        <w:t>18</w:t>
      </w:r>
      <w:r w:rsidRPr="00E10B6E">
        <w:fldChar w:fldCharType="end"/>
      </w:r>
      <w:r w:rsidRPr="00E10B6E">
        <w:t>.</w:t>
      </w:r>
    </w:p>
    <w:p w14:paraId="6765488A" w14:textId="77777777" w:rsidR="00154C32" w:rsidRPr="00E10B6E" w:rsidRDefault="00154C32" w:rsidP="00154C32">
      <w:pPr>
        <w:keepNext/>
        <w:jc w:val="both"/>
      </w:pPr>
      <w:r w:rsidRPr="00E10B6E">
        <w:rPr>
          <w:noProof/>
        </w:rPr>
        <w:drawing>
          <wp:inline distT="0" distB="0" distL="0" distR="0" wp14:anchorId="56A86272" wp14:editId="592F030B">
            <wp:extent cx="5760000" cy="3839774"/>
            <wp:effectExtent l="0" t="0" r="0" b="8890"/>
            <wp:docPr id="1069329383" name="Picture 18" descr="Ducor: probleem plastic zwerfkorrels samen aanpakken - Petro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a:extLst>
                        <a:ext uri="{28A0092B-C50C-407E-A947-70E740481C1C}">
                          <a14:useLocalDpi xmlns:a14="http://schemas.microsoft.com/office/drawing/2010/main" val="0"/>
                        </a:ext>
                      </a:extLst>
                    </a:blip>
                    <a:stretch>
                      <a:fillRect/>
                    </a:stretch>
                  </pic:blipFill>
                  <pic:spPr>
                    <a:xfrm>
                      <a:off x="0" y="0"/>
                      <a:ext cx="5760000" cy="3839774"/>
                    </a:xfrm>
                    <a:prstGeom prst="rect">
                      <a:avLst/>
                    </a:prstGeom>
                  </pic:spPr>
                </pic:pic>
              </a:graphicData>
            </a:graphic>
          </wp:inline>
        </w:drawing>
      </w:r>
    </w:p>
    <w:p w14:paraId="339CBC43" w14:textId="653381E7" w:rsidR="00154C32" w:rsidRPr="00E10B6E" w:rsidRDefault="00154C32" w:rsidP="00154C32">
      <w:pPr>
        <w:pStyle w:val="Caption"/>
        <w:jc w:val="both"/>
      </w:pPr>
      <w:bookmarkStart w:id="47" w:name="_Ref46348104"/>
      <w:r w:rsidRPr="00E10B6E">
        <w:t xml:space="preserve">Figure </w:t>
      </w:r>
      <w:r w:rsidR="00722F9A">
        <w:fldChar w:fldCharType="begin"/>
      </w:r>
      <w:r w:rsidR="00722F9A">
        <w:instrText xml:space="preserve"> SEQ Figure \* ARABIC </w:instrText>
      </w:r>
      <w:r w:rsidR="00722F9A">
        <w:fldChar w:fldCharType="separate"/>
      </w:r>
      <w:r w:rsidR="00983F73">
        <w:rPr>
          <w:noProof/>
        </w:rPr>
        <w:t>18</w:t>
      </w:r>
      <w:r w:rsidR="00722F9A">
        <w:rPr>
          <w:noProof/>
        </w:rPr>
        <w:fldChar w:fldCharType="end"/>
      </w:r>
      <w:bookmarkEnd w:id="47"/>
      <w:r w:rsidRPr="00E10B6E">
        <w:t xml:space="preserve">: View of Ducor chemical plants in the Rozenburg site </w:t>
      </w:r>
      <w:r w:rsidRPr="00E10B6E">
        <w:fldChar w:fldCharType="begin" w:fldLock="1"/>
      </w:r>
      <w:r w:rsidR="00D62573" w:rsidRPr="00E10B6E">
        <w:instrText>ADDIN CSL_CITATION {"citationItems":[{"id":"ITEM-1","itemData":{"URL":"https://ducorchem.com/news/","accessed":{"date-parts":[["2020","3","30"]]},"author":[{"dropping-particle":"","family":"Ducor","given":"","non-dropping-particle":"","parse-names":false,"suffix":""}],"id":"ITEM-1","issued":{"date-parts":[["2020"]]},"title":"News - Ducor Petrochemicals","type":"webpage"},"uris":["http://www.mendeley.com/documents/?uuid=0aa21d4e-0e75-4f76-84c4-027f73202841"]}],"mendeley":{"formattedCitation":"(Ducor, 2020b)","plainTextFormattedCitation":"(Ducor, 2020b)","previouslyFormattedCitation":"(Ducor, 2020b)"},"properties":{"noteIndex":0},"schema":"https://github.com/citation-style-language/schema/raw/master/csl-citation.json"}</w:instrText>
      </w:r>
      <w:r w:rsidRPr="00E10B6E">
        <w:fldChar w:fldCharType="separate"/>
      </w:r>
      <w:r w:rsidR="00C72E3B" w:rsidRPr="00E10B6E">
        <w:rPr>
          <w:i w:val="0"/>
          <w:noProof/>
        </w:rPr>
        <w:t>(Ducor, 2020b)</w:t>
      </w:r>
      <w:r w:rsidRPr="00E10B6E">
        <w:fldChar w:fldCharType="end"/>
      </w:r>
      <w:r w:rsidRPr="00E10B6E">
        <w:t>.</w:t>
      </w:r>
    </w:p>
    <w:p w14:paraId="09733F4B" w14:textId="77777777" w:rsidR="00154C32" w:rsidRPr="00E10B6E" w:rsidRDefault="00154C32" w:rsidP="00154C32">
      <w:pPr>
        <w:jc w:val="both"/>
      </w:pPr>
      <w:r w:rsidRPr="00E10B6E">
        <w:t>Utilities such as electricity, steam and industrial gases are supplied to Ducor by Air Liquide, which is also part of the Rotterdam Port industrial cluster and adopt gas-fired cogeneration turbines.</w:t>
      </w:r>
    </w:p>
    <w:p w14:paraId="4807A363" w14:textId="0838A47E" w:rsidR="00EB6E3D" w:rsidRPr="00E10B6E" w:rsidRDefault="00EB6E3D" w:rsidP="00EB6E3D">
      <w:pPr>
        <w:pStyle w:val="Heading2"/>
      </w:pPr>
      <w:bookmarkStart w:id="48" w:name="_Toc54274798"/>
      <w:r w:rsidRPr="00E10B6E">
        <w:t xml:space="preserve">4.3 </w:t>
      </w:r>
      <w:r w:rsidR="006C508C" w:rsidRPr="00E10B6E">
        <w:t>Polymerisation processes</w:t>
      </w:r>
      <w:bookmarkEnd w:id="48"/>
    </w:p>
    <w:p w14:paraId="24C01CB9" w14:textId="6445F548" w:rsidR="003C0070" w:rsidRPr="00E10B6E" w:rsidRDefault="003C0070" w:rsidP="00DE46D5">
      <w:pPr>
        <w:jc w:val="both"/>
      </w:pPr>
      <w:r w:rsidRPr="00E10B6E">
        <w:t>The monomers necessary for polyolefin production, namely ethylene (also called ethene, chemical formula: C</w:t>
      </w:r>
      <w:r w:rsidRPr="00E10B6E">
        <w:rPr>
          <w:vertAlign w:val="subscript"/>
        </w:rPr>
        <w:t>2</w:t>
      </w:r>
      <w:r w:rsidRPr="00E10B6E">
        <w:t>H</w:t>
      </w:r>
      <w:r w:rsidRPr="00E10B6E">
        <w:rPr>
          <w:vertAlign w:val="subscript"/>
        </w:rPr>
        <w:t>4</w:t>
      </w:r>
      <w:r w:rsidRPr="00E10B6E">
        <w:t>) and propylene (also called propene, chemical formula: C</w:t>
      </w:r>
      <w:r w:rsidRPr="00E10B6E">
        <w:rPr>
          <w:vertAlign w:val="subscript"/>
        </w:rPr>
        <w:t>3</w:t>
      </w:r>
      <w:r w:rsidRPr="00E10B6E">
        <w:t>H</w:t>
      </w:r>
      <w:r w:rsidRPr="00E10B6E">
        <w:rPr>
          <w:vertAlign w:val="subscript"/>
        </w:rPr>
        <w:t>6</w:t>
      </w:r>
      <w:r w:rsidRPr="00E10B6E">
        <w:t xml:space="preserve">), are produced by steam crackers. In the European Union, around 63% of the cracker feedstock is made up by naphtha coming from petroleum refineries, with the remaining share being LPG and other natural gas liquids </w:t>
      </w:r>
      <w:r w:rsidRPr="00E10B6E">
        <w:fldChar w:fldCharType="begin" w:fldLock="1"/>
      </w:r>
      <w:r w:rsidRPr="00E10B6E">
        <w:instrText>ADDIN CSL_CITATION {"citationItems":[{"id":"ITEM-1","itemData":{"URL":"https://www.petrochemistry.eu/about-petrochemistry/petrochemicals-facts-and-figures/european-market-overview/","accessed":{"date-parts":[["2020","4","2"]]},"author":[{"dropping-particle":"","family":"Petrochemicals Europe","given":"","non-dropping-particle":"","parse-names":false,"suffix":""}],"id":"ITEM-1","issued":{"date-parts":[["2020"]]},"title":"European Market Overview - Petrochemicals Europe - Petrochemicals Europe","type":"webpage"},"uris":["http://www.mendeley.com/documents/?uuid=820eb016-0876-3608-93ac-d0f82b2bd9a3"]}],"mendeley":{"formattedCitation":"(Petrochemicals Europe, 2020)","plainTextFormattedCitation":"(Petrochemicals Europe, 2020)","previouslyFormattedCitation":"(Petrochemicals Europe, 2020)"},"properties":{"noteIndex":0},"schema":"https://github.com/citation-style-language/schema/raw/master/csl-citation.json"}</w:instrText>
      </w:r>
      <w:r w:rsidRPr="00E10B6E">
        <w:fldChar w:fldCharType="separate"/>
      </w:r>
      <w:r w:rsidRPr="00E10B6E">
        <w:rPr>
          <w:noProof/>
        </w:rPr>
        <w:t>(Petrochemicals Europe, 2020)</w:t>
      </w:r>
      <w:r w:rsidRPr="00E10B6E">
        <w:fldChar w:fldCharType="end"/>
      </w:r>
      <w:r w:rsidRPr="00E10B6E">
        <w:t xml:space="preserve">. In the Netherlands, between 5,000 and 6,000 ktoe of naphtha are produced every year </w:t>
      </w:r>
      <w:r w:rsidRPr="00E10B6E">
        <w:fldChar w:fldCharType="begin" w:fldLock="1"/>
      </w:r>
      <w:r w:rsidR="007C1D98" w:rsidRPr="00E10B6E">
        <w:instrText>ADDIN CSL_CITATION {"citationItems":[{"id":"ITEM-1","itemData":{"URL":"https://www.iea.org/data-and-statistics?","accessed":{"date-parts":[["2020","3","9"]]},"author":[{"dropping-particle":"","family":"IEA","given":"","non-dropping-particle":"","parse-names":false,"suffix":""}],"id":"ITEM-1","issued":{"date-parts":[["2020"]]},"title":"Data &amp; Statistics","type":"webpage"},"uris":["http://www.mendeley.com/documents/?uuid=24ab1a49-4f4f-4ada-927b-8757bfee59f4"]}],"mendeley":{"formattedCitation":"(IEA, 2020)","plainTextFormattedCitation":"(IEA, 2020)","previouslyFormattedCitation":"(IEA, 2020)"},"properties":{"noteIndex":0},"schema":"https://github.com/citation-style-language/schema/raw/master/csl-citation.json"}</w:instrText>
      </w:r>
      <w:r w:rsidRPr="00E10B6E">
        <w:fldChar w:fldCharType="separate"/>
      </w:r>
      <w:r w:rsidR="00DA070D" w:rsidRPr="00E10B6E">
        <w:rPr>
          <w:noProof/>
        </w:rPr>
        <w:t>(IEA, 2020)</w:t>
      </w:r>
      <w:r w:rsidRPr="00E10B6E">
        <w:fldChar w:fldCharType="end"/>
      </w:r>
      <w:r w:rsidRPr="00E10B6E">
        <w:t xml:space="preserve">, accounting for around 10% of the cracker feedstock in the European Union </w:t>
      </w:r>
      <w:r w:rsidRPr="00E10B6E">
        <w:fldChar w:fldCharType="begin" w:fldLock="1"/>
      </w:r>
      <w:r w:rsidRPr="00E10B6E">
        <w:instrText>ADDIN CSL_CITATION {"citationItems":[{"id":"ITEM-1","itemData":{"URL":"https://www.petrochemistry.eu/about-petrochemistry/petrochemicals-facts-and-figures/european-market-overview/","accessed":{"date-parts":[["2020","4","2"]]},"author":[{"dropping-particle":"","family":"Petrochemicals Europe","given":"","non-dropping-particle":"","parse-names":false,"suffix":""}],"id":"ITEM-1","issued":{"date-parts":[["2020"]]},"title":"European Market Overview - Petrochemicals Europe - Petrochemicals Europe","type":"webpage"},"uris":["http://www.mendeley.com/documents/?uuid=820eb016-0876-3608-93ac-d0f82b2bd9a3"]}],"mendeley":{"formattedCitation":"(Petrochemicals Europe, 2020)","plainTextFormattedCitation":"(Petrochemicals Europe, 2020)","previouslyFormattedCitation":"(Petrochemicals Europe, 2020)"},"properties":{"noteIndex":0},"schema":"https://github.com/citation-style-language/schema/raw/master/csl-citation.json"}</w:instrText>
      </w:r>
      <w:r w:rsidRPr="00E10B6E">
        <w:fldChar w:fldCharType="separate"/>
      </w:r>
      <w:r w:rsidRPr="00E10B6E">
        <w:rPr>
          <w:noProof/>
        </w:rPr>
        <w:t>(Petrochemicals Europe, 2020)</w:t>
      </w:r>
      <w:r w:rsidRPr="00E10B6E">
        <w:fldChar w:fldCharType="end"/>
      </w:r>
      <w:r w:rsidRPr="00E10B6E">
        <w:t>.</w:t>
      </w:r>
    </w:p>
    <w:p w14:paraId="000B33D1" w14:textId="340B9F03" w:rsidR="006C508C" w:rsidRPr="00E10B6E" w:rsidRDefault="00DE46D5" w:rsidP="00DE46D5">
      <w:pPr>
        <w:jc w:val="both"/>
      </w:pPr>
      <w:r w:rsidRPr="00E10B6E">
        <w:t xml:space="preserve">During the chain polymerisation process, the chemical bonds of thousands of monomers are forced to open and link to each other, creating a saturated chain macromolecule whose properties can vary depending on the polymerisation process and technique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As seen in </w:t>
      </w:r>
      <w:r w:rsidRPr="00E10B6E">
        <w:fldChar w:fldCharType="begin"/>
      </w:r>
      <w:r w:rsidRPr="00E10B6E">
        <w:instrText xml:space="preserve"> REF _Ref46354192 \h </w:instrText>
      </w:r>
      <w:r w:rsidRPr="00E10B6E">
        <w:fldChar w:fldCharType="separate"/>
      </w:r>
      <w:r w:rsidR="00983F73" w:rsidRPr="00E10B6E">
        <w:t xml:space="preserve">Table </w:t>
      </w:r>
      <w:r w:rsidR="00983F73">
        <w:rPr>
          <w:noProof/>
        </w:rPr>
        <w:t>6</w:t>
      </w:r>
      <w:r w:rsidRPr="00E10B6E">
        <w:fldChar w:fldCharType="end"/>
      </w:r>
      <w:r w:rsidRPr="00E10B6E">
        <w:t>, four main polymerisation process technologies are applied in the production of polyolefins, and all of them will be described and analysed in the following sections.</w:t>
      </w:r>
    </w:p>
    <w:p w14:paraId="34C975B5" w14:textId="1AB39FFF" w:rsidR="00B6006E" w:rsidRPr="00E10B6E" w:rsidRDefault="00B6006E" w:rsidP="00B6006E">
      <w:pPr>
        <w:pStyle w:val="Caption"/>
        <w:keepNext/>
        <w:jc w:val="both"/>
      </w:pPr>
      <w:bookmarkStart w:id="49" w:name="_Ref46354192"/>
      <w:r w:rsidRPr="00E10B6E">
        <w:lastRenderedPageBreak/>
        <w:t xml:space="preserve">Table </w:t>
      </w:r>
      <w:r w:rsidR="00722F9A">
        <w:fldChar w:fldCharType="begin"/>
      </w:r>
      <w:r w:rsidR="00722F9A">
        <w:instrText xml:space="preserve"> SEQ Table \* ARABIC </w:instrText>
      </w:r>
      <w:r w:rsidR="00722F9A">
        <w:fldChar w:fldCharType="separate"/>
      </w:r>
      <w:r w:rsidR="00983F73">
        <w:rPr>
          <w:noProof/>
        </w:rPr>
        <w:t>6</w:t>
      </w:r>
      <w:r w:rsidR="00722F9A">
        <w:rPr>
          <w:noProof/>
        </w:rPr>
        <w:fldChar w:fldCharType="end"/>
      </w:r>
      <w:bookmarkEnd w:id="49"/>
      <w:r w:rsidRPr="00E10B6E">
        <w:t xml:space="preserve">: Most common processes applied in polyethylene and polypropylene production. Made with information from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id":"ITEM-2","itemData":{"author":[{"dropping-particle":"","family":"PlasticsEurope","given":"","non-dropping-particle":"","parse-names":false,"suffix":""}],"id":"ITEM-2","issued":{"date-parts":[["2014"]]},"number-of-pages":"45","publisher-place":"Brussels","title":"Ecoprofiles and Environmental Product Declarations of the European Plastics Manufacturers (PP)","type":"report"},"uris":["http://www.mendeley.com/documents/?uuid=7222b6d9-a19d-4ad9-b253-40db684d213c"]},{"id":"ITEM-3","itemData":{"author":[{"dropping-particle":"","family":"European Commission","given":"","non-dropping-particle":"","parse-names":false,"suffix":""}],"id":"ITEM-3","issued":{"date-parts":[["2007"]]},"number-of-pages":"314","title":"Reference Document on Best Available Techniques in the Production of Polymers","type":"report"},"uris":["http://www.mendeley.com/documents/?uuid=3fbd34fa-da37-4050-8d0c-198a7a84e738"]}],"mendeley":{"formattedCitation":"(European Commission, 2007; PlasticsEurope, 2014a, 2014b)","plainTextFormattedCitation":"(European Commission, 2007; PlasticsEurope, 2014a, 2014b)","previouslyFormattedCitation":"(European Commission, 2007; PlasticsEurope, 2014a, 2014b)"},"properties":{"noteIndex":0},"schema":"https://github.com/citation-style-language/schema/raw/master/csl-citation.json"}</w:instrText>
      </w:r>
      <w:r w:rsidRPr="00E10B6E">
        <w:fldChar w:fldCharType="separate"/>
      </w:r>
      <w:r w:rsidRPr="00E10B6E">
        <w:rPr>
          <w:i w:val="0"/>
          <w:noProof/>
        </w:rPr>
        <w:t>(European Commission, 2007; PlasticsEurope, 2014a, 2014b)</w:t>
      </w:r>
      <w:r w:rsidRPr="00E10B6E">
        <w:fldChar w:fldCharType="end"/>
      </w:r>
      <w:r w:rsidRPr="00E10B6E">
        <w:t>.</w:t>
      </w:r>
    </w:p>
    <w:tbl>
      <w:tblPr>
        <w:tblStyle w:val="TableGrid"/>
        <w:tblW w:w="9070" w:type="dxa"/>
        <w:tblLook w:val="06A0" w:firstRow="1" w:lastRow="0" w:firstColumn="1" w:lastColumn="0" w:noHBand="1" w:noVBand="1"/>
      </w:tblPr>
      <w:tblGrid>
        <w:gridCol w:w="1870"/>
        <w:gridCol w:w="1800"/>
        <w:gridCol w:w="1801"/>
        <w:gridCol w:w="1801"/>
        <w:gridCol w:w="1798"/>
      </w:tblGrid>
      <w:tr w:rsidR="00DE46D5" w:rsidRPr="00E10B6E" w14:paraId="33FDB5A3" w14:textId="77777777" w:rsidTr="00DE46D5">
        <w:trPr>
          <w:trHeight w:val="567"/>
        </w:trPr>
        <w:tc>
          <w:tcPr>
            <w:tcW w:w="1814" w:type="dxa"/>
            <w:shd w:val="clear" w:color="auto" w:fill="4472C4" w:themeFill="accent1"/>
            <w:vAlign w:val="center"/>
          </w:tcPr>
          <w:p w14:paraId="2FB57FC4" w14:textId="77777777" w:rsidR="00DE46D5" w:rsidRPr="00E10B6E" w:rsidRDefault="00DE46D5" w:rsidP="005A58AB">
            <w:pPr>
              <w:keepNext/>
              <w:keepLines/>
              <w:jc w:val="center"/>
              <w:rPr>
                <w:b/>
                <w:bCs/>
                <w:color w:val="FFFFFF" w:themeColor="background1"/>
              </w:rPr>
            </w:pPr>
            <w:r w:rsidRPr="00E10B6E">
              <w:rPr>
                <w:b/>
                <w:bCs/>
                <w:color w:val="FFFFFF" w:themeColor="background1"/>
              </w:rPr>
              <w:t>POLYMERISATION PROCESS</w:t>
            </w:r>
          </w:p>
        </w:tc>
        <w:tc>
          <w:tcPr>
            <w:tcW w:w="1814" w:type="dxa"/>
            <w:shd w:val="clear" w:color="auto" w:fill="4472C4" w:themeFill="accent1"/>
            <w:vAlign w:val="center"/>
          </w:tcPr>
          <w:p w14:paraId="60F341F7" w14:textId="77777777" w:rsidR="00DE46D5" w:rsidRPr="00E10B6E" w:rsidRDefault="00DE46D5" w:rsidP="005A58AB">
            <w:pPr>
              <w:keepNext/>
              <w:keepLines/>
              <w:jc w:val="center"/>
              <w:rPr>
                <w:b/>
                <w:bCs/>
                <w:color w:val="FFFFFF" w:themeColor="background1"/>
              </w:rPr>
            </w:pPr>
            <w:r w:rsidRPr="00E10B6E">
              <w:rPr>
                <w:b/>
                <w:bCs/>
                <w:color w:val="FFFFFF" w:themeColor="background1"/>
              </w:rPr>
              <w:t>LDPE</w:t>
            </w:r>
          </w:p>
        </w:tc>
        <w:tc>
          <w:tcPr>
            <w:tcW w:w="1814" w:type="dxa"/>
            <w:shd w:val="clear" w:color="auto" w:fill="4472C4" w:themeFill="accent1"/>
            <w:vAlign w:val="center"/>
          </w:tcPr>
          <w:p w14:paraId="6F3690AC" w14:textId="77777777" w:rsidR="00DE46D5" w:rsidRPr="00E10B6E" w:rsidRDefault="00DE46D5" w:rsidP="005A58AB">
            <w:pPr>
              <w:keepNext/>
              <w:keepLines/>
              <w:jc w:val="center"/>
              <w:rPr>
                <w:b/>
                <w:bCs/>
                <w:color w:val="FFFFFF" w:themeColor="background1"/>
              </w:rPr>
            </w:pPr>
            <w:r w:rsidRPr="00E10B6E">
              <w:rPr>
                <w:b/>
                <w:bCs/>
                <w:color w:val="FFFFFF" w:themeColor="background1"/>
              </w:rPr>
              <w:t>LLDPE</w:t>
            </w:r>
          </w:p>
        </w:tc>
        <w:tc>
          <w:tcPr>
            <w:tcW w:w="1814" w:type="dxa"/>
            <w:shd w:val="clear" w:color="auto" w:fill="4472C4" w:themeFill="accent1"/>
            <w:vAlign w:val="center"/>
          </w:tcPr>
          <w:p w14:paraId="1B58FE90" w14:textId="77777777" w:rsidR="00DE46D5" w:rsidRPr="00E10B6E" w:rsidRDefault="00DE46D5" w:rsidP="005A58AB">
            <w:pPr>
              <w:keepNext/>
              <w:keepLines/>
              <w:jc w:val="center"/>
              <w:rPr>
                <w:b/>
                <w:bCs/>
                <w:color w:val="FFFFFF" w:themeColor="background1"/>
              </w:rPr>
            </w:pPr>
            <w:r w:rsidRPr="00E10B6E">
              <w:rPr>
                <w:b/>
                <w:bCs/>
                <w:color w:val="FFFFFF" w:themeColor="background1"/>
              </w:rPr>
              <w:t>HDPE</w:t>
            </w:r>
          </w:p>
        </w:tc>
        <w:tc>
          <w:tcPr>
            <w:tcW w:w="1814" w:type="dxa"/>
            <w:shd w:val="clear" w:color="auto" w:fill="4472C4" w:themeFill="accent1"/>
            <w:vAlign w:val="center"/>
          </w:tcPr>
          <w:p w14:paraId="402A9954" w14:textId="77777777" w:rsidR="00DE46D5" w:rsidRPr="00E10B6E" w:rsidRDefault="00DE46D5" w:rsidP="005A58AB">
            <w:pPr>
              <w:keepNext/>
              <w:keepLines/>
              <w:jc w:val="center"/>
              <w:rPr>
                <w:b/>
                <w:bCs/>
                <w:color w:val="FFFFFF" w:themeColor="background1"/>
              </w:rPr>
            </w:pPr>
            <w:r w:rsidRPr="00E10B6E">
              <w:rPr>
                <w:b/>
                <w:bCs/>
                <w:color w:val="FFFFFF" w:themeColor="background1"/>
              </w:rPr>
              <w:t>PP</w:t>
            </w:r>
          </w:p>
        </w:tc>
      </w:tr>
      <w:tr w:rsidR="00DE46D5" w:rsidRPr="00E10B6E" w14:paraId="427C8186" w14:textId="77777777" w:rsidTr="00DE46D5">
        <w:trPr>
          <w:trHeight w:val="567"/>
        </w:trPr>
        <w:tc>
          <w:tcPr>
            <w:tcW w:w="1814" w:type="dxa"/>
            <w:vAlign w:val="center"/>
          </w:tcPr>
          <w:p w14:paraId="272E0FC6" w14:textId="77777777" w:rsidR="00DE46D5" w:rsidRPr="00E10B6E" w:rsidRDefault="00DE46D5" w:rsidP="005A58AB">
            <w:pPr>
              <w:keepNext/>
              <w:keepLines/>
              <w:jc w:val="center"/>
            </w:pPr>
            <w:r w:rsidRPr="00E10B6E">
              <w:t>High-pressure</w:t>
            </w:r>
          </w:p>
        </w:tc>
        <w:tc>
          <w:tcPr>
            <w:tcW w:w="1814" w:type="dxa"/>
            <w:shd w:val="clear" w:color="auto" w:fill="B4C6E7" w:themeFill="accent1" w:themeFillTint="66"/>
            <w:vAlign w:val="center"/>
          </w:tcPr>
          <w:p w14:paraId="2D1FE570" w14:textId="77777777" w:rsidR="00DE46D5" w:rsidRPr="00E10B6E" w:rsidRDefault="00DE46D5" w:rsidP="005A58AB">
            <w:pPr>
              <w:keepNext/>
              <w:keepLines/>
              <w:jc w:val="center"/>
            </w:pPr>
            <w:r w:rsidRPr="00E10B6E">
              <w:t>X</w:t>
            </w:r>
          </w:p>
        </w:tc>
        <w:tc>
          <w:tcPr>
            <w:tcW w:w="1814" w:type="dxa"/>
            <w:vAlign w:val="center"/>
          </w:tcPr>
          <w:p w14:paraId="3BB1D09B" w14:textId="77777777" w:rsidR="00DE46D5" w:rsidRPr="00E10B6E" w:rsidRDefault="00DE46D5" w:rsidP="005A58AB">
            <w:pPr>
              <w:keepNext/>
              <w:keepLines/>
              <w:jc w:val="center"/>
            </w:pPr>
          </w:p>
        </w:tc>
        <w:tc>
          <w:tcPr>
            <w:tcW w:w="1814" w:type="dxa"/>
            <w:vAlign w:val="center"/>
          </w:tcPr>
          <w:p w14:paraId="2F9C98C3" w14:textId="77777777" w:rsidR="00DE46D5" w:rsidRPr="00E10B6E" w:rsidRDefault="00DE46D5" w:rsidP="005A58AB">
            <w:pPr>
              <w:keepNext/>
              <w:keepLines/>
              <w:jc w:val="center"/>
            </w:pPr>
          </w:p>
        </w:tc>
        <w:tc>
          <w:tcPr>
            <w:tcW w:w="1814" w:type="dxa"/>
            <w:vAlign w:val="center"/>
          </w:tcPr>
          <w:p w14:paraId="259D2B23" w14:textId="77777777" w:rsidR="00DE46D5" w:rsidRPr="00E10B6E" w:rsidRDefault="00DE46D5" w:rsidP="005A58AB">
            <w:pPr>
              <w:keepNext/>
              <w:keepLines/>
              <w:jc w:val="center"/>
            </w:pPr>
          </w:p>
        </w:tc>
      </w:tr>
      <w:tr w:rsidR="00DE46D5" w:rsidRPr="00E10B6E" w14:paraId="6DC5D77D" w14:textId="77777777" w:rsidTr="00DE46D5">
        <w:trPr>
          <w:trHeight w:val="567"/>
        </w:trPr>
        <w:tc>
          <w:tcPr>
            <w:tcW w:w="1814" w:type="dxa"/>
            <w:vAlign w:val="center"/>
          </w:tcPr>
          <w:p w14:paraId="3D81BBA2" w14:textId="77777777" w:rsidR="00DE46D5" w:rsidRPr="00E10B6E" w:rsidRDefault="00DE46D5" w:rsidP="005A58AB">
            <w:pPr>
              <w:keepNext/>
              <w:keepLines/>
              <w:jc w:val="center"/>
            </w:pPr>
            <w:r w:rsidRPr="00E10B6E">
              <w:t>Solution</w:t>
            </w:r>
          </w:p>
        </w:tc>
        <w:tc>
          <w:tcPr>
            <w:tcW w:w="1814" w:type="dxa"/>
            <w:vAlign w:val="center"/>
          </w:tcPr>
          <w:p w14:paraId="35081A68" w14:textId="77777777" w:rsidR="00DE46D5" w:rsidRPr="00E10B6E" w:rsidRDefault="00DE46D5" w:rsidP="005A58AB">
            <w:pPr>
              <w:keepNext/>
              <w:keepLines/>
              <w:jc w:val="center"/>
            </w:pPr>
          </w:p>
        </w:tc>
        <w:tc>
          <w:tcPr>
            <w:tcW w:w="1814" w:type="dxa"/>
            <w:shd w:val="clear" w:color="auto" w:fill="B4C6E7" w:themeFill="accent1" w:themeFillTint="66"/>
            <w:vAlign w:val="center"/>
          </w:tcPr>
          <w:p w14:paraId="12E9D87B" w14:textId="77777777" w:rsidR="00DE46D5" w:rsidRPr="00E10B6E" w:rsidRDefault="00DE46D5" w:rsidP="005A58AB">
            <w:pPr>
              <w:keepNext/>
              <w:keepLines/>
              <w:jc w:val="center"/>
            </w:pPr>
            <w:r w:rsidRPr="00E10B6E">
              <w:t>X</w:t>
            </w:r>
          </w:p>
        </w:tc>
        <w:tc>
          <w:tcPr>
            <w:tcW w:w="1814" w:type="dxa"/>
            <w:shd w:val="clear" w:color="auto" w:fill="B4C6E7" w:themeFill="accent1" w:themeFillTint="66"/>
            <w:vAlign w:val="center"/>
          </w:tcPr>
          <w:p w14:paraId="3022B236" w14:textId="77777777" w:rsidR="00DE46D5" w:rsidRPr="00E10B6E" w:rsidRDefault="00DE46D5" w:rsidP="005A58AB">
            <w:pPr>
              <w:keepNext/>
              <w:keepLines/>
              <w:jc w:val="center"/>
            </w:pPr>
            <w:r w:rsidRPr="00E10B6E">
              <w:t>X</w:t>
            </w:r>
          </w:p>
        </w:tc>
        <w:tc>
          <w:tcPr>
            <w:tcW w:w="1814" w:type="dxa"/>
            <w:vAlign w:val="center"/>
          </w:tcPr>
          <w:p w14:paraId="3E1B9F0E" w14:textId="77777777" w:rsidR="00DE46D5" w:rsidRPr="00E10B6E" w:rsidRDefault="00DE46D5" w:rsidP="005A58AB">
            <w:pPr>
              <w:keepNext/>
              <w:keepLines/>
              <w:jc w:val="center"/>
            </w:pPr>
          </w:p>
        </w:tc>
      </w:tr>
      <w:tr w:rsidR="00DE46D5" w:rsidRPr="00E10B6E" w14:paraId="71E40B9F" w14:textId="77777777" w:rsidTr="00DE46D5">
        <w:trPr>
          <w:trHeight w:val="567"/>
        </w:trPr>
        <w:tc>
          <w:tcPr>
            <w:tcW w:w="1814" w:type="dxa"/>
            <w:vAlign w:val="center"/>
          </w:tcPr>
          <w:p w14:paraId="59E8B69E" w14:textId="77777777" w:rsidR="00DE46D5" w:rsidRPr="00E10B6E" w:rsidRDefault="00DE46D5" w:rsidP="005A58AB">
            <w:pPr>
              <w:keepNext/>
              <w:keepLines/>
              <w:jc w:val="center"/>
            </w:pPr>
            <w:r w:rsidRPr="00E10B6E">
              <w:t>Suspension/slurry</w:t>
            </w:r>
          </w:p>
        </w:tc>
        <w:tc>
          <w:tcPr>
            <w:tcW w:w="1814" w:type="dxa"/>
            <w:vAlign w:val="center"/>
          </w:tcPr>
          <w:p w14:paraId="4FB2ADEE" w14:textId="77777777" w:rsidR="00DE46D5" w:rsidRPr="00E10B6E" w:rsidRDefault="00DE46D5" w:rsidP="005A58AB">
            <w:pPr>
              <w:keepNext/>
              <w:keepLines/>
              <w:jc w:val="center"/>
            </w:pPr>
          </w:p>
        </w:tc>
        <w:tc>
          <w:tcPr>
            <w:tcW w:w="1814" w:type="dxa"/>
            <w:vAlign w:val="center"/>
          </w:tcPr>
          <w:p w14:paraId="14C757D5" w14:textId="77777777" w:rsidR="00DE46D5" w:rsidRPr="00E10B6E" w:rsidRDefault="00DE46D5" w:rsidP="005A58AB">
            <w:pPr>
              <w:keepNext/>
              <w:keepLines/>
              <w:jc w:val="center"/>
            </w:pPr>
          </w:p>
        </w:tc>
        <w:tc>
          <w:tcPr>
            <w:tcW w:w="1814" w:type="dxa"/>
            <w:shd w:val="clear" w:color="auto" w:fill="B4C6E7" w:themeFill="accent1" w:themeFillTint="66"/>
            <w:vAlign w:val="center"/>
          </w:tcPr>
          <w:p w14:paraId="3E814E16" w14:textId="77777777" w:rsidR="00DE46D5" w:rsidRPr="00E10B6E" w:rsidRDefault="00DE46D5" w:rsidP="005A58AB">
            <w:pPr>
              <w:keepNext/>
              <w:keepLines/>
              <w:jc w:val="center"/>
            </w:pPr>
            <w:r w:rsidRPr="00E10B6E">
              <w:t>X</w:t>
            </w:r>
          </w:p>
        </w:tc>
        <w:tc>
          <w:tcPr>
            <w:tcW w:w="1814" w:type="dxa"/>
            <w:shd w:val="clear" w:color="auto" w:fill="B4C6E7" w:themeFill="accent1" w:themeFillTint="66"/>
            <w:vAlign w:val="center"/>
          </w:tcPr>
          <w:p w14:paraId="019D7551" w14:textId="77777777" w:rsidR="00DE46D5" w:rsidRPr="00E10B6E" w:rsidRDefault="00DE46D5" w:rsidP="005A58AB">
            <w:pPr>
              <w:keepNext/>
              <w:keepLines/>
              <w:jc w:val="center"/>
            </w:pPr>
            <w:r w:rsidRPr="00E10B6E">
              <w:t>X</w:t>
            </w:r>
          </w:p>
        </w:tc>
      </w:tr>
      <w:tr w:rsidR="00DE46D5" w:rsidRPr="00E10B6E" w14:paraId="22496264" w14:textId="77777777" w:rsidTr="00DE46D5">
        <w:trPr>
          <w:trHeight w:val="567"/>
        </w:trPr>
        <w:tc>
          <w:tcPr>
            <w:tcW w:w="1814" w:type="dxa"/>
            <w:vAlign w:val="center"/>
          </w:tcPr>
          <w:p w14:paraId="549ED89F" w14:textId="4B470F49" w:rsidR="00DE46D5" w:rsidRPr="00E10B6E" w:rsidRDefault="00DE46D5" w:rsidP="005A58AB">
            <w:pPr>
              <w:keepLines/>
              <w:jc w:val="center"/>
            </w:pPr>
            <w:r w:rsidRPr="00E10B6E">
              <w:t>Gas</w:t>
            </w:r>
            <w:r w:rsidR="00F52340" w:rsidRPr="00E10B6E">
              <w:t>-</w:t>
            </w:r>
            <w:r w:rsidRPr="00E10B6E">
              <w:t>phase</w:t>
            </w:r>
          </w:p>
        </w:tc>
        <w:tc>
          <w:tcPr>
            <w:tcW w:w="1814" w:type="dxa"/>
            <w:vAlign w:val="center"/>
          </w:tcPr>
          <w:p w14:paraId="6CE925C0" w14:textId="77777777" w:rsidR="00DE46D5" w:rsidRPr="00E10B6E" w:rsidRDefault="00DE46D5" w:rsidP="005A58AB">
            <w:pPr>
              <w:keepLines/>
              <w:jc w:val="center"/>
            </w:pPr>
          </w:p>
        </w:tc>
        <w:tc>
          <w:tcPr>
            <w:tcW w:w="1814" w:type="dxa"/>
            <w:shd w:val="clear" w:color="auto" w:fill="B4C6E7" w:themeFill="accent1" w:themeFillTint="66"/>
            <w:vAlign w:val="center"/>
          </w:tcPr>
          <w:p w14:paraId="475A165C" w14:textId="77777777" w:rsidR="00DE46D5" w:rsidRPr="00E10B6E" w:rsidRDefault="00DE46D5" w:rsidP="005A58AB">
            <w:pPr>
              <w:keepLines/>
              <w:jc w:val="center"/>
            </w:pPr>
            <w:r w:rsidRPr="00E10B6E">
              <w:t>X</w:t>
            </w:r>
          </w:p>
        </w:tc>
        <w:tc>
          <w:tcPr>
            <w:tcW w:w="1814" w:type="dxa"/>
            <w:shd w:val="clear" w:color="auto" w:fill="B4C6E7" w:themeFill="accent1" w:themeFillTint="66"/>
            <w:vAlign w:val="center"/>
          </w:tcPr>
          <w:p w14:paraId="66189891" w14:textId="77777777" w:rsidR="00DE46D5" w:rsidRPr="00E10B6E" w:rsidRDefault="00DE46D5" w:rsidP="005A58AB">
            <w:pPr>
              <w:keepLines/>
              <w:jc w:val="center"/>
            </w:pPr>
            <w:r w:rsidRPr="00E10B6E">
              <w:t>X</w:t>
            </w:r>
          </w:p>
        </w:tc>
        <w:tc>
          <w:tcPr>
            <w:tcW w:w="1814" w:type="dxa"/>
            <w:shd w:val="clear" w:color="auto" w:fill="B4C6E7" w:themeFill="accent1" w:themeFillTint="66"/>
            <w:vAlign w:val="center"/>
          </w:tcPr>
          <w:p w14:paraId="58A1E803" w14:textId="77777777" w:rsidR="00DE46D5" w:rsidRPr="00E10B6E" w:rsidRDefault="00DE46D5" w:rsidP="005A58AB">
            <w:pPr>
              <w:keepLines/>
              <w:jc w:val="center"/>
            </w:pPr>
            <w:r w:rsidRPr="00E10B6E">
              <w:t>X</w:t>
            </w:r>
          </w:p>
        </w:tc>
      </w:tr>
    </w:tbl>
    <w:p w14:paraId="5F5757A0" w14:textId="6AFF737E" w:rsidR="00B6006E" w:rsidRPr="00E10B6E" w:rsidRDefault="00FC2760" w:rsidP="00B6006E">
      <w:pPr>
        <w:jc w:val="both"/>
      </w:pPr>
      <w:r w:rsidRPr="00E10B6E">
        <w:br/>
      </w:r>
      <w:r w:rsidR="00B6006E" w:rsidRPr="00E10B6E">
        <w:t xml:space="preserve">At Dow, LLDPE is produced under the brand name of Dowlex with a double reactor solution process </w:t>
      </w:r>
      <w:r w:rsidR="00B6006E" w:rsidRPr="00E10B6E">
        <w:fldChar w:fldCharType="begin" w:fldLock="1"/>
      </w:r>
      <w:r w:rsidR="00B6006E" w:rsidRPr="00E10B6E">
        <w:instrText>ADDIN CSL_CITATION {"citationItems":[{"id":"ITEM-1","itemData":{"abstract":"The information contained herein is from sources considered reliable. However, because of the possibility of human or mechanical error by sources, its accuracy and completeness are not warranted, nor are the opinions and analyses which are based upon it, and to the extent permitted by law, Townsend Solutions shall not be liable for any errors or omissions or any loss, damage or expense incurred by reliance on information or any statement contained herein. For more information please contact Townsend Solutions corporate headquarters at +1-281-873-8733 or email customercare@townsendsolutions.com.","author":[{"dropping-particle":"","family":"Townsend Solutions","given":"","non-dropping-particle":"","parse-names":false,"suffix":""}],"id":"ITEM-1","issued":{"date-parts":[["2017"]]},"title":"Polyethylene Catalyst and Process Technology Tutorial","type":"report"},"uris":["http://www.mendeley.com/documents/?uuid=cba36358-0a78-39a5-aa2f-e54345a0c213"]}],"mendeley":{"formattedCitation":"(Townsend Solutions, 2017)","plainTextFormattedCitation":"(Townsend Solutions, 2017)","previouslyFormattedCitation":"(Townsend Solutions, 2017)"},"properties":{"noteIndex":0},"schema":"https://github.com/citation-style-language/schema/raw/master/csl-citation.json"}</w:instrText>
      </w:r>
      <w:r w:rsidR="00B6006E" w:rsidRPr="00E10B6E">
        <w:fldChar w:fldCharType="separate"/>
      </w:r>
      <w:r w:rsidR="00B6006E" w:rsidRPr="00E10B6E">
        <w:rPr>
          <w:noProof/>
        </w:rPr>
        <w:t>(Townsend Solutions, 2017)</w:t>
      </w:r>
      <w:r w:rsidR="00B6006E" w:rsidRPr="00E10B6E">
        <w:fldChar w:fldCharType="end"/>
      </w:r>
      <w:r w:rsidR="00B6006E" w:rsidRPr="00E10B6E">
        <w:t>, while HDPE is produced under the brand name of Continuum with UNIPOL II process technology, which corresponds to a double reactor gas</w:t>
      </w:r>
      <w:r w:rsidR="00F52340" w:rsidRPr="00E10B6E">
        <w:t>-</w:t>
      </w:r>
      <w:r w:rsidR="00B6006E" w:rsidRPr="00E10B6E">
        <w:t xml:space="preserve">phase process </w:t>
      </w:r>
      <w:r w:rsidR="00B6006E" w:rsidRPr="00E10B6E">
        <w:fldChar w:fldCharType="begin" w:fldLock="1"/>
      </w:r>
      <w:r w:rsidR="00B6006E" w:rsidRPr="00E10B6E">
        <w:instrText>ADDIN CSL_CITATION {"citationItems":[{"id":"ITEM-1","itemData":{"URL":"https://www.dow.com/en-us/brand/continuum.html","accessed":{"date-parts":[["2020","5","21"]]},"author":[{"dropping-particle":"","family":"Dow","given":"","non-dropping-particle":"","parse-names":false,"suffix":""}],"id":"ITEM-1","issued":{"date-parts":[["2020"]]},"title":"CONTINUUM™ Bimodal Polyethylene Resins | Dow Inc.","type":"webpage"},"uris":["http://www.mendeley.com/documents/?uuid=b1cacd89-92e6-32c4-80ae-4369f33c8c73"]}],"mendeley":{"formattedCitation":"(Dow, 2020a)","plainTextFormattedCitation":"(Dow, 2020a)","previouslyFormattedCitation":"(Dow, 2020a)"},"properties":{"noteIndex":0},"schema":"https://github.com/citation-style-language/schema/raw/master/csl-citation.json"}</w:instrText>
      </w:r>
      <w:r w:rsidR="00B6006E" w:rsidRPr="00E10B6E">
        <w:fldChar w:fldCharType="separate"/>
      </w:r>
      <w:r w:rsidR="00B6006E" w:rsidRPr="00E10B6E">
        <w:rPr>
          <w:noProof/>
        </w:rPr>
        <w:t>(Dow, 2020a)</w:t>
      </w:r>
      <w:r w:rsidR="00B6006E" w:rsidRPr="00E10B6E">
        <w:fldChar w:fldCharType="end"/>
      </w:r>
      <w:r w:rsidR="00B6006E" w:rsidRPr="00E10B6E">
        <w:t>. At SABIC, LDPE is produced by a high-pressure tubular reactor, HDPE is produced using a slurry process with loop reactor, while PP is produced using a gas phase polymerisation process (</w:t>
      </w:r>
      <w:r w:rsidR="00B6006E" w:rsidRPr="00E10B6E">
        <w:rPr>
          <w:i/>
          <w:iCs/>
        </w:rPr>
        <w:t>Internal communication with SABIC, 2020</w:t>
      </w:r>
      <w:r w:rsidR="00B6006E" w:rsidRPr="00E10B6E">
        <w:t>). At Ducor, PP is produce</w:t>
      </w:r>
      <w:r w:rsidR="00F52340" w:rsidRPr="00E10B6E">
        <w:t>d</w:t>
      </w:r>
      <w:r w:rsidR="00B6006E" w:rsidRPr="00E10B6E">
        <w:t xml:space="preserve"> under the brand names DuPure and DuClear using Novolen technology </w:t>
      </w:r>
      <w:r w:rsidR="00B6006E" w:rsidRPr="00E10B6E">
        <w:fldChar w:fldCharType="begin" w:fldLock="1"/>
      </w:r>
      <w:r w:rsidR="00B6006E" w:rsidRPr="00E10B6E">
        <w:instrText>ADDIN CSL_CITATION {"citationItems":[{"id":"ITEM-1","itemData":{"URL":"https://ducorchem.com/news/brands/dupure/","accessed":{"date-parts":[["2020","5","27"]]},"author":[{"dropping-particle":"","family":"Ducor","given":"","non-dropping-particle":"","parse-names":false,"suffix":""}],"id":"ITEM-1","issued":{"date-parts":[["2020"]]},"title":"DuPure - Ducor Petrochemicals","type":"webpage"},"uris":["http://www.mendeley.com/documents/?uuid=54dbd489-8d95-32f8-b378-6c60d57377b7"]}],"mendeley":{"formattedCitation":"(Ducor, 2020a)","plainTextFormattedCitation":"(Ducor, 2020a)","previouslyFormattedCitation":"(Ducor, 2020a)"},"properties":{"noteIndex":0},"schema":"https://github.com/citation-style-language/schema/raw/master/csl-citation.json"}</w:instrText>
      </w:r>
      <w:r w:rsidR="00B6006E" w:rsidRPr="00E10B6E">
        <w:fldChar w:fldCharType="separate"/>
      </w:r>
      <w:r w:rsidR="00B6006E" w:rsidRPr="00E10B6E">
        <w:rPr>
          <w:noProof/>
        </w:rPr>
        <w:t>(Ducor, 2020a)</w:t>
      </w:r>
      <w:r w:rsidR="00B6006E" w:rsidRPr="00E10B6E">
        <w:fldChar w:fldCharType="end"/>
      </w:r>
      <w:r w:rsidR="00B6006E" w:rsidRPr="00E10B6E">
        <w:t xml:space="preserve">, which employs a stirred gas phase polymerisation reactor and a nitrogen degassing vessel </w:t>
      </w:r>
      <w:r w:rsidR="00B6006E" w:rsidRPr="00E10B6E">
        <w:fldChar w:fldCharType="begin" w:fldLock="1"/>
      </w:r>
      <w:r w:rsidR="00B6006E" w:rsidRPr="00E10B6E">
        <w:instrText>ADDIN CSL_CITATION {"citationItems":[{"id":"ITEM-1","itemData":{"URL":"https://www.mcdermott.com/What-We-Do/Technology/Lummus/Petrochemicals/Olefins/Polypropylene-Production/Novolen-Gas-Phase-Process","accessed":{"date-parts":[["2020","5","27"]]},"author":[{"dropping-particle":"","family":"McDermott","given":"","non-dropping-particle":"","parse-names":false,"suffix":""}],"id":"ITEM-1","issued":{"date-parts":[["2020"]]},"title":"Petrochemical Technologies - CB&amp;I - MDR","type":"webpage"},"uris":["http://www.mendeley.com/documents/?uuid=1676085b-d8ed-338d-8289-43d2004728ab"]}],"mendeley":{"formattedCitation":"(McDermott, 2020)","plainTextFormattedCitation":"(McDermott, 2020)","previouslyFormattedCitation":"(McDermott, 2020)"},"properties":{"noteIndex":0},"schema":"https://github.com/citation-style-language/schema/raw/master/csl-citation.json"}</w:instrText>
      </w:r>
      <w:r w:rsidR="00B6006E" w:rsidRPr="00E10B6E">
        <w:fldChar w:fldCharType="separate"/>
      </w:r>
      <w:r w:rsidR="00B6006E" w:rsidRPr="00E10B6E">
        <w:rPr>
          <w:noProof/>
        </w:rPr>
        <w:t>(McDermott, 2020)</w:t>
      </w:r>
      <w:r w:rsidR="00B6006E" w:rsidRPr="00E10B6E">
        <w:fldChar w:fldCharType="end"/>
      </w:r>
      <w:r w:rsidR="00B6006E" w:rsidRPr="00E10B6E">
        <w:t xml:space="preserve">. </w:t>
      </w:r>
    </w:p>
    <w:p w14:paraId="4A5B142F" w14:textId="512C938F" w:rsidR="002B4431" w:rsidRPr="00E10B6E" w:rsidRDefault="002B4431" w:rsidP="00914619">
      <w:pPr>
        <w:pStyle w:val="Heading3"/>
      </w:pPr>
      <w:bookmarkStart w:id="50" w:name="_Toc54274799"/>
      <w:r w:rsidRPr="00E10B6E">
        <w:t>4.3.1 High-pressure polymerisation</w:t>
      </w:r>
      <w:bookmarkEnd w:id="50"/>
    </w:p>
    <w:p w14:paraId="32F35ADB" w14:textId="1A4E4E0C" w:rsidR="00950C40" w:rsidRPr="00E10B6E" w:rsidRDefault="00950C40" w:rsidP="00950C40">
      <w:pPr>
        <w:jc w:val="both"/>
      </w:pPr>
      <w:bookmarkStart w:id="51" w:name="_Hlk52052174"/>
      <w:r w:rsidRPr="00E10B6E">
        <w:t>Low-Density Polyethylene (LDPE) is a low crystalline and high amorphous polymer with an average density of 0.91-0.94 g/cm</w:t>
      </w:r>
      <w:r w:rsidRPr="00E10B6E">
        <w:rPr>
          <w:vertAlign w:val="superscript"/>
        </w:rPr>
        <w:t>3</w:t>
      </w:r>
      <w:r w:rsidRPr="00E10B6E">
        <w:t xml:space="preserve"> and a melting point of 105-115°C. It is composed </w:t>
      </w:r>
      <w:r w:rsidR="00F52340" w:rsidRPr="00E10B6E">
        <w:t>of</w:t>
      </w:r>
      <w:r w:rsidRPr="00E10B6E">
        <w:t xml:space="preserve"> 4,000-40,000 carbon atoms with a high degree of short and long side-chain branching </w:t>
      </w:r>
      <w:r w:rsidRPr="00E10B6E">
        <w:fldChar w:fldCharType="begin" w:fldLock="1"/>
      </w:r>
      <w:r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Pr="00E10B6E">
        <w:fldChar w:fldCharType="separate"/>
      </w:r>
      <w:r w:rsidRPr="00E10B6E">
        <w:rPr>
          <w:noProof/>
        </w:rPr>
        <w:t>(Omnexus, 2020a)</w:t>
      </w:r>
      <w:r w:rsidRPr="00E10B6E">
        <w:fldChar w:fldCharType="end"/>
      </w:r>
      <w:r w:rsidRPr="00E10B6E">
        <w:t xml:space="preserve">, as shown in </w:t>
      </w:r>
      <w:r w:rsidRPr="00E10B6E">
        <w:fldChar w:fldCharType="begin"/>
      </w:r>
      <w:r w:rsidRPr="00E10B6E">
        <w:instrText xml:space="preserve"> REF _Ref46348131 \h </w:instrText>
      </w:r>
      <w:r w:rsidRPr="00E10B6E">
        <w:fldChar w:fldCharType="separate"/>
      </w:r>
      <w:r w:rsidR="00983F73" w:rsidRPr="00E10B6E">
        <w:t xml:space="preserve">Figure </w:t>
      </w:r>
      <w:r w:rsidR="00983F73">
        <w:rPr>
          <w:noProof/>
        </w:rPr>
        <w:t>19</w:t>
      </w:r>
      <w:r w:rsidRPr="00E10B6E">
        <w:fldChar w:fldCharType="end"/>
      </w:r>
      <w:r w:rsidRPr="00E10B6E">
        <w:t>.</w:t>
      </w:r>
    </w:p>
    <w:p w14:paraId="3CF16557" w14:textId="77777777" w:rsidR="00950C40" w:rsidRPr="00E10B6E" w:rsidRDefault="00950C40" w:rsidP="00950C40">
      <w:pPr>
        <w:jc w:val="both"/>
      </w:pPr>
    </w:p>
    <w:p w14:paraId="13C99605" w14:textId="77777777" w:rsidR="00950C40" w:rsidRPr="00E10B6E" w:rsidRDefault="00950C40" w:rsidP="00950C40">
      <w:pPr>
        <w:keepNext/>
        <w:jc w:val="center"/>
      </w:pPr>
      <w:r w:rsidRPr="00E10B6E">
        <w:rPr>
          <w:noProof/>
        </w:rPr>
        <w:drawing>
          <wp:inline distT="0" distB="0" distL="0" distR="0" wp14:anchorId="3886F416" wp14:editId="2C4EC616">
            <wp:extent cx="2228850" cy="14395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 uri="{28A0092B-C50C-407E-A947-70E740481C1C}">
                          <a14:useLocalDpi xmlns:a14="http://schemas.microsoft.com/office/drawing/2010/main" val="0"/>
                        </a:ext>
                      </a:extLst>
                    </a:blip>
                    <a:srcRect l="30511" t="40974" r="23810" b="2006"/>
                    <a:stretch/>
                  </pic:blipFill>
                  <pic:spPr bwMode="auto">
                    <a:xfrm>
                      <a:off x="0" y="0"/>
                      <a:ext cx="222955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78D085F" w14:textId="447311FF" w:rsidR="00950C40" w:rsidRPr="00E10B6E" w:rsidRDefault="00950C40" w:rsidP="00950C40">
      <w:pPr>
        <w:pStyle w:val="Caption"/>
        <w:jc w:val="both"/>
      </w:pPr>
      <w:bookmarkStart w:id="52" w:name="_Ref46348131"/>
      <w:r w:rsidRPr="00E10B6E">
        <w:t xml:space="preserve">Figure </w:t>
      </w:r>
      <w:r w:rsidR="00722F9A">
        <w:fldChar w:fldCharType="begin"/>
      </w:r>
      <w:r w:rsidR="00722F9A">
        <w:instrText xml:space="preserve"> SEQ Figure \* ARABIC </w:instrText>
      </w:r>
      <w:r w:rsidR="00722F9A">
        <w:fldChar w:fldCharType="separate"/>
      </w:r>
      <w:r w:rsidR="00983F73">
        <w:rPr>
          <w:noProof/>
        </w:rPr>
        <w:t>19</w:t>
      </w:r>
      <w:r w:rsidR="00722F9A">
        <w:rPr>
          <w:noProof/>
        </w:rPr>
        <w:fldChar w:fldCharType="end"/>
      </w:r>
      <w:bookmarkEnd w:id="52"/>
      <w:r w:rsidRPr="00E10B6E">
        <w:t xml:space="preserve">: LDPE structure with the main carbon chain in black and the side branches in blue and red </w:t>
      </w:r>
      <w:r w:rsidRPr="00E10B6E">
        <w:fldChar w:fldCharType="begin" w:fldLock="1"/>
      </w:r>
      <w:r w:rsidR="00C72E3B" w:rsidRPr="00E10B6E">
        <w:instrText>ADDIN CSL_CITATION {"citationItems":[{"id":"ITEM-1","itemData":{"DOI":"10.1177/0095244318783806","ISSN":"0095-2443","abstract":"Blends of polyethylene (PE) and polypropylene (PP) have always been the subject of intense reasearch for encouraging polymer waste recycling while producing new materials for specific applications in a sustainable way. However, being thermodynamically immiscible, these polyolefins form a binary system usually exhibiting lower performances compared with those of the homopolymers. Many studies have been carried out to better understand the PE/PP blend compatibilization for developing a high-performance and cost-effective product. Both nonreactive and reactive compatibilization promote the brittle to ductile transition for a PE/PP blend. However, the final product usually does not meet the requirements for high demanding commercial applications. Therefore, further PE/PP modification with a reinforcing filler, being either synthetic or natural, proved to be a good method for manufacturing high-performance reinforcend polymer blend composites, with superior and tailored properties. This review summarizes the recent progress in compatibilization techniques applied for enhancing the interfacial adhesion between PE and PP. Moreover, future perspectives on better understanding the influence of themodynamics on PE/PP synergy are discussed to introduce more effective compatibilization strategies, which will allow this blend to be used for innovative industrial applications.","author":[{"dropping-particle":"","family":"Graziano","given":"Antimo","non-dropping-particle":"","parse-names":false,"suffix":""},{"dropping-particle":"","family":"Jaffer","given":"Shaffiq","non-dropping-particle":"","parse-names":false,"suffix":""},{"dropping-particle":"","family":"Sain","given":"Mohini","non-dropping-particle":"","parse-names":false,"suffix":""}],"container-title":"Journal of Elastomers &amp; Plastics","id":"ITEM-1","issue":"4","issued":{"date-parts":[["2019","6","26"]]},"page":"291-336","publisher":"SAGE Publications Ltd","title":"Review on modification strategies of polyethylene/polypropylene immiscible thermoplastic polymer blends for enhancing their mechanical behavior","type":"article-journal","volume":"51"},"uris":["http://www.mendeley.com/documents/?uuid=6cfc9127-1091-4925-9e04-5f10e0ccae7b"]}],"mendeley":{"formattedCitation":"(Graziano et al., 2019)","plainTextFormattedCitation":"(Graziano et al., 2019)","previouslyFormattedCitation":"(Graziano et al., 2019)"},"properties":{"noteIndex":0},"schema":"https://github.com/citation-style-language/schema/raw/master/csl-citation.json"}</w:instrText>
      </w:r>
      <w:r w:rsidRPr="00E10B6E">
        <w:fldChar w:fldCharType="separate"/>
      </w:r>
      <w:r w:rsidRPr="00E10B6E">
        <w:rPr>
          <w:i w:val="0"/>
          <w:noProof/>
        </w:rPr>
        <w:t>(Graziano et al., 2019)</w:t>
      </w:r>
      <w:r w:rsidRPr="00E10B6E">
        <w:fldChar w:fldCharType="end"/>
      </w:r>
      <w:r w:rsidRPr="00E10B6E">
        <w:t>.</w:t>
      </w:r>
      <w:bookmarkEnd w:id="51"/>
    </w:p>
    <w:p w14:paraId="55BE55F0" w14:textId="3AAB671F" w:rsidR="00C813D6" w:rsidRPr="00E10B6E" w:rsidRDefault="00C813D6" w:rsidP="00C813D6">
      <w:pPr>
        <w:jc w:val="both"/>
      </w:pPr>
      <w:r w:rsidRPr="00E10B6E">
        <w:t xml:space="preserve">LDPE is produced through high-pressure polymerisation, which is a very standardized process following the steps shown in </w:t>
      </w:r>
      <w:r w:rsidRPr="00E10B6E">
        <w:fldChar w:fldCharType="begin"/>
      </w:r>
      <w:r w:rsidRPr="00E10B6E">
        <w:instrText xml:space="preserve"> REF _Ref46348141 \h </w:instrText>
      </w:r>
      <w:r w:rsidRPr="00E10B6E">
        <w:fldChar w:fldCharType="separate"/>
      </w:r>
      <w:r w:rsidR="00983F73" w:rsidRPr="00E10B6E">
        <w:t xml:space="preserve">Figure </w:t>
      </w:r>
      <w:r w:rsidR="00983F73">
        <w:rPr>
          <w:noProof/>
        </w:rPr>
        <w:t>20</w:t>
      </w:r>
      <w:r w:rsidRPr="00E10B6E">
        <w:fldChar w:fldCharType="end"/>
      </w:r>
      <w:r w:rsidRPr="00E10B6E">
        <w:t>.</w:t>
      </w:r>
    </w:p>
    <w:p w14:paraId="01F3AE82" w14:textId="77777777" w:rsidR="00C813D6" w:rsidRPr="00E10B6E" w:rsidRDefault="00C813D6" w:rsidP="00C813D6">
      <w:pPr>
        <w:jc w:val="both"/>
      </w:pPr>
    </w:p>
    <w:p w14:paraId="7C7A6E4A" w14:textId="77777777" w:rsidR="00C813D6" w:rsidRPr="00E10B6E" w:rsidRDefault="00C813D6" w:rsidP="00C813D6">
      <w:pPr>
        <w:keepNext/>
        <w:jc w:val="both"/>
      </w:pPr>
      <w:r w:rsidRPr="00E10B6E">
        <w:rPr>
          <w:noProof/>
        </w:rPr>
        <w:lastRenderedPageBreak/>
        <w:drawing>
          <wp:inline distT="0" distB="0" distL="0" distR="0" wp14:anchorId="75B7A31F" wp14:editId="22E2550B">
            <wp:extent cx="5760000" cy="235679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60000" cy="2356792"/>
                    </a:xfrm>
                    <a:prstGeom prst="rect">
                      <a:avLst/>
                    </a:prstGeom>
                    <a:noFill/>
                    <a:ln>
                      <a:noFill/>
                    </a:ln>
                    <a:extLst>
                      <a:ext uri="{53640926-AAD7-44D8-BBD7-CCE9431645EC}">
                        <a14:shadowObscured xmlns:a14="http://schemas.microsoft.com/office/drawing/2010/main"/>
                      </a:ext>
                    </a:extLst>
                  </pic:spPr>
                </pic:pic>
              </a:graphicData>
            </a:graphic>
          </wp:inline>
        </w:drawing>
      </w:r>
    </w:p>
    <w:p w14:paraId="7FE60E82" w14:textId="589F392F" w:rsidR="00C813D6" w:rsidRPr="00E10B6E" w:rsidRDefault="00C813D6" w:rsidP="00C813D6">
      <w:pPr>
        <w:pStyle w:val="Caption"/>
        <w:jc w:val="both"/>
      </w:pPr>
      <w:bookmarkStart w:id="53" w:name="_Ref46348141"/>
      <w:r w:rsidRPr="00E10B6E">
        <w:t xml:space="preserve">Figure </w:t>
      </w:r>
      <w:r w:rsidR="00722F9A">
        <w:fldChar w:fldCharType="begin"/>
      </w:r>
      <w:r w:rsidR="00722F9A">
        <w:instrText xml:space="preserve"> SEQ Figure \* ARABIC </w:instrText>
      </w:r>
      <w:r w:rsidR="00722F9A">
        <w:fldChar w:fldCharType="separate"/>
      </w:r>
      <w:r w:rsidR="00983F73">
        <w:rPr>
          <w:noProof/>
        </w:rPr>
        <w:t>20</w:t>
      </w:r>
      <w:r w:rsidR="00722F9A">
        <w:rPr>
          <w:noProof/>
        </w:rPr>
        <w:fldChar w:fldCharType="end"/>
      </w:r>
      <w:bookmarkEnd w:id="53"/>
      <w:r w:rsidRPr="00E10B6E">
        <w:t xml:space="preserve">: LDPE high-pressure polymerisation process scheme. Made with information from </w:t>
      </w:r>
      <w:r w:rsidRPr="00E10B6E">
        <w:fldChar w:fldCharType="begin" w:fldLock="1"/>
      </w:r>
      <w:r w:rsidR="00C72E3B"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id":"ITEM-2","itemData":{"URL":"http://www.sabic-limburg.nl/nl/sabic-limburg/fabrieken-en-productieprocessen","accessed":{"date-parts":[["2020","3","9"]]},"author":[{"dropping-particle":"","family":"SABIC Limburg","given":"","non-dropping-particle":"","parse-names":false,"suffix":""}],"id":"ITEM-2","issued":{"date-parts":[["2020"]]},"title":"Fabrieken en Productieprocessen","type":"webpage"},"uris":["http://www.mendeley.com/documents/?uuid=716e16f0-c48d-48c0-814c-fb60f65b6034"]},{"id":"ITEM-3","itemData":{"author":[{"dropping-particle":"","family":"PlasticsEurope","given":"","non-dropping-particle":"","parse-names":false,"suffix":""}],"id":"ITEM-3","issued":{"date-parts":[["2014"]]},"number-of-pages":"52","publisher-place":"Brussels","title":"Ecoprofiles and Environmental Product Declarations of the European Plastics Manufacturers (HDPE, LDPE, LLDPE)","type":"report"},"uris":["http://www.mendeley.com/documents/?uuid=33bca531-53ba-4caf-9807-2105763f16fe"]}],"mendeley":{"formattedCitation":"(European Commission, 2007; PlasticsEurope, 2014a; SABIC Limburg, 2020)","plainTextFormattedCitation":"(European Commission, 2007; PlasticsEurope, 2014a; SABIC Limburg, 2020)","previouslyFormattedCitation":"(European Commission, 2007; PlasticsEurope, 2014a; SABIC Limburg, 2020)"},"properties":{"noteIndex":0},"schema":"https://github.com/citation-style-language/schema/raw/master/csl-citation.json"}</w:instrText>
      </w:r>
      <w:r w:rsidRPr="00E10B6E">
        <w:fldChar w:fldCharType="separate"/>
      </w:r>
      <w:r w:rsidRPr="00E10B6E">
        <w:rPr>
          <w:i w:val="0"/>
          <w:noProof/>
        </w:rPr>
        <w:t>(European Commission, 2007; PlasticsEurope, 2014a; SABIC Limburg, 2020)</w:t>
      </w:r>
      <w:r w:rsidRPr="00E10B6E">
        <w:fldChar w:fldCharType="end"/>
      </w:r>
      <w:r w:rsidRPr="00E10B6E">
        <w:t>.</w:t>
      </w:r>
    </w:p>
    <w:p w14:paraId="37C78B49" w14:textId="0424DE56" w:rsidR="00C813D6" w:rsidRPr="00E10B6E" w:rsidRDefault="00C813D6" w:rsidP="00C813D6">
      <w:pPr>
        <w:jc w:val="both"/>
      </w:pPr>
      <w:r w:rsidRPr="00E10B6E">
        <w:t>After compressing the gaseous ethylene to 20-30 MPa together with the unreacted gas of previous cycles, the polymerisation take</w:t>
      </w:r>
      <w:r w:rsidR="00F52340" w:rsidRPr="00E10B6E">
        <w:t>s</w:t>
      </w:r>
      <w:r w:rsidRPr="00E10B6E">
        <w:t xml:space="preserve"> place in an autoclave reactor, operating with a temperature of 180-300°C and pressure of 100-250 MPa, or in a tubular reactor, operating with a temperature of 140-340°C and a pressure of 200-350 MPa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LDPE polymerisation usually requires the use of initiators, namely oxygen or organic peroxides with a mass fraction concentration of 0.1-0.5%, and sometimes the use of polar modifiers (e.g. ketones) or aliphatic hydrocarbons to influence the molecular weight distribution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The resulting polymer and unreacted gases are then separated in a high-pressure separator (15-30 MPa) and low-pressure separator (0.15 MPa), where the unreacted gases are recycled back into the process and part of the residual heat is recovered and used to produce steam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As the polymerisation of ethylene is a highly exothermic process (3300-3600 J/g), the manufacture of LDPE is a net steam producer </w:t>
      </w:r>
      <w:r w:rsidRPr="00E10B6E">
        <w:fldChar w:fldCharType="begin" w:fldLock="1"/>
      </w:r>
      <w:r w:rsidRPr="00E10B6E">
        <w:instrText>ADDIN CSL_CITATION {"citationItems":[{"id":"ITEM-1","itemData":{"DOI":"10.1002/9781119159797.ch3","ISBN":"9781119159797","abstract":"Over the past 60 years, applications for polyethylene (PE), catalysts for producing it, and ever more efficient processes for manufacturing it have blossomed and continue to expand. Today, this polymer is the most versatile and widely used plastic in the world. This chapter addresses the manufacturing processes used to produce the major types of PE: High-pressure low density PE (LDPE), linear low density PE (LLDPE) and high density PE (HDPE). Emphasis is placed on descriptions of current processes from an engineering viewpoint. The oldest processes, which operate at high pressure and usually do not employ catalyst, are described first. Discussion of low-pressure catalytic processes begins with the most widely used process, the gas-phase, fluid- ized-bed process. Then, those HDPE processes which are carried out in a slurry of PE solids in a diluent are examined. Solution-based processes for production of LLDPE, which evolved from the HDPE processes, are then discussed. Recent hybrid processes are also described.","author":[{"dropping-particle":"","family":"Burdett","given":"Ian D.","non-dropping-particle":"","parse-names":false,"suffix":""},{"dropping-particle":"","family":"Eisinger","given":"Ronald S.","non-dropping-particle":"","parse-names":false,"suffix":""}],"container-title":"Handbook of Industrial Polyethylene Technology","id":"ITEM-1","issued":{"date-parts":[["2016","7","15"]]},"page":"61-103","publisher":"Wiley Blackwell","publisher-place":"Hoboken, NJ, USA","title":"Ethylene Polymerization Processes and Manufacture of Polyethylene","type":"chapter"},"uris":["http://www.mendeley.com/documents/?uuid=42b4c339-8ea9-3c2e-81a8-b957c33ce8c6"]}],"mendeley":{"formattedCitation":"(Burdett &amp; Eisinger, 2016)","plainTextFormattedCitation":"(Burdett &amp; Eisinger, 2016)","previouslyFormattedCitation":"(Burdett &amp; Eisinger, 2016)"},"properties":{"noteIndex":0},"schema":"https://github.com/citation-style-language/schema/raw/master/csl-citation.json"}</w:instrText>
      </w:r>
      <w:r w:rsidRPr="00E10B6E">
        <w:fldChar w:fldCharType="separate"/>
      </w:r>
      <w:r w:rsidRPr="00E10B6E">
        <w:rPr>
          <w:noProof/>
        </w:rPr>
        <w:t>(Burdett &amp; Eisinger, 2016)</w:t>
      </w:r>
      <w:r w:rsidRPr="00E10B6E">
        <w:fldChar w:fldCharType="end"/>
      </w:r>
      <w:r w:rsidRPr="00E10B6E">
        <w:t xml:space="preserve">. If required by the application of the product, specific additives (e.g. stabilizers or fire retardants) are added to the polymer melt to obtain the desired properties, and the polyethylene is then extruded into granules. Finally, the LDPE is dried, blended, and degassed to remove the residual ethylene before being transported to storage silos or packed and sent to the costumers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w:t>
      </w:r>
    </w:p>
    <w:p w14:paraId="3C2FBC03" w14:textId="3D5234E7" w:rsidR="00C813D6" w:rsidRPr="00E10B6E" w:rsidRDefault="00C813D6" w:rsidP="00C813D6">
      <w:pPr>
        <w:jc w:val="both"/>
      </w:pPr>
      <w:r w:rsidRPr="00E10B6E">
        <w:t xml:space="preserve">In 1999, the European average energy demand for LDPE production was equal to 3.9 MJ/kg of direct energy, or 9.4 MJ/kg of primary energy (assuming an efficiency of 40% for electricity and 90% for steam), while the average of the top 50% companies was equal to 2.6 MJ/kg of direct energy, or 7.5 MJ/kg of primary energy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More than one decade later, the values are not so different, as in 2014 the production of LDPE still required an average of 7.9 MJ/kg of primary energy (assuming an efficiency of 40% for electricity and 90% for steam, see Appendix A). As shown in </w:t>
      </w:r>
      <w:r w:rsidRPr="00E10B6E">
        <w:fldChar w:fldCharType="begin"/>
      </w:r>
      <w:r w:rsidRPr="00E10B6E">
        <w:instrText xml:space="preserve"> REF _Ref46354365 \h </w:instrText>
      </w:r>
      <w:r w:rsidRPr="00E10B6E">
        <w:fldChar w:fldCharType="separate"/>
      </w:r>
      <w:r w:rsidR="00983F73" w:rsidRPr="00E10B6E">
        <w:t xml:space="preserve">Table </w:t>
      </w:r>
      <w:r w:rsidR="00983F73">
        <w:rPr>
          <w:noProof/>
        </w:rPr>
        <w:t>7</w:t>
      </w:r>
      <w:r w:rsidRPr="00E10B6E">
        <w:fldChar w:fldCharType="end"/>
      </w:r>
      <w:r w:rsidRPr="00E10B6E">
        <w:t>, the polymerisation of 1 kg of LDPE causes the emission of 0.32 kg of CO</w:t>
      </w:r>
      <w:r w:rsidRPr="00E10B6E">
        <w:rPr>
          <w:vertAlign w:val="subscript"/>
        </w:rPr>
        <w:t>2</w:t>
      </w:r>
      <w:r w:rsidRPr="00E10B6E">
        <w:t>-eq, considering the Global Warming Potential (GWP) for 100 years.</w:t>
      </w:r>
    </w:p>
    <w:p w14:paraId="0E4C9F73" w14:textId="6231215A" w:rsidR="00C813D6" w:rsidRPr="00E10B6E" w:rsidRDefault="00C813D6" w:rsidP="00C813D6">
      <w:pPr>
        <w:pStyle w:val="Caption"/>
        <w:keepNext/>
        <w:jc w:val="both"/>
      </w:pPr>
      <w:bookmarkStart w:id="54" w:name="_Ref46354365"/>
      <w:r w:rsidRPr="00E10B6E">
        <w:t xml:space="preserve">Table </w:t>
      </w:r>
      <w:r w:rsidR="00722F9A">
        <w:fldChar w:fldCharType="begin"/>
      </w:r>
      <w:r w:rsidR="00722F9A">
        <w:instrText xml:space="preserve"> SEQ Table \* ARABIC </w:instrText>
      </w:r>
      <w:r w:rsidR="00722F9A">
        <w:fldChar w:fldCharType="separate"/>
      </w:r>
      <w:r w:rsidR="00983F73">
        <w:rPr>
          <w:noProof/>
        </w:rPr>
        <w:t>7</w:t>
      </w:r>
      <w:r w:rsidR="00722F9A">
        <w:rPr>
          <w:noProof/>
        </w:rPr>
        <w:fldChar w:fldCharType="end"/>
      </w:r>
      <w:bookmarkEnd w:id="54"/>
      <w:r w:rsidRPr="00E10B6E">
        <w:t xml:space="preserve">: Energy demand and global warming potential (GWP) for the polymerisation of 1 kg of LDPE. </w:t>
      </w:r>
      <w:r w:rsidR="00C72E3B" w:rsidRPr="00E10B6E">
        <w:t xml:space="preserve">Average values from literature </w:t>
      </w:r>
      <w:r w:rsidR="00C72E3B" w:rsidRPr="00E10B6E">
        <w:fldChar w:fldCharType="begin" w:fldLock="1"/>
      </w:r>
      <w:r w:rsidR="00D62573"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Polymers","type":"report"},"uris":["http://www.mendeley.com/documents/?uuid=3fbd34fa-da37-4050-8d0c-198a7a84e738"]}],"mendeley":{"formattedCitation":"(European Commission, 2007; PlasticsEurope, 2014b)","plainTextFormattedCitation":"(European Commission, 2007; PlasticsEurope, 2014b)","previouslyFormattedCitation":"(European Commission, 2007; PlasticsEurope, 2014b)"},"properties":{"noteIndex":0},"schema":"https://github.com/citation-style-language/schema/raw/master/csl-citation.json"}</w:instrText>
      </w:r>
      <w:r w:rsidR="00C72E3B" w:rsidRPr="00E10B6E">
        <w:fldChar w:fldCharType="separate"/>
      </w:r>
      <w:r w:rsidR="00C72E3B" w:rsidRPr="00E10B6E">
        <w:rPr>
          <w:i w:val="0"/>
          <w:noProof/>
        </w:rPr>
        <w:t>(European Commission, 2007; PlasticsEurope, 2014b)</w:t>
      </w:r>
      <w:r w:rsidR="00C72E3B" w:rsidRPr="00E10B6E">
        <w:fldChar w:fldCharType="end"/>
      </w:r>
      <w:r w:rsidR="00C72E3B" w:rsidRPr="00E10B6E">
        <w:t xml:space="preserve"> and internal communication with the companies involved.</w:t>
      </w:r>
    </w:p>
    <w:tbl>
      <w:tblPr>
        <w:tblStyle w:val="TableGrid"/>
        <w:tblW w:w="9072" w:type="dxa"/>
        <w:tblLook w:val="04A0" w:firstRow="1" w:lastRow="0" w:firstColumn="1" w:lastColumn="0" w:noHBand="0" w:noVBand="1"/>
      </w:tblPr>
      <w:tblGrid>
        <w:gridCol w:w="2268"/>
        <w:gridCol w:w="2268"/>
        <w:gridCol w:w="2268"/>
        <w:gridCol w:w="2268"/>
      </w:tblGrid>
      <w:tr w:rsidR="00C813D6" w:rsidRPr="00E10B6E" w14:paraId="55190E33" w14:textId="77777777" w:rsidTr="00493EEA">
        <w:trPr>
          <w:trHeight w:val="567"/>
        </w:trPr>
        <w:tc>
          <w:tcPr>
            <w:tcW w:w="2268" w:type="dxa"/>
            <w:shd w:val="clear" w:color="auto" w:fill="4472C4" w:themeFill="accent1"/>
            <w:vAlign w:val="center"/>
          </w:tcPr>
          <w:p w14:paraId="2C8DC8E2" w14:textId="77777777" w:rsidR="00C813D6" w:rsidRPr="00E10B6E" w:rsidRDefault="00C813D6" w:rsidP="003C2CB0">
            <w:pPr>
              <w:jc w:val="center"/>
              <w:rPr>
                <w:b/>
                <w:bCs/>
                <w:color w:val="FFFFFF" w:themeColor="background1"/>
              </w:rPr>
            </w:pPr>
            <w:r w:rsidRPr="00E10B6E">
              <w:rPr>
                <w:b/>
                <w:bCs/>
                <w:color w:val="FFFFFF" w:themeColor="background1"/>
              </w:rPr>
              <w:t>Product [1 kg]</w:t>
            </w:r>
          </w:p>
        </w:tc>
        <w:tc>
          <w:tcPr>
            <w:tcW w:w="2268" w:type="dxa"/>
            <w:shd w:val="clear" w:color="auto" w:fill="4472C4" w:themeFill="accent1"/>
            <w:vAlign w:val="center"/>
          </w:tcPr>
          <w:p w14:paraId="5660523A" w14:textId="77777777" w:rsidR="00C813D6" w:rsidRPr="00E10B6E" w:rsidRDefault="00C813D6" w:rsidP="003C2CB0">
            <w:pPr>
              <w:jc w:val="center"/>
              <w:rPr>
                <w:b/>
                <w:bCs/>
                <w:color w:val="FFFFFF" w:themeColor="background1"/>
              </w:rPr>
            </w:pPr>
            <w:r w:rsidRPr="00E10B6E">
              <w:rPr>
                <w:b/>
                <w:bCs/>
                <w:color w:val="FFFFFF" w:themeColor="background1"/>
              </w:rPr>
              <w:t>Electricity demand [MJ]</w:t>
            </w:r>
          </w:p>
        </w:tc>
        <w:tc>
          <w:tcPr>
            <w:tcW w:w="2268" w:type="dxa"/>
            <w:shd w:val="clear" w:color="auto" w:fill="4472C4" w:themeFill="accent1"/>
            <w:vAlign w:val="center"/>
          </w:tcPr>
          <w:p w14:paraId="483F69E4" w14:textId="77777777" w:rsidR="00C813D6" w:rsidRPr="00E10B6E" w:rsidRDefault="00C813D6" w:rsidP="003C2CB0">
            <w:pPr>
              <w:jc w:val="center"/>
              <w:rPr>
                <w:b/>
                <w:bCs/>
                <w:color w:val="FFFFFF" w:themeColor="background1"/>
              </w:rPr>
            </w:pPr>
            <w:r w:rsidRPr="00E10B6E">
              <w:rPr>
                <w:b/>
                <w:bCs/>
                <w:color w:val="FFFFFF" w:themeColor="background1"/>
              </w:rPr>
              <w:t>Steam demand [MJ]</w:t>
            </w:r>
          </w:p>
        </w:tc>
        <w:tc>
          <w:tcPr>
            <w:tcW w:w="2268" w:type="dxa"/>
            <w:shd w:val="clear" w:color="auto" w:fill="4472C4" w:themeFill="accent1"/>
            <w:vAlign w:val="center"/>
          </w:tcPr>
          <w:p w14:paraId="43CE1C1B" w14:textId="1D7940BA" w:rsidR="00C813D6" w:rsidRPr="00E10B6E" w:rsidRDefault="00C813D6" w:rsidP="003C2CB0">
            <w:pPr>
              <w:jc w:val="center"/>
              <w:rPr>
                <w:b/>
                <w:bCs/>
                <w:color w:val="FFFFFF" w:themeColor="background1"/>
              </w:rPr>
            </w:pPr>
            <w:r w:rsidRPr="00E10B6E">
              <w:rPr>
                <w:b/>
                <w:bCs/>
                <w:color w:val="FFFFFF" w:themeColor="background1"/>
              </w:rPr>
              <w:t>GWP [kg CO</w:t>
            </w:r>
            <w:r w:rsidRPr="00E10B6E">
              <w:rPr>
                <w:b/>
                <w:bCs/>
                <w:color w:val="FFFFFF" w:themeColor="background1"/>
                <w:vertAlign w:val="subscript"/>
              </w:rPr>
              <w:t>2</w:t>
            </w:r>
            <w:r w:rsidR="00736B4A" w:rsidRPr="00E10B6E">
              <w:rPr>
                <w:b/>
                <w:bCs/>
                <w:color w:val="FFFFFF" w:themeColor="background1"/>
              </w:rPr>
              <w:t>-</w:t>
            </w:r>
            <w:r w:rsidRPr="00E10B6E">
              <w:rPr>
                <w:b/>
                <w:bCs/>
                <w:color w:val="FFFFFF" w:themeColor="background1"/>
              </w:rPr>
              <w:t>eq]</w:t>
            </w:r>
          </w:p>
        </w:tc>
      </w:tr>
      <w:tr w:rsidR="00C813D6" w:rsidRPr="00E10B6E" w14:paraId="30FB2DFD" w14:textId="77777777" w:rsidTr="00493EEA">
        <w:trPr>
          <w:trHeight w:val="567"/>
        </w:trPr>
        <w:tc>
          <w:tcPr>
            <w:tcW w:w="2268" w:type="dxa"/>
            <w:vAlign w:val="center"/>
          </w:tcPr>
          <w:p w14:paraId="3D42A4ED" w14:textId="77777777" w:rsidR="00C813D6" w:rsidRPr="00E10B6E" w:rsidRDefault="00C813D6" w:rsidP="003C2CB0">
            <w:pPr>
              <w:jc w:val="center"/>
            </w:pPr>
            <w:r w:rsidRPr="00E10B6E">
              <w:t>LDPE</w:t>
            </w:r>
          </w:p>
        </w:tc>
        <w:tc>
          <w:tcPr>
            <w:tcW w:w="2268" w:type="dxa"/>
            <w:vAlign w:val="center"/>
          </w:tcPr>
          <w:p w14:paraId="40BDEF3D" w14:textId="77777777" w:rsidR="00C813D6" w:rsidRPr="00E10B6E" w:rsidRDefault="00C813D6" w:rsidP="003C2CB0">
            <w:pPr>
              <w:jc w:val="center"/>
            </w:pPr>
            <w:r w:rsidRPr="00E10B6E">
              <w:t>3.45</w:t>
            </w:r>
          </w:p>
        </w:tc>
        <w:tc>
          <w:tcPr>
            <w:tcW w:w="2268" w:type="dxa"/>
            <w:vAlign w:val="center"/>
          </w:tcPr>
          <w:p w14:paraId="518FDA84" w14:textId="77777777" w:rsidR="00C813D6" w:rsidRPr="00E10B6E" w:rsidRDefault="00C813D6" w:rsidP="003C2CB0">
            <w:pPr>
              <w:jc w:val="center"/>
            </w:pPr>
            <w:r w:rsidRPr="00E10B6E">
              <w:t>-0.67</w:t>
            </w:r>
          </w:p>
        </w:tc>
        <w:tc>
          <w:tcPr>
            <w:tcW w:w="2268" w:type="dxa"/>
            <w:vAlign w:val="center"/>
          </w:tcPr>
          <w:p w14:paraId="16BECE40" w14:textId="77777777" w:rsidR="00C813D6" w:rsidRPr="00E10B6E" w:rsidRDefault="00C813D6" w:rsidP="003C2CB0">
            <w:pPr>
              <w:jc w:val="center"/>
            </w:pPr>
            <w:r w:rsidRPr="00E10B6E">
              <w:t>0.32</w:t>
            </w:r>
          </w:p>
        </w:tc>
      </w:tr>
    </w:tbl>
    <w:p w14:paraId="23222326" w14:textId="2DA185CF" w:rsidR="002B4431" w:rsidRPr="00E10B6E" w:rsidRDefault="00C813D6" w:rsidP="00C813D6">
      <w:pPr>
        <w:jc w:val="both"/>
      </w:pPr>
      <w:r w:rsidRPr="00E10B6E">
        <w:lastRenderedPageBreak/>
        <w:br/>
        <w:t xml:space="preserve">As explained </w:t>
      </w:r>
      <w:r w:rsidR="00CC608B" w:rsidRPr="00E10B6E">
        <w:t>before</w:t>
      </w:r>
      <w:r w:rsidRPr="00E10B6E">
        <w:t xml:space="preserve">, the value for steam demand is negative because LDPE polymerisation is a net producer of heat, which is recovered and used for other processes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If the boundaries of the life-cycle analysis are extended to the extraction of fossil and mineral resources, the production of raw materials (e.g. monomers and solvent), and the production of electricity, the primary energy demand for the production of 1 kg LDPE is equal to 82.9 MJ and the emissions are equal to 1.87 kg of CO</w:t>
      </w:r>
      <w:r w:rsidRPr="00E10B6E">
        <w:rPr>
          <w:vertAlign w:val="subscript"/>
        </w:rPr>
        <w:t>2</w:t>
      </w:r>
      <w:r w:rsidRPr="00E10B6E">
        <w:t xml:space="preserve">-eq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Regarding the input materials, 1 kg of LDPE required 1.02 kg of monomer in 1999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and the value was unchanged in 2014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showing no improvement in the efficiency of the process.</w:t>
      </w:r>
    </w:p>
    <w:p w14:paraId="6FAB2BA3" w14:textId="4B284CC4" w:rsidR="002B4431" w:rsidRPr="00E10B6E" w:rsidRDefault="002B4431" w:rsidP="00914619">
      <w:pPr>
        <w:pStyle w:val="Heading3"/>
      </w:pPr>
      <w:bookmarkStart w:id="55" w:name="_Toc54274800"/>
      <w:r w:rsidRPr="00E10B6E">
        <w:t>4.3.2 Solution polymerisation</w:t>
      </w:r>
      <w:bookmarkEnd w:id="55"/>
    </w:p>
    <w:p w14:paraId="103777E6" w14:textId="64C21BA1" w:rsidR="00CC608B" w:rsidRPr="00E10B6E" w:rsidRDefault="00CC608B" w:rsidP="00CC608B">
      <w:pPr>
        <w:jc w:val="both"/>
      </w:pPr>
      <w:r w:rsidRPr="00E10B6E">
        <w:t>Low-Density Polyethylene (LDPE) is a semi-crystalline polymer with an average density of 0.91-0.94 g/cm</w:t>
      </w:r>
      <w:r w:rsidRPr="00E10B6E">
        <w:rPr>
          <w:vertAlign w:val="superscript"/>
        </w:rPr>
        <w:t>3</w:t>
      </w:r>
      <w:r w:rsidRPr="00E10B6E">
        <w:t xml:space="preserve"> and a melting point of 105-115°C. It has a linear structure with short and uniform side-chain branches </w:t>
      </w:r>
      <w:r w:rsidRPr="00E10B6E">
        <w:fldChar w:fldCharType="begin" w:fldLock="1"/>
      </w:r>
      <w:r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Pr="00E10B6E">
        <w:fldChar w:fldCharType="separate"/>
      </w:r>
      <w:r w:rsidRPr="00E10B6E">
        <w:rPr>
          <w:noProof/>
        </w:rPr>
        <w:t>(Omnexus, 2020a)</w:t>
      </w:r>
      <w:r w:rsidRPr="00E10B6E">
        <w:fldChar w:fldCharType="end"/>
      </w:r>
      <w:r w:rsidRPr="00E10B6E">
        <w:t xml:space="preserve">, as shown in </w:t>
      </w:r>
      <w:r w:rsidRPr="00E10B6E">
        <w:fldChar w:fldCharType="begin"/>
      </w:r>
      <w:r w:rsidRPr="00E10B6E">
        <w:instrText xml:space="preserve"> REF _Ref46348156 \h </w:instrText>
      </w:r>
      <w:r w:rsidRPr="00E10B6E">
        <w:fldChar w:fldCharType="separate"/>
      </w:r>
      <w:r w:rsidR="00983F73" w:rsidRPr="00E10B6E">
        <w:t xml:space="preserve">Figure </w:t>
      </w:r>
      <w:r w:rsidR="00983F73">
        <w:rPr>
          <w:noProof/>
        </w:rPr>
        <w:t>21</w:t>
      </w:r>
      <w:r w:rsidRPr="00E10B6E">
        <w:fldChar w:fldCharType="end"/>
      </w:r>
      <w:r w:rsidRPr="00E10B6E">
        <w:t>:</w:t>
      </w:r>
    </w:p>
    <w:p w14:paraId="3AFF5ADE" w14:textId="77777777" w:rsidR="00CC608B" w:rsidRPr="00E10B6E" w:rsidRDefault="00CC608B" w:rsidP="00CC608B">
      <w:pPr>
        <w:keepNext/>
        <w:jc w:val="center"/>
      </w:pPr>
      <w:r w:rsidRPr="00E10B6E">
        <w:rPr>
          <w:noProof/>
        </w:rPr>
        <w:drawing>
          <wp:inline distT="0" distB="0" distL="0" distR="0" wp14:anchorId="676B58F4" wp14:editId="4E74C499">
            <wp:extent cx="2409635" cy="12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 uri="{28A0092B-C50C-407E-A947-70E740481C1C}">
                          <a14:useLocalDpi xmlns:a14="http://schemas.microsoft.com/office/drawing/2010/main" val="0"/>
                        </a:ext>
                      </a:extLst>
                    </a:blip>
                    <a:srcRect l="52733" t="1719" r="1059" b="59026"/>
                    <a:stretch/>
                  </pic:blipFill>
                  <pic:spPr bwMode="auto">
                    <a:xfrm>
                      <a:off x="0" y="0"/>
                      <a:ext cx="2409635"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14DC5D8" w14:textId="07E008A0" w:rsidR="00CC608B" w:rsidRPr="00E10B6E" w:rsidRDefault="00CC608B" w:rsidP="00CC608B">
      <w:pPr>
        <w:pStyle w:val="Caption"/>
        <w:jc w:val="both"/>
      </w:pPr>
      <w:bookmarkStart w:id="56" w:name="_Ref46348156"/>
      <w:r w:rsidRPr="00E10B6E">
        <w:t xml:space="preserve">Figure </w:t>
      </w:r>
      <w:r w:rsidR="00722F9A">
        <w:fldChar w:fldCharType="begin"/>
      </w:r>
      <w:r w:rsidR="00722F9A">
        <w:instrText xml:space="preserve"> SEQ Figure \* ARABIC </w:instrText>
      </w:r>
      <w:r w:rsidR="00722F9A">
        <w:fldChar w:fldCharType="separate"/>
      </w:r>
      <w:r w:rsidR="00983F73">
        <w:rPr>
          <w:noProof/>
        </w:rPr>
        <w:t>21</w:t>
      </w:r>
      <w:r w:rsidR="00722F9A">
        <w:rPr>
          <w:noProof/>
        </w:rPr>
        <w:fldChar w:fldCharType="end"/>
      </w:r>
      <w:bookmarkEnd w:id="56"/>
      <w:r w:rsidRPr="00E10B6E">
        <w:t xml:space="preserve">: LLDPE structure with the main carbon chain in black and the side branches in blue </w:t>
      </w:r>
      <w:r w:rsidRPr="00E10B6E">
        <w:fldChar w:fldCharType="begin" w:fldLock="1"/>
      </w:r>
      <w:r w:rsidR="00C72E3B" w:rsidRPr="00E10B6E">
        <w:instrText>ADDIN CSL_CITATION {"citationItems":[{"id":"ITEM-1","itemData":{"DOI":"10.1177/0095244318783806","ISSN":"0095-2443","abstract":"Blends of polyethylene (PE) and polypropylene (PP) have always been the subject of intense reasearch for encouraging polymer waste recycling while producing new materials for specific applications in a sustainable way. However, being thermodynamically immiscible, these polyolefins form a binary system usually exhibiting lower performances compared with those of the homopolymers. Many studies have been carried out to better understand the PE/PP blend compatibilization for developing a high-performance and cost-effective product. Both nonreactive and reactive compatibilization promote the brittle to ductile transition for a PE/PP blend. However, the final product usually does not meet the requirements for high demanding commercial applications. Therefore, further PE/PP modification with a reinforcing filler, being either synthetic or natural, proved to be a good method for manufacturing high-performance reinforcend polymer blend composites, with superior and tailored properties. This review summarizes the recent progress in compatibilization techniques applied for enhancing the interfacial adhesion between PE and PP. Moreover, future perspectives on better understanding the influence of themodynamics on PE/PP synergy are discussed to introduce more effective compatibilization strategies, which will allow this blend to be used for innovative industrial applications.","author":[{"dropping-particle":"","family":"Graziano","given":"Antimo","non-dropping-particle":"","parse-names":false,"suffix":""},{"dropping-particle":"","family":"Jaffer","given":"Shaffiq","non-dropping-particle":"","parse-names":false,"suffix":""},{"dropping-particle":"","family":"Sain","given":"Mohini","non-dropping-particle":"","parse-names":false,"suffix":""}],"container-title":"Journal of Elastomers &amp; Plastics","id":"ITEM-1","issue":"4","issued":{"date-parts":[["2019","6","26"]]},"page":"291-336","publisher":"SAGE Publications Ltd","title":"Review on modification strategies of polyethylene/polypropylene immiscible thermoplastic polymer blends for enhancing their mechanical behavior","type":"article-journal","volume":"51"},"uris":["http://www.mendeley.com/documents/?uuid=6cfc9127-1091-4925-9e04-5f10e0ccae7b"]}],"mendeley":{"formattedCitation":"(Graziano et al., 2019)","plainTextFormattedCitation":"(Graziano et al., 2019)","previouslyFormattedCitation":"(Graziano et al., 2019)"},"properties":{"noteIndex":0},"schema":"https://github.com/citation-style-language/schema/raw/master/csl-citation.json"}</w:instrText>
      </w:r>
      <w:r w:rsidRPr="00E10B6E">
        <w:fldChar w:fldCharType="separate"/>
      </w:r>
      <w:r w:rsidRPr="00E10B6E">
        <w:rPr>
          <w:i w:val="0"/>
          <w:noProof/>
        </w:rPr>
        <w:t>(Graziano et al., 2019)</w:t>
      </w:r>
      <w:r w:rsidRPr="00E10B6E">
        <w:fldChar w:fldCharType="end"/>
      </w:r>
      <w:r w:rsidRPr="00E10B6E">
        <w:t>.</w:t>
      </w:r>
    </w:p>
    <w:p w14:paraId="36467940" w14:textId="30A637A1" w:rsidR="00CC608B" w:rsidRPr="00E10B6E" w:rsidRDefault="00CC608B" w:rsidP="003C2CB0">
      <w:pPr>
        <w:jc w:val="both"/>
      </w:pPr>
      <w:r w:rsidRPr="00E10B6E">
        <w:t xml:space="preserve">LLDP can be produced through a solution process (which is also used to produce HDPE) or a gas phase process (which is also used to produce HDPE and PP). In the solution process, the ethylene is diluted with the co-monomer (such as hexene-1 and octene-1) and a hydrocarbon solvent in the range of C6 to C9, which are all purified by passing throughout beds of absorbent material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As catalyst, both </w:t>
      </w:r>
      <w:r w:rsidR="00736B4A" w:rsidRPr="00E10B6E">
        <w:t>Ziegler</w:t>
      </w:r>
      <w:r w:rsidRPr="00E10B6E">
        <w:t xml:space="preserve">-Natta and Metallocene-types can be applied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The solution is then sent to the polymerisation reactor, which operates at a temperature higher than 100°C and with pressure up to 20 MPa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The unreacted ethylene and the residual solvent are separated by the evaporator, then the polymer passes through the standard steps of extrusion (including the addition of additives), drying, blending, degasification, and storage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as shown in </w:t>
      </w:r>
      <w:r w:rsidRPr="00E10B6E">
        <w:fldChar w:fldCharType="begin"/>
      </w:r>
      <w:r w:rsidRPr="00E10B6E">
        <w:instrText xml:space="preserve"> REF _Ref46348166 \h </w:instrText>
      </w:r>
      <w:r w:rsidRPr="00E10B6E">
        <w:fldChar w:fldCharType="separate"/>
      </w:r>
      <w:r w:rsidR="00983F73" w:rsidRPr="00E10B6E">
        <w:t xml:space="preserve">Figure </w:t>
      </w:r>
      <w:r w:rsidR="00983F73">
        <w:rPr>
          <w:noProof/>
        </w:rPr>
        <w:t>22</w:t>
      </w:r>
      <w:r w:rsidRPr="00E10B6E">
        <w:fldChar w:fldCharType="end"/>
      </w:r>
      <w:r w:rsidRPr="00E10B6E">
        <w:t>.</w:t>
      </w:r>
    </w:p>
    <w:p w14:paraId="48A6595A" w14:textId="77777777" w:rsidR="00CC608B" w:rsidRPr="00E10B6E" w:rsidRDefault="00CC608B" w:rsidP="00CC608B">
      <w:pPr>
        <w:keepNext/>
      </w:pPr>
      <w:r w:rsidRPr="00E10B6E">
        <w:rPr>
          <w:noProof/>
        </w:rPr>
        <w:lastRenderedPageBreak/>
        <w:drawing>
          <wp:inline distT="0" distB="0" distL="0" distR="0" wp14:anchorId="6FFFF878" wp14:editId="63FB86CB">
            <wp:extent cx="5760000" cy="239600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60000" cy="2396006"/>
                    </a:xfrm>
                    <a:prstGeom prst="rect">
                      <a:avLst/>
                    </a:prstGeom>
                    <a:noFill/>
                    <a:ln>
                      <a:noFill/>
                    </a:ln>
                    <a:extLst>
                      <a:ext uri="{53640926-AAD7-44D8-BBD7-CCE9431645EC}">
                        <a14:shadowObscured xmlns:a14="http://schemas.microsoft.com/office/drawing/2010/main"/>
                      </a:ext>
                    </a:extLst>
                  </pic:spPr>
                </pic:pic>
              </a:graphicData>
            </a:graphic>
          </wp:inline>
        </w:drawing>
      </w:r>
    </w:p>
    <w:p w14:paraId="30BEA804" w14:textId="42FEA91E" w:rsidR="00CC608B" w:rsidRPr="00E10B6E" w:rsidRDefault="00CC608B" w:rsidP="00CC608B">
      <w:pPr>
        <w:pStyle w:val="Caption"/>
        <w:jc w:val="both"/>
      </w:pPr>
      <w:bookmarkStart w:id="57" w:name="_Ref46348166"/>
      <w:r w:rsidRPr="00E10B6E">
        <w:t xml:space="preserve">Figure </w:t>
      </w:r>
      <w:r w:rsidR="00722F9A">
        <w:fldChar w:fldCharType="begin"/>
      </w:r>
      <w:r w:rsidR="00722F9A">
        <w:instrText xml:space="preserve"> SEQ Figure \* ARABIC </w:instrText>
      </w:r>
      <w:r w:rsidR="00722F9A">
        <w:fldChar w:fldCharType="separate"/>
      </w:r>
      <w:r w:rsidR="00983F73">
        <w:rPr>
          <w:noProof/>
        </w:rPr>
        <w:t>22</w:t>
      </w:r>
      <w:r w:rsidR="00722F9A">
        <w:rPr>
          <w:noProof/>
        </w:rPr>
        <w:fldChar w:fldCharType="end"/>
      </w:r>
      <w:bookmarkEnd w:id="57"/>
      <w:r w:rsidRPr="00E10B6E">
        <w:t xml:space="preserve">: LLDPE solution polymerisation process scheme. Made with information from </w:t>
      </w:r>
      <w:r w:rsidRPr="00E10B6E">
        <w:fldChar w:fldCharType="begin" w:fldLock="1"/>
      </w:r>
      <w:r w:rsidR="00C72E3B"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id":"ITEM-3","itemData":{"URL":"http://www.sabic-limburg.nl/nl/sabic-limburg/fabrieken-en-productieprocessen","accessed":{"date-parts":[["2020","3","9"]]},"author":[{"dropping-particle":"","family":"SABIC Limburg","given":"","non-dropping-particle":"","parse-names":false,"suffix":""}],"id":"ITEM-3","issued":{"date-parts":[["2020"]]},"title":"Fabrieken en Productieprocessen","type":"webpage"},"uris":["http://www.mendeley.com/documents/?uuid=716e16f0-c48d-48c0-814c-fb60f65b6034"]}],"mendeley":{"formattedCitation":"(European Commission, 2007; PlasticsEurope, 2014a; SABIC Limburg, 2020)","plainTextFormattedCitation":"(European Commission, 2007; PlasticsEurope, 2014a; SABIC Limburg, 2020)","previouslyFormattedCitation":"(European Commission, 2007; PlasticsEurope, 2014a; SABIC Limburg, 2020)"},"properties":{"noteIndex":0},"schema":"https://github.com/citation-style-language/schema/raw/master/csl-citation.json"}</w:instrText>
      </w:r>
      <w:r w:rsidRPr="00E10B6E">
        <w:fldChar w:fldCharType="separate"/>
      </w:r>
      <w:r w:rsidRPr="00E10B6E">
        <w:rPr>
          <w:i w:val="0"/>
          <w:noProof/>
        </w:rPr>
        <w:t>(European Commission, 2007; PlasticsEurope, 2014a; SABIC Limburg, 2020)</w:t>
      </w:r>
      <w:r w:rsidRPr="00E10B6E">
        <w:fldChar w:fldCharType="end"/>
      </w:r>
      <w:r w:rsidRPr="00E10B6E">
        <w:t>.</w:t>
      </w:r>
    </w:p>
    <w:p w14:paraId="72D1E3BE" w14:textId="1609F031" w:rsidR="00CC608B" w:rsidRPr="00E10B6E" w:rsidRDefault="00CC608B" w:rsidP="00CC608B">
      <w:pPr>
        <w:jc w:val="both"/>
      </w:pPr>
      <w:r w:rsidRPr="00E10B6E">
        <w:t xml:space="preserve">In 1999, the European average energy demand for LLDPE production was equal to 2.4 MJ/kg of direct energy, or 4.1 MJ/kg of primary energy (assuming an efficiency of 40% for electricity and 90% for steam), while the average of the top 50% companies was equal to 2.1 MJ/kg of direct energy, or 2.9 MJ/kg of primary energy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More than one decade later, the values are not so different, as in 2014 the production of LLDPE still required an average of 3.9 MJ/kg of primary energy (assuming an efficiency of 40% for electricity and 90% for steam, see Appendix A). As shown in </w:t>
      </w:r>
      <w:r w:rsidRPr="00E10B6E">
        <w:fldChar w:fldCharType="begin"/>
      </w:r>
      <w:r w:rsidRPr="00E10B6E">
        <w:instrText xml:space="preserve"> REF _Ref46354899 \h </w:instrText>
      </w:r>
      <w:r w:rsidRPr="00E10B6E">
        <w:fldChar w:fldCharType="separate"/>
      </w:r>
      <w:r w:rsidR="00983F73" w:rsidRPr="00E10B6E">
        <w:t xml:space="preserve">Table </w:t>
      </w:r>
      <w:r w:rsidR="00983F73">
        <w:rPr>
          <w:noProof/>
        </w:rPr>
        <w:t>8</w:t>
      </w:r>
      <w:r w:rsidRPr="00E10B6E">
        <w:fldChar w:fldCharType="end"/>
      </w:r>
      <w:r w:rsidRPr="00E10B6E">
        <w:t>, the polymerisation of 1 kg of LLDPE causes the emission of 0.27 kg of CO</w:t>
      </w:r>
      <w:r w:rsidRPr="00E10B6E">
        <w:rPr>
          <w:vertAlign w:val="subscript"/>
        </w:rPr>
        <w:t>2</w:t>
      </w:r>
      <w:r w:rsidRPr="00E10B6E">
        <w:t>-eq, considering the Global Warming Potential (GWP) for 100 years.</w:t>
      </w:r>
    </w:p>
    <w:p w14:paraId="791AEE33" w14:textId="3B8AEB4B" w:rsidR="00CC608B" w:rsidRPr="00E10B6E" w:rsidRDefault="00CC608B" w:rsidP="00CC608B">
      <w:pPr>
        <w:pStyle w:val="Caption"/>
        <w:keepNext/>
        <w:jc w:val="both"/>
      </w:pPr>
      <w:bookmarkStart w:id="58" w:name="_Ref46354899"/>
      <w:r w:rsidRPr="00E10B6E">
        <w:t xml:space="preserve">Table </w:t>
      </w:r>
      <w:r w:rsidR="00722F9A">
        <w:fldChar w:fldCharType="begin"/>
      </w:r>
      <w:r w:rsidR="00722F9A">
        <w:instrText xml:space="preserve"> SEQ Table \* ARABIC </w:instrText>
      </w:r>
      <w:r w:rsidR="00722F9A">
        <w:fldChar w:fldCharType="separate"/>
      </w:r>
      <w:r w:rsidR="00983F73">
        <w:rPr>
          <w:noProof/>
        </w:rPr>
        <w:t>8</w:t>
      </w:r>
      <w:r w:rsidR="00722F9A">
        <w:rPr>
          <w:noProof/>
        </w:rPr>
        <w:fldChar w:fldCharType="end"/>
      </w:r>
      <w:bookmarkEnd w:id="58"/>
      <w:r w:rsidRPr="00E10B6E">
        <w:t xml:space="preserve">: Energy demand and global warming potential for the polymerisation of 1 kg of LLDPE. </w:t>
      </w:r>
      <w:r w:rsidR="00C72E3B" w:rsidRPr="00E10B6E">
        <w:t xml:space="preserve">Average values from literature </w:t>
      </w:r>
      <w:r w:rsidR="00C72E3B" w:rsidRPr="00E10B6E">
        <w:fldChar w:fldCharType="begin" w:fldLock="1"/>
      </w:r>
      <w:r w:rsidR="00D62573"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Polymers","type":"report"},"uris":["http://www.mendeley.com/documents/?uuid=3fbd34fa-da37-4050-8d0c-198a7a84e738"]}],"mendeley":{"formattedCitation":"(European Commission, 2007; PlasticsEurope, 2014b)","plainTextFormattedCitation":"(European Commission, 2007; PlasticsEurope, 2014b)","previouslyFormattedCitation":"(European Commission, 2007; PlasticsEurope, 2014b)"},"properties":{"noteIndex":0},"schema":"https://github.com/citation-style-language/schema/raw/master/csl-citation.json"}</w:instrText>
      </w:r>
      <w:r w:rsidR="00C72E3B" w:rsidRPr="00E10B6E">
        <w:fldChar w:fldCharType="separate"/>
      </w:r>
      <w:r w:rsidR="00C72E3B" w:rsidRPr="00E10B6E">
        <w:rPr>
          <w:i w:val="0"/>
          <w:noProof/>
        </w:rPr>
        <w:t>(European Commission, 2007; PlasticsEurope, 2014b)</w:t>
      </w:r>
      <w:r w:rsidR="00C72E3B" w:rsidRPr="00E10B6E">
        <w:fldChar w:fldCharType="end"/>
      </w:r>
      <w:r w:rsidR="00C72E3B" w:rsidRPr="00E10B6E">
        <w:t xml:space="preserve"> and internal communication with the companies involved.</w:t>
      </w:r>
    </w:p>
    <w:tbl>
      <w:tblPr>
        <w:tblStyle w:val="TableGrid"/>
        <w:tblW w:w="9072" w:type="dxa"/>
        <w:tblLook w:val="04A0" w:firstRow="1" w:lastRow="0" w:firstColumn="1" w:lastColumn="0" w:noHBand="0" w:noVBand="1"/>
      </w:tblPr>
      <w:tblGrid>
        <w:gridCol w:w="2268"/>
        <w:gridCol w:w="2268"/>
        <w:gridCol w:w="2268"/>
        <w:gridCol w:w="2268"/>
      </w:tblGrid>
      <w:tr w:rsidR="00CC608B" w:rsidRPr="00E10B6E" w14:paraId="25A6346E" w14:textId="77777777" w:rsidTr="00493EEA">
        <w:trPr>
          <w:trHeight w:val="567"/>
        </w:trPr>
        <w:tc>
          <w:tcPr>
            <w:tcW w:w="2268" w:type="dxa"/>
            <w:shd w:val="clear" w:color="auto" w:fill="4472C4" w:themeFill="accent1"/>
            <w:vAlign w:val="center"/>
          </w:tcPr>
          <w:p w14:paraId="1931163D" w14:textId="77777777" w:rsidR="00CC608B" w:rsidRPr="00E10B6E" w:rsidRDefault="00CC608B" w:rsidP="003C2CB0">
            <w:pPr>
              <w:jc w:val="center"/>
              <w:rPr>
                <w:b/>
                <w:bCs/>
                <w:color w:val="FFFFFF" w:themeColor="background1"/>
              </w:rPr>
            </w:pPr>
            <w:r w:rsidRPr="00E10B6E">
              <w:rPr>
                <w:b/>
                <w:bCs/>
                <w:color w:val="FFFFFF" w:themeColor="background1"/>
              </w:rPr>
              <w:t>Product</w:t>
            </w:r>
          </w:p>
        </w:tc>
        <w:tc>
          <w:tcPr>
            <w:tcW w:w="2268" w:type="dxa"/>
            <w:shd w:val="clear" w:color="auto" w:fill="4472C4" w:themeFill="accent1"/>
            <w:vAlign w:val="center"/>
          </w:tcPr>
          <w:p w14:paraId="0B2ED172" w14:textId="77777777" w:rsidR="00CC608B" w:rsidRPr="00E10B6E" w:rsidRDefault="00CC608B" w:rsidP="003C2CB0">
            <w:pPr>
              <w:jc w:val="center"/>
              <w:rPr>
                <w:b/>
                <w:bCs/>
                <w:color w:val="FFFFFF" w:themeColor="background1"/>
              </w:rPr>
            </w:pPr>
            <w:r w:rsidRPr="00E10B6E">
              <w:rPr>
                <w:b/>
                <w:bCs/>
                <w:color w:val="FFFFFF" w:themeColor="background1"/>
              </w:rPr>
              <w:t>Electricity demand [MJ]</w:t>
            </w:r>
          </w:p>
        </w:tc>
        <w:tc>
          <w:tcPr>
            <w:tcW w:w="2268" w:type="dxa"/>
            <w:shd w:val="clear" w:color="auto" w:fill="4472C4" w:themeFill="accent1"/>
            <w:vAlign w:val="center"/>
          </w:tcPr>
          <w:p w14:paraId="1E25A722" w14:textId="77777777" w:rsidR="00CC608B" w:rsidRPr="00E10B6E" w:rsidRDefault="00CC608B" w:rsidP="003C2CB0">
            <w:pPr>
              <w:jc w:val="center"/>
              <w:rPr>
                <w:b/>
                <w:bCs/>
                <w:color w:val="FFFFFF" w:themeColor="background1"/>
              </w:rPr>
            </w:pPr>
            <w:r w:rsidRPr="00E10B6E">
              <w:rPr>
                <w:b/>
                <w:bCs/>
                <w:color w:val="FFFFFF" w:themeColor="background1"/>
              </w:rPr>
              <w:t>Heat demand [MJ]</w:t>
            </w:r>
          </w:p>
        </w:tc>
        <w:tc>
          <w:tcPr>
            <w:tcW w:w="2268" w:type="dxa"/>
            <w:shd w:val="clear" w:color="auto" w:fill="4472C4" w:themeFill="accent1"/>
            <w:vAlign w:val="center"/>
          </w:tcPr>
          <w:p w14:paraId="258976FB" w14:textId="0ECBE903" w:rsidR="00CC608B" w:rsidRPr="00E10B6E" w:rsidRDefault="00CC608B" w:rsidP="003C2CB0">
            <w:pPr>
              <w:jc w:val="center"/>
              <w:rPr>
                <w:b/>
                <w:bCs/>
                <w:color w:val="FFFFFF" w:themeColor="background1"/>
              </w:rPr>
            </w:pPr>
            <w:r w:rsidRPr="00E10B6E">
              <w:rPr>
                <w:b/>
                <w:bCs/>
                <w:color w:val="FFFFFF" w:themeColor="background1"/>
              </w:rPr>
              <w:t>GWP [kg CO</w:t>
            </w:r>
            <w:r w:rsidRPr="00E10B6E">
              <w:rPr>
                <w:b/>
                <w:bCs/>
                <w:color w:val="FFFFFF" w:themeColor="background1"/>
                <w:vertAlign w:val="subscript"/>
              </w:rPr>
              <w:t>2</w:t>
            </w:r>
            <w:r w:rsidR="00736B4A" w:rsidRPr="00E10B6E">
              <w:rPr>
                <w:b/>
                <w:bCs/>
                <w:color w:val="FFFFFF" w:themeColor="background1"/>
              </w:rPr>
              <w:t>-</w:t>
            </w:r>
            <w:r w:rsidRPr="00E10B6E">
              <w:rPr>
                <w:b/>
                <w:bCs/>
                <w:color w:val="FFFFFF" w:themeColor="background1"/>
              </w:rPr>
              <w:t>eq]</w:t>
            </w:r>
          </w:p>
        </w:tc>
      </w:tr>
      <w:tr w:rsidR="00CC608B" w:rsidRPr="00E10B6E" w14:paraId="05A6370B" w14:textId="77777777" w:rsidTr="00493EEA">
        <w:trPr>
          <w:trHeight w:val="567"/>
        </w:trPr>
        <w:tc>
          <w:tcPr>
            <w:tcW w:w="2268" w:type="dxa"/>
            <w:vAlign w:val="center"/>
          </w:tcPr>
          <w:p w14:paraId="7436311B" w14:textId="77777777" w:rsidR="00CC608B" w:rsidRPr="00E10B6E" w:rsidRDefault="00CC608B" w:rsidP="003C2CB0">
            <w:pPr>
              <w:jc w:val="center"/>
            </w:pPr>
            <w:r w:rsidRPr="00E10B6E">
              <w:t>LLDPE (1 kg)</w:t>
            </w:r>
          </w:p>
        </w:tc>
        <w:tc>
          <w:tcPr>
            <w:tcW w:w="2268" w:type="dxa"/>
            <w:vAlign w:val="center"/>
          </w:tcPr>
          <w:p w14:paraId="5E06CE25" w14:textId="77777777" w:rsidR="00CC608B" w:rsidRPr="00E10B6E" w:rsidRDefault="00CC608B" w:rsidP="003C2CB0">
            <w:pPr>
              <w:jc w:val="center"/>
            </w:pPr>
            <w:r w:rsidRPr="00E10B6E">
              <w:t>1.27</w:t>
            </w:r>
          </w:p>
        </w:tc>
        <w:tc>
          <w:tcPr>
            <w:tcW w:w="2268" w:type="dxa"/>
            <w:vAlign w:val="center"/>
          </w:tcPr>
          <w:p w14:paraId="461F4CAA" w14:textId="77777777" w:rsidR="00CC608B" w:rsidRPr="00E10B6E" w:rsidRDefault="00CC608B" w:rsidP="003C2CB0">
            <w:pPr>
              <w:jc w:val="center"/>
            </w:pPr>
            <w:r w:rsidRPr="00E10B6E">
              <w:t>0.69</w:t>
            </w:r>
          </w:p>
        </w:tc>
        <w:tc>
          <w:tcPr>
            <w:tcW w:w="2268" w:type="dxa"/>
            <w:vAlign w:val="center"/>
          </w:tcPr>
          <w:p w14:paraId="39CCECD3" w14:textId="77777777" w:rsidR="00CC608B" w:rsidRPr="00E10B6E" w:rsidRDefault="00CC608B" w:rsidP="003C2CB0">
            <w:pPr>
              <w:jc w:val="center"/>
            </w:pPr>
            <w:r w:rsidRPr="00E10B6E">
              <w:t>0.23</w:t>
            </w:r>
          </w:p>
        </w:tc>
      </w:tr>
    </w:tbl>
    <w:p w14:paraId="3F70DA16" w14:textId="15723215" w:rsidR="00CC608B" w:rsidRPr="00E10B6E" w:rsidRDefault="003C2CB0" w:rsidP="00CC608B">
      <w:pPr>
        <w:jc w:val="both"/>
      </w:pPr>
      <w:r w:rsidRPr="00E10B6E">
        <w:br/>
      </w:r>
      <w:r w:rsidR="00CC608B" w:rsidRPr="00E10B6E">
        <w:t>If the boundaries of the life-cycle analysis are extended to the extraction of fossil and mineral resources, the production of raw materials (e.g. monomers and solvent), and the production of electricity, the primary energy demand for the production of 1 kg LLDPE is equal to 79.2 MJ and the emissions are equal to 1.87 kg of CO</w:t>
      </w:r>
      <w:r w:rsidR="00CC608B" w:rsidRPr="00E10B6E">
        <w:rPr>
          <w:vertAlign w:val="subscript"/>
        </w:rPr>
        <w:t>2</w:t>
      </w:r>
      <w:r w:rsidR="00CC608B" w:rsidRPr="00E10B6E">
        <w:t xml:space="preserve">-eq </w:t>
      </w:r>
      <w:r w:rsidR="00CC608B" w:rsidRPr="00E10B6E">
        <w:fldChar w:fldCharType="begin" w:fldLock="1"/>
      </w:r>
      <w:r w:rsidR="00CC608B"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00CC608B" w:rsidRPr="00E10B6E">
        <w:fldChar w:fldCharType="separate"/>
      </w:r>
      <w:r w:rsidR="00CC608B" w:rsidRPr="00E10B6E">
        <w:rPr>
          <w:noProof/>
        </w:rPr>
        <w:t>(PlasticsEurope, 2014a)</w:t>
      </w:r>
      <w:r w:rsidR="00CC608B" w:rsidRPr="00E10B6E">
        <w:fldChar w:fldCharType="end"/>
      </w:r>
      <w:r w:rsidR="00CC608B" w:rsidRPr="00E10B6E">
        <w:t xml:space="preserve">. Regarding the input materials, 1 kg of LLDPE required 1.03 kg of monomer in 1999 </w:t>
      </w:r>
      <w:r w:rsidR="00CC608B" w:rsidRPr="00E10B6E">
        <w:fldChar w:fldCharType="begin" w:fldLock="1"/>
      </w:r>
      <w:r w:rsidR="00CC608B"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00CC608B" w:rsidRPr="00E10B6E">
        <w:fldChar w:fldCharType="separate"/>
      </w:r>
      <w:r w:rsidR="00CC608B" w:rsidRPr="00E10B6E">
        <w:rPr>
          <w:noProof/>
        </w:rPr>
        <w:t>(European Commission, 2007)</w:t>
      </w:r>
      <w:r w:rsidR="00CC608B" w:rsidRPr="00E10B6E">
        <w:fldChar w:fldCharType="end"/>
      </w:r>
      <w:r w:rsidR="00CC608B" w:rsidRPr="00E10B6E">
        <w:t xml:space="preserve"> and 1.02 kg of monomer in 2014 </w:t>
      </w:r>
      <w:r w:rsidR="00CC608B" w:rsidRPr="00E10B6E">
        <w:fldChar w:fldCharType="begin" w:fldLock="1"/>
      </w:r>
      <w:r w:rsidR="00CC608B"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00CC608B" w:rsidRPr="00E10B6E">
        <w:fldChar w:fldCharType="separate"/>
      </w:r>
      <w:r w:rsidR="00CC608B" w:rsidRPr="00E10B6E">
        <w:rPr>
          <w:noProof/>
        </w:rPr>
        <w:t>(PlasticsEurope, 2014a)</w:t>
      </w:r>
      <w:r w:rsidR="00CC608B" w:rsidRPr="00E10B6E">
        <w:fldChar w:fldCharType="end"/>
      </w:r>
      <w:r w:rsidR="00CC608B" w:rsidRPr="00E10B6E">
        <w:t>, showing a small improvement in the efficiency of the process.</w:t>
      </w:r>
    </w:p>
    <w:p w14:paraId="2729B511" w14:textId="15A55AC5" w:rsidR="002B4431" w:rsidRPr="00E10B6E" w:rsidRDefault="002B4431" w:rsidP="00914619">
      <w:pPr>
        <w:pStyle w:val="Heading3"/>
      </w:pPr>
      <w:bookmarkStart w:id="59" w:name="_Toc54274801"/>
      <w:r w:rsidRPr="00E10B6E">
        <w:t>4.3.3 Slurry polymerisation</w:t>
      </w:r>
      <w:bookmarkEnd w:id="59"/>
    </w:p>
    <w:p w14:paraId="6BF8E072" w14:textId="64594943" w:rsidR="00493EEA" w:rsidRPr="00E10B6E" w:rsidRDefault="00493EEA" w:rsidP="00493EEA">
      <w:pPr>
        <w:jc w:val="both"/>
      </w:pPr>
      <w:r w:rsidRPr="00E10B6E">
        <w:t>High-Density Polyethylene (HDPE) is a high crystalline and low amorphous polymer with an average density of 0.94-0.97 g/cm</w:t>
      </w:r>
      <w:r w:rsidRPr="00E10B6E">
        <w:rPr>
          <w:vertAlign w:val="superscript"/>
        </w:rPr>
        <w:t>3</w:t>
      </w:r>
      <w:r w:rsidRPr="00E10B6E">
        <w:t xml:space="preserve"> and a melting point of 120-140°C. It has a linear structure with a low degree of short side-chain branches </w:t>
      </w:r>
      <w:r w:rsidRPr="00E10B6E">
        <w:fldChar w:fldCharType="begin" w:fldLock="1"/>
      </w:r>
      <w:r w:rsidRPr="00E10B6E">
        <w:instrText>ADDIN CSL_CITATION {"citationItems":[{"id":"ITEM-1","itemData":{"URL":"https://omnexus.specialchem.com/selection-guide/polyethylene-plastic","accessed":{"date-parts":[["2020","4","8"]]},"author":[{"dropping-particle":"","family":"Omnexus","given":"","non-dropping-particle":"","parse-names":false,"suffix":""}],"id":"ITEM-1","issued":{"date-parts":[["2020"]]},"title":"Polyethylene (PE) Plastic: Properties, Uses &amp; Application","type":"webpage"},"uris":["http://www.mendeley.com/documents/?uuid=57a4c8be-573b-4cf6-b831-a8d7bdfb6252"]}],"mendeley":{"formattedCitation":"(Omnexus, 2020a)","plainTextFormattedCitation":"(Omnexus, 2020a)","previouslyFormattedCitation":"(Omnexus, 2020a)"},"properties":{"noteIndex":0},"schema":"https://github.com/citation-style-language/schema/raw/master/csl-citation.json"}</w:instrText>
      </w:r>
      <w:r w:rsidRPr="00E10B6E">
        <w:fldChar w:fldCharType="separate"/>
      </w:r>
      <w:r w:rsidRPr="00E10B6E">
        <w:rPr>
          <w:noProof/>
        </w:rPr>
        <w:t>(Omnexus, 2020a)</w:t>
      </w:r>
      <w:r w:rsidRPr="00E10B6E">
        <w:fldChar w:fldCharType="end"/>
      </w:r>
      <w:r w:rsidRPr="00E10B6E">
        <w:t xml:space="preserve">, as shown in </w:t>
      </w:r>
      <w:r w:rsidRPr="00E10B6E">
        <w:fldChar w:fldCharType="begin"/>
      </w:r>
      <w:r w:rsidRPr="00E10B6E">
        <w:instrText xml:space="preserve"> REF _Ref46348180 \h </w:instrText>
      </w:r>
      <w:r w:rsidRPr="00E10B6E">
        <w:fldChar w:fldCharType="separate"/>
      </w:r>
      <w:r w:rsidR="00983F73" w:rsidRPr="00E10B6E">
        <w:t xml:space="preserve">Figure </w:t>
      </w:r>
      <w:r w:rsidR="00983F73">
        <w:rPr>
          <w:noProof/>
        </w:rPr>
        <w:t>23</w:t>
      </w:r>
      <w:r w:rsidRPr="00E10B6E">
        <w:fldChar w:fldCharType="end"/>
      </w:r>
      <w:r w:rsidRPr="00E10B6E">
        <w:t>.</w:t>
      </w:r>
    </w:p>
    <w:p w14:paraId="45C755FF" w14:textId="77777777" w:rsidR="00493EEA" w:rsidRPr="00E10B6E" w:rsidRDefault="00493EEA" w:rsidP="00493EEA">
      <w:pPr>
        <w:keepNext/>
        <w:jc w:val="center"/>
      </w:pPr>
      <w:r w:rsidRPr="00E10B6E">
        <w:rPr>
          <w:noProof/>
        </w:rPr>
        <w:lastRenderedPageBreak/>
        <w:drawing>
          <wp:inline distT="0" distB="0" distL="0" distR="0" wp14:anchorId="7017DDF0" wp14:editId="5EAA2C02">
            <wp:extent cx="2517025" cy="1080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 uri="{28A0092B-C50C-407E-A947-70E740481C1C}">
                          <a14:useLocalDpi xmlns:a14="http://schemas.microsoft.com/office/drawing/2010/main" val="0"/>
                        </a:ext>
                      </a:extLst>
                    </a:blip>
                    <a:srcRect l="1235" t="6877" r="53642" b="61668"/>
                    <a:stretch/>
                  </pic:blipFill>
                  <pic:spPr bwMode="auto">
                    <a:xfrm>
                      <a:off x="0" y="0"/>
                      <a:ext cx="2517025"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B3AF6B9" w14:textId="17A20AFF" w:rsidR="00493EEA" w:rsidRPr="00E10B6E" w:rsidRDefault="00493EEA" w:rsidP="00493EEA">
      <w:pPr>
        <w:pStyle w:val="Caption"/>
        <w:jc w:val="both"/>
      </w:pPr>
      <w:bookmarkStart w:id="60" w:name="_Ref46348180"/>
      <w:r w:rsidRPr="00E10B6E">
        <w:t xml:space="preserve">Figure </w:t>
      </w:r>
      <w:r w:rsidR="00722F9A">
        <w:fldChar w:fldCharType="begin"/>
      </w:r>
      <w:r w:rsidR="00722F9A">
        <w:instrText xml:space="preserve"> SEQ Figure \* ARABIC </w:instrText>
      </w:r>
      <w:r w:rsidR="00722F9A">
        <w:fldChar w:fldCharType="separate"/>
      </w:r>
      <w:r w:rsidR="00983F73">
        <w:rPr>
          <w:noProof/>
        </w:rPr>
        <w:t>23</w:t>
      </w:r>
      <w:r w:rsidR="00722F9A">
        <w:rPr>
          <w:noProof/>
        </w:rPr>
        <w:fldChar w:fldCharType="end"/>
      </w:r>
      <w:bookmarkEnd w:id="60"/>
      <w:r w:rsidRPr="00E10B6E">
        <w:t xml:space="preserve">: HDPE structure with the main carbon chain in black and the side branches in blue </w:t>
      </w:r>
      <w:r w:rsidRPr="00E10B6E">
        <w:fldChar w:fldCharType="begin" w:fldLock="1"/>
      </w:r>
      <w:r w:rsidR="00C72E3B" w:rsidRPr="00E10B6E">
        <w:instrText>ADDIN CSL_CITATION {"citationItems":[{"id":"ITEM-1","itemData":{"DOI":"10.1177/0095244318783806","ISSN":"0095-2443","abstract":"Blends of polyethylene (PE) and polypropylene (PP) have always been the subject of intense reasearch for encouraging polymer waste recycling while producing new materials for specific applications in a sustainable way. However, being thermodynamically immiscible, these polyolefins form a binary system usually exhibiting lower performances compared with those of the homopolymers. Many studies have been carried out to better understand the PE/PP blend compatibilization for developing a high-performance and cost-effective product. Both nonreactive and reactive compatibilization promote the brittle to ductile transition for a PE/PP blend. However, the final product usually does not meet the requirements for high demanding commercial applications. Therefore, further PE/PP modification with a reinforcing filler, being either synthetic or natural, proved to be a good method for manufacturing high-performance reinforcend polymer blend composites, with superior and tailored properties. This review summarizes the recent progress in compatibilization techniques applied for enhancing the interfacial adhesion between PE and PP. Moreover, future perspectives on better understanding the influence of themodynamics on PE/PP synergy are discussed to introduce more effective compatibilization strategies, which will allow this blend to be used for innovative industrial applications.","author":[{"dropping-particle":"","family":"Graziano","given":"Antimo","non-dropping-particle":"","parse-names":false,"suffix":""},{"dropping-particle":"","family":"Jaffer","given":"Shaffiq","non-dropping-particle":"","parse-names":false,"suffix":""},{"dropping-particle":"","family":"Sain","given":"Mohini","non-dropping-particle":"","parse-names":false,"suffix":""}],"container-title":"Journal of Elastomers &amp; Plastics","id":"ITEM-1","issue":"4","issued":{"date-parts":[["2019","6","26"]]},"page":"291-336","publisher":"SAGE Publications Ltd","title":"Review on modification strategies of polyethylene/polypropylene immiscible thermoplastic polymer blends for enhancing their mechanical behavior","type":"article-journal","volume":"51"},"uris":["http://www.mendeley.com/documents/?uuid=6cfc9127-1091-4925-9e04-5f10e0ccae7b"]}],"mendeley":{"formattedCitation":"(Graziano et al., 2019)","plainTextFormattedCitation":"(Graziano et al., 2019)","previouslyFormattedCitation":"(Graziano et al., 2019)"},"properties":{"noteIndex":0},"schema":"https://github.com/citation-style-language/schema/raw/master/csl-citation.json"}</w:instrText>
      </w:r>
      <w:r w:rsidRPr="00E10B6E">
        <w:fldChar w:fldCharType="separate"/>
      </w:r>
      <w:r w:rsidRPr="00E10B6E">
        <w:rPr>
          <w:i w:val="0"/>
          <w:noProof/>
        </w:rPr>
        <w:t>(Graziano et al., 2019)</w:t>
      </w:r>
      <w:r w:rsidRPr="00E10B6E">
        <w:fldChar w:fldCharType="end"/>
      </w:r>
    </w:p>
    <w:p w14:paraId="63DBA6FF" w14:textId="23075F34" w:rsidR="00493EEA" w:rsidRPr="00E10B6E" w:rsidRDefault="00493EEA" w:rsidP="00493EEA">
      <w:pPr>
        <w:jc w:val="both"/>
      </w:pPr>
      <w:r w:rsidRPr="00E10B6E">
        <w:t xml:space="preserve">HDPE is mainly produced through a suspension/slurry process (which is also used to produce PP), but also through a solution process (which is also used to produce LLDPE) or a gas phase process (which is also used to produce LLDPE and PP). Moreover, two different reactors can be applied in the suspension/slurry process: a stirred tank reactor (STR) or a loop reactor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The flow diagram for HDPE production using a suspension process and a </w:t>
      </w:r>
      <w:r w:rsidR="00F52340" w:rsidRPr="00E10B6E">
        <w:t>loop reactor</w:t>
      </w:r>
      <w:r w:rsidRPr="00E10B6E">
        <w:t xml:space="preserve"> is shown in </w:t>
      </w:r>
      <w:r w:rsidRPr="00E10B6E">
        <w:fldChar w:fldCharType="begin"/>
      </w:r>
      <w:r w:rsidRPr="00E10B6E">
        <w:instrText xml:space="preserve"> REF _Ref46348190 \h </w:instrText>
      </w:r>
      <w:r w:rsidRPr="00E10B6E">
        <w:fldChar w:fldCharType="separate"/>
      </w:r>
      <w:r w:rsidR="00983F73" w:rsidRPr="00E10B6E">
        <w:t xml:space="preserve">Figure </w:t>
      </w:r>
      <w:r w:rsidR="00983F73">
        <w:rPr>
          <w:noProof/>
        </w:rPr>
        <w:t>24</w:t>
      </w:r>
      <w:r w:rsidRPr="00E10B6E">
        <w:fldChar w:fldCharType="end"/>
      </w:r>
      <w:r w:rsidRPr="00E10B6E">
        <w:t>.</w:t>
      </w:r>
    </w:p>
    <w:p w14:paraId="7CA2704E" w14:textId="77777777" w:rsidR="00493EEA" w:rsidRPr="00E10B6E" w:rsidRDefault="00493EEA" w:rsidP="00493EEA">
      <w:pPr>
        <w:keepNext/>
        <w:jc w:val="both"/>
      </w:pPr>
      <w:r w:rsidRPr="00E10B6E">
        <w:rPr>
          <w:noProof/>
        </w:rPr>
        <w:drawing>
          <wp:inline distT="0" distB="0" distL="0" distR="0" wp14:anchorId="46A8F451" wp14:editId="0DF71D8B">
            <wp:extent cx="5760000" cy="239600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60000" cy="2396006"/>
                    </a:xfrm>
                    <a:prstGeom prst="rect">
                      <a:avLst/>
                    </a:prstGeom>
                    <a:noFill/>
                    <a:ln>
                      <a:noFill/>
                    </a:ln>
                    <a:extLst>
                      <a:ext uri="{53640926-AAD7-44D8-BBD7-CCE9431645EC}">
                        <a14:shadowObscured xmlns:a14="http://schemas.microsoft.com/office/drawing/2010/main"/>
                      </a:ext>
                    </a:extLst>
                  </pic:spPr>
                </pic:pic>
              </a:graphicData>
            </a:graphic>
          </wp:inline>
        </w:drawing>
      </w:r>
    </w:p>
    <w:p w14:paraId="7EBB6136" w14:textId="5053FDAA" w:rsidR="00493EEA" w:rsidRPr="00E10B6E" w:rsidRDefault="00493EEA" w:rsidP="00493EEA">
      <w:pPr>
        <w:pStyle w:val="Caption"/>
        <w:jc w:val="both"/>
      </w:pPr>
      <w:bookmarkStart w:id="61" w:name="_Ref46348190"/>
      <w:r w:rsidRPr="00E10B6E">
        <w:t xml:space="preserve">Figure </w:t>
      </w:r>
      <w:r w:rsidR="00722F9A">
        <w:fldChar w:fldCharType="begin"/>
      </w:r>
      <w:r w:rsidR="00722F9A">
        <w:instrText xml:space="preserve"> SEQ Figure \* ARABIC </w:instrText>
      </w:r>
      <w:r w:rsidR="00722F9A">
        <w:fldChar w:fldCharType="separate"/>
      </w:r>
      <w:r w:rsidR="00983F73">
        <w:rPr>
          <w:noProof/>
        </w:rPr>
        <w:t>24</w:t>
      </w:r>
      <w:r w:rsidR="00722F9A">
        <w:rPr>
          <w:noProof/>
        </w:rPr>
        <w:fldChar w:fldCharType="end"/>
      </w:r>
      <w:bookmarkEnd w:id="61"/>
      <w:r w:rsidRPr="00E10B6E">
        <w:t xml:space="preserve">: HDPE suspension/slurry polymerisation process scheme. Made with information from </w:t>
      </w:r>
      <w:r w:rsidRPr="00E10B6E">
        <w:fldChar w:fldCharType="begin" w:fldLock="1"/>
      </w:r>
      <w:r w:rsidR="00C72E3B" w:rsidRPr="00E10B6E">
        <w:instrText>ADDIN CSL_CITATION {"citationItems":[{"id":"ITEM-1","itemData":{"URL":"http://www.sabic-limburg.nl/nl/sabic-limburg/fabrieken-en-productieprocessen","accessed":{"date-parts":[["2020","3","9"]]},"author":[{"dropping-particle":"","family":"SABIC Limburg","given":"","non-dropping-particle":"","parse-names":false,"suffix":""}],"id":"ITEM-1","issued":{"date-parts":[["2020"]]},"title":"Fabrieken en Productieprocessen","type":"webpage"},"uris":["http://www.mendeley.com/documents/?uuid=716e16f0-c48d-48c0-814c-fb60f65b6034"]},{"id":"ITEM-2","itemData":{"author":[{"dropping-particle":"","family":"European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id":"ITEM-3","itemData":{"author":[{"dropping-particle":"","family":"PlasticsEurope","given":"","non-dropping-particle":"","parse-names":false,"suffix":""}],"id":"ITEM-3","issued":{"date-parts":[["2014"]]},"number-of-pages":"52","publisher-place":"Brussels","title":"Ecoprofiles and Environmental Product Declarations of the European Plastics Manufacturers (HDPE, LDPE, LLDPE)","type":"report"},"uris":["http://www.mendeley.com/documents/?uuid=33bca531-53ba-4caf-9807-2105763f16fe"]}],"mendeley":{"formattedCitation":"(European Commission, 2007; PlasticsEurope, 2014a; SABIC Limburg, 2020)","plainTextFormattedCitation":"(European Commission, 2007; PlasticsEurope, 2014a; SABIC Limburg, 2020)","previouslyFormattedCitation":"(European Commission, 2007; PlasticsEurope, 2014a; SABIC Limburg, 2020)"},"properties":{"noteIndex":0},"schema":"https://github.com/citation-style-language/schema/raw/master/csl-citation.json"}</w:instrText>
      </w:r>
      <w:r w:rsidRPr="00E10B6E">
        <w:fldChar w:fldCharType="separate"/>
      </w:r>
      <w:r w:rsidRPr="00E10B6E">
        <w:rPr>
          <w:i w:val="0"/>
          <w:noProof/>
        </w:rPr>
        <w:t>(European Commission, 2007; PlasticsEurope, 2014a; SABIC Limburg, 2020)</w:t>
      </w:r>
      <w:r w:rsidRPr="00E10B6E">
        <w:fldChar w:fldCharType="end"/>
      </w:r>
      <w:r w:rsidRPr="00E10B6E">
        <w:t>.</w:t>
      </w:r>
    </w:p>
    <w:p w14:paraId="758D3EA3" w14:textId="6296D86C" w:rsidR="00493EEA" w:rsidRPr="00E10B6E" w:rsidRDefault="00493EEA" w:rsidP="00493EEA">
      <w:pPr>
        <w:jc w:val="both"/>
      </w:pPr>
      <w:r w:rsidRPr="00E10B6E">
        <w:t>The process starts with the purification and the mixing of the reagents: beside</w:t>
      </w:r>
      <w:r w:rsidR="00F52340" w:rsidRPr="00E10B6E">
        <w:t>s</w:t>
      </w:r>
      <w:r w:rsidRPr="00E10B6E">
        <w:t xml:space="preserve"> the ethylene as main feedstock, HDPE also requires a co-monomer (such as butene-1 or hexene-1), a catalyst (usually Ziegler-Natta organo-metallic compounds), and a solvent in the C5-C8 hydrocarbon group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If the loop reactor is used, Philips and Metallocene catalysts can also be applied, coupled with isobutane as solvent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The mixture is fed to the reactor, which operates under 80-90°C and 0.5-1 MPa conditions. The resulting polymer is insoluble and precipitates in a fine suspension that can be separated from the solvent by centrifugation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The concentration of HDPE in the slurry is dependent on many process parameters, but it </w:t>
      </w:r>
      <w:r w:rsidR="00F52340" w:rsidRPr="00E10B6E">
        <w:t xml:space="preserve">generally </w:t>
      </w:r>
      <w:r w:rsidRPr="00E10B6E">
        <w:t xml:space="preserve">ranges between 30 and 45% by weight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After the centrifuge, the polymer faces the standard steps of extrusion in granules (including the addition of additives to obtain the desired properties), drying, blending, degasification of residual monomer, and storage in silos </w:t>
      </w:r>
      <w:r w:rsidRPr="00E10B6E">
        <w:fldChar w:fldCharType="begin" w:fldLock="1"/>
      </w:r>
      <w:r w:rsidR="00C72E3B"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id":"ITEM-2","itemData":{"URL":"http://www.sabic-limburg.nl/nl/sabic-limburg/fabrieken-en-productieprocessen","accessed":{"date-parts":[["2020","3","9"]]},"author":[{"dropping-particle":"","family":"SABIC Limburg","given":"","non-dropping-particle":"","parse-names":false,"suffix":""}],"id":"ITEM-2","issued":{"date-parts":[["2020"]]},"title":"Fabrieken en Productieprocessen","type":"webpage"},"uris":["http://www.mendeley.com/documents/?uuid=716e16f0-c48d-48c0-814c-fb60f65b6034"]}],"mendeley":{"formattedCitation":"(PlasticsEurope, 2014a; SABIC Limburg, 2020)","plainTextFormattedCitation":"(PlasticsEurope, 2014a; SABIC Limburg, 2020)","previouslyFormattedCitation":"(PlasticsEurope, 2014a; SABIC Limburg, 2020)"},"properties":{"noteIndex":0},"schema":"https://github.com/citation-style-language/schema/raw/master/csl-citation.json"}</w:instrText>
      </w:r>
      <w:r w:rsidRPr="00E10B6E">
        <w:fldChar w:fldCharType="separate"/>
      </w:r>
      <w:r w:rsidRPr="00E10B6E">
        <w:rPr>
          <w:noProof/>
        </w:rPr>
        <w:t>(PlasticsEurope, 2014a; SABIC Limburg, 2020)</w:t>
      </w:r>
      <w:r w:rsidRPr="00E10B6E">
        <w:fldChar w:fldCharType="end"/>
      </w:r>
      <w:r w:rsidRPr="00E10B6E">
        <w:t>.</w:t>
      </w:r>
    </w:p>
    <w:p w14:paraId="24241D20" w14:textId="23D0E0F4" w:rsidR="00493EEA" w:rsidRPr="00E10B6E" w:rsidRDefault="00493EEA" w:rsidP="00493EEA">
      <w:pPr>
        <w:jc w:val="both"/>
      </w:pPr>
      <w:r w:rsidRPr="00E10B6E">
        <w:t xml:space="preserve">In 1999, the European average energy demand for HDPE production was equal to 2.5 MJ/kg of direct energy, or 5.1 MJ/kg of primary energy (assuming an efficiency of 40% for electricity and 90% for steam), while the average of the top 50% companies was equal to 2.1 MJ/kg of direct energy, or 4.2 MJ/kg of primary energy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More than one decade later, the values are not so different, as in 2014 the production of HDPE still required an average of 5.4 MJ/kg of primary </w:t>
      </w:r>
      <w:r w:rsidRPr="00E10B6E">
        <w:lastRenderedPageBreak/>
        <w:t xml:space="preserve">energy (assuming an efficiency of 40% for electricity and 90% for steam, see Appendix A). As shown in </w:t>
      </w:r>
      <w:r w:rsidRPr="00E10B6E">
        <w:fldChar w:fldCharType="begin"/>
      </w:r>
      <w:r w:rsidRPr="00E10B6E">
        <w:instrText xml:space="preserve"> REF _Ref46354922 \h </w:instrText>
      </w:r>
      <w:r w:rsidRPr="00E10B6E">
        <w:fldChar w:fldCharType="separate"/>
      </w:r>
      <w:r w:rsidR="00983F73" w:rsidRPr="00E10B6E">
        <w:t xml:space="preserve">Table </w:t>
      </w:r>
      <w:r w:rsidR="00983F73">
        <w:rPr>
          <w:noProof/>
        </w:rPr>
        <w:t>9</w:t>
      </w:r>
      <w:r w:rsidRPr="00E10B6E">
        <w:fldChar w:fldCharType="end"/>
      </w:r>
      <w:r w:rsidRPr="00E10B6E">
        <w:t>, the polymerisation of 1 kg of HDPE causes the emission of 0.27 kg of CO</w:t>
      </w:r>
      <w:r w:rsidRPr="00E10B6E">
        <w:rPr>
          <w:vertAlign w:val="subscript"/>
        </w:rPr>
        <w:t>2</w:t>
      </w:r>
      <w:r w:rsidRPr="00E10B6E">
        <w:t>-eq, considering the Global Warming Potential (GWP) for 100 years.</w:t>
      </w:r>
    </w:p>
    <w:p w14:paraId="187E2999" w14:textId="28E03D5A" w:rsidR="00493EEA" w:rsidRPr="00E10B6E" w:rsidRDefault="00493EEA" w:rsidP="00493EEA">
      <w:pPr>
        <w:pStyle w:val="Caption"/>
        <w:keepNext/>
        <w:jc w:val="both"/>
      </w:pPr>
      <w:bookmarkStart w:id="62" w:name="_Ref46354922"/>
      <w:r w:rsidRPr="00E10B6E">
        <w:t xml:space="preserve">Table </w:t>
      </w:r>
      <w:r w:rsidR="00722F9A">
        <w:fldChar w:fldCharType="begin"/>
      </w:r>
      <w:r w:rsidR="00722F9A">
        <w:instrText xml:space="preserve"> SEQ Table \* ARABIC</w:instrText>
      </w:r>
      <w:r w:rsidR="00722F9A">
        <w:instrText xml:space="preserve"> </w:instrText>
      </w:r>
      <w:r w:rsidR="00722F9A">
        <w:fldChar w:fldCharType="separate"/>
      </w:r>
      <w:r w:rsidR="00983F73">
        <w:rPr>
          <w:noProof/>
        </w:rPr>
        <w:t>9</w:t>
      </w:r>
      <w:r w:rsidR="00722F9A">
        <w:rPr>
          <w:noProof/>
        </w:rPr>
        <w:fldChar w:fldCharType="end"/>
      </w:r>
      <w:bookmarkEnd w:id="62"/>
      <w:r w:rsidRPr="00E10B6E">
        <w:t>: Energy demand and global warming potential for the polymerisation of 1 kg of HDPE.</w:t>
      </w:r>
      <w:r w:rsidR="00C72E3B" w:rsidRPr="00E10B6E">
        <w:t xml:space="preserve"> Average values from literature </w:t>
      </w:r>
      <w:r w:rsidR="00C72E3B" w:rsidRPr="00E10B6E">
        <w:fldChar w:fldCharType="begin" w:fldLock="1"/>
      </w:r>
      <w:r w:rsidR="00D62573"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Polymers","type":"report"},"uris":["http://www.mendeley.com/documents/?uuid=3fbd34fa-da37-4050-8d0c-198a7a84e738"]}],"mendeley":{"formattedCitation":"(European Commission, 2007; PlasticsEurope, 2014b)","plainTextFormattedCitation":"(European Commission, 2007; PlasticsEurope, 2014b)","previouslyFormattedCitation":"(European Commission, 2007; PlasticsEurope, 2014b)"},"properties":{"noteIndex":0},"schema":"https://github.com/citation-style-language/schema/raw/master/csl-citation.json"}</w:instrText>
      </w:r>
      <w:r w:rsidR="00C72E3B" w:rsidRPr="00E10B6E">
        <w:fldChar w:fldCharType="separate"/>
      </w:r>
      <w:r w:rsidR="00C72E3B" w:rsidRPr="00E10B6E">
        <w:rPr>
          <w:i w:val="0"/>
          <w:noProof/>
        </w:rPr>
        <w:t>(European Commission, 2007; PlasticsEurope, 2014b)</w:t>
      </w:r>
      <w:r w:rsidR="00C72E3B" w:rsidRPr="00E10B6E">
        <w:fldChar w:fldCharType="end"/>
      </w:r>
      <w:r w:rsidR="00C72E3B" w:rsidRPr="00E10B6E">
        <w:t xml:space="preserve"> and internal communication with the companies involved.</w:t>
      </w:r>
    </w:p>
    <w:tbl>
      <w:tblPr>
        <w:tblStyle w:val="TableGrid"/>
        <w:tblW w:w="9072" w:type="dxa"/>
        <w:tblLook w:val="04A0" w:firstRow="1" w:lastRow="0" w:firstColumn="1" w:lastColumn="0" w:noHBand="0" w:noVBand="1"/>
      </w:tblPr>
      <w:tblGrid>
        <w:gridCol w:w="2268"/>
        <w:gridCol w:w="2268"/>
        <w:gridCol w:w="2268"/>
        <w:gridCol w:w="2268"/>
      </w:tblGrid>
      <w:tr w:rsidR="00493EEA" w:rsidRPr="00E10B6E" w14:paraId="1E376068" w14:textId="77777777" w:rsidTr="00493EEA">
        <w:trPr>
          <w:trHeight w:val="567"/>
        </w:trPr>
        <w:tc>
          <w:tcPr>
            <w:tcW w:w="2268" w:type="dxa"/>
            <w:shd w:val="clear" w:color="auto" w:fill="4472C4" w:themeFill="accent1"/>
            <w:vAlign w:val="center"/>
          </w:tcPr>
          <w:p w14:paraId="3B0E854F" w14:textId="77777777" w:rsidR="00493EEA" w:rsidRPr="00E10B6E" w:rsidRDefault="00493EEA" w:rsidP="00D62573">
            <w:pPr>
              <w:jc w:val="center"/>
              <w:rPr>
                <w:b/>
                <w:bCs/>
                <w:color w:val="FFFFFF" w:themeColor="background1"/>
              </w:rPr>
            </w:pPr>
            <w:r w:rsidRPr="00E10B6E">
              <w:rPr>
                <w:b/>
                <w:bCs/>
                <w:color w:val="FFFFFF" w:themeColor="background1"/>
              </w:rPr>
              <w:t>Product</w:t>
            </w:r>
          </w:p>
        </w:tc>
        <w:tc>
          <w:tcPr>
            <w:tcW w:w="2268" w:type="dxa"/>
            <w:shd w:val="clear" w:color="auto" w:fill="4472C4" w:themeFill="accent1"/>
            <w:vAlign w:val="center"/>
          </w:tcPr>
          <w:p w14:paraId="371D006A" w14:textId="77777777" w:rsidR="00493EEA" w:rsidRPr="00E10B6E" w:rsidRDefault="00493EEA" w:rsidP="00D62573">
            <w:pPr>
              <w:jc w:val="center"/>
              <w:rPr>
                <w:b/>
                <w:bCs/>
                <w:color w:val="FFFFFF" w:themeColor="background1"/>
              </w:rPr>
            </w:pPr>
            <w:r w:rsidRPr="00E10B6E">
              <w:rPr>
                <w:b/>
                <w:bCs/>
                <w:color w:val="FFFFFF" w:themeColor="background1"/>
              </w:rPr>
              <w:t>Electricity demand [MJ]</w:t>
            </w:r>
          </w:p>
        </w:tc>
        <w:tc>
          <w:tcPr>
            <w:tcW w:w="2268" w:type="dxa"/>
            <w:shd w:val="clear" w:color="auto" w:fill="4472C4" w:themeFill="accent1"/>
            <w:vAlign w:val="center"/>
          </w:tcPr>
          <w:p w14:paraId="6EA5BEBE" w14:textId="77777777" w:rsidR="00493EEA" w:rsidRPr="00E10B6E" w:rsidRDefault="00493EEA" w:rsidP="00D62573">
            <w:pPr>
              <w:jc w:val="center"/>
              <w:rPr>
                <w:b/>
                <w:bCs/>
                <w:color w:val="FFFFFF" w:themeColor="background1"/>
              </w:rPr>
            </w:pPr>
            <w:r w:rsidRPr="00E10B6E">
              <w:rPr>
                <w:b/>
                <w:bCs/>
                <w:color w:val="FFFFFF" w:themeColor="background1"/>
              </w:rPr>
              <w:t>Heat demand [MJ]</w:t>
            </w:r>
          </w:p>
        </w:tc>
        <w:tc>
          <w:tcPr>
            <w:tcW w:w="2268" w:type="dxa"/>
            <w:shd w:val="clear" w:color="auto" w:fill="4472C4" w:themeFill="accent1"/>
            <w:vAlign w:val="center"/>
          </w:tcPr>
          <w:p w14:paraId="67936FDD" w14:textId="654FCCF4" w:rsidR="00493EEA" w:rsidRPr="00E10B6E" w:rsidRDefault="00493EEA" w:rsidP="00D62573">
            <w:pPr>
              <w:jc w:val="center"/>
              <w:rPr>
                <w:b/>
                <w:bCs/>
                <w:color w:val="FFFFFF" w:themeColor="background1"/>
              </w:rPr>
            </w:pPr>
            <w:r w:rsidRPr="00E10B6E">
              <w:rPr>
                <w:b/>
                <w:bCs/>
                <w:color w:val="FFFFFF" w:themeColor="background1"/>
              </w:rPr>
              <w:t>GWP [kg CO</w:t>
            </w:r>
            <w:r w:rsidRPr="00E10B6E">
              <w:rPr>
                <w:b/>
                <w:bCs/>
                <w:color w:val="FFFFFF" w:themeColor="background1"/>
                <w:vertAlign w:val="subscript"/>
              </w:rPr>
              <w:t>2</w:t>
            </w:r>
            <w:r w:rsidR="00736B4A" w:rsidRPr="00E10B6E">
              <w:rPr>
                <w:b/>
                <w:bCs/>
                <w:color w:val="FFFFFF" w:themeColor="background1"/>
              </w:rPr>
              <w:t>-</w:t>
            </w:r>
            <w:r w:rsidRPr="00E10B6E">
              <w:rPr>
                <w:b/>
                <w:bCs/>
                <w:color w:val="FFFFFF" w:themeColor="background1"/>
              </w:rPr>
              <w:t>eq]</w:t>
            </w:r>
          </w:p>
        </w:tc>
      </w:tr>
      <w:tr w:rsidR="00493EEA" w:rsidRPr="00E10B6E" w14:paraId="72EA3B0E" w14:textId="77777777" w:rsidTr="00493EEA">
        <w:trPr>
          <w:trHeight w:val="567"/>
        </w:trPr>
        <w:tc>
          <w:tcPr>
            <w:tcW w:w="2268" w:type="dxa"/>
            <w:vAlign w:val="center"/>
          </w:tcPr>
          <w:p w14:paraId="4D7A3791" w14:textId="77777777" w:rsidR="00493EEA" w:rsidRPr="00E10B6E" w:rsidRDefault="00493EEA" w:rsidP="00D62573">
            <w:pPr>
              <w:jc w:val="center"/>
            </w:pPr>
            <w:r w:rsidRPr="00E10B6E">
              <w:t>HDPE (1 kg)</w:t>
            </w:r>
          </w:p>
        </w:tc>
        <w:tc>
          <w:tcPr>
            <w:tcW w:w="2268" w:type="dxa"/>
            <w:vAlign w:val="center"/>
          </w:tcPr>
          <w:p w14:paraId="64B2A1F2" w14:textId="77777777" w:rsidR="00493EEA" w:rsidRPr="00E10B6E" w:rsidRDefault="00493EEA" w:rsidP="00D62573">
            <w:pPr>
              <w:jc w:val="center"/>
            </w:pPr>
            <w:r w:rsidRPr="00E10B6E">
              <w:t>1.50</w:t>
            </w:r>
          </w:p>
        </w:tc>
        <w:tc>
          <w:tcPr>
            <w:tcW w:w="2268" w:type="dxa"/>
            <w:vAlign w:val="center"/>
          </w:tcPr>
          <w:p w14:paraId="33FBACD0" w14:textId="77777777" w:rsidR="00493EEA" w:rsidRPr="00E10B6E" w:rsidRDefault="00493EEA" w:rsidP="00D62573">
            <w:pPr>
              <w:jc w:val="center"/>
            </w:pPr>
            <w:r w:rsidRPr="00E10B6E">
              <w:t>1.50</w:t>
            </w:r>
          </w:p>
        </w:tc>
        <w:tc>
          <w:tcPr>
            <w:tcW w:w="2268" w:type="dxa"/>
            <w:vAlign w:val="center"/>
          </w:tcPr>
          <w:p w14:paraId="5921709E" w14:textId="77777777" w:rsidR="00493EEA" w:rsidRPr="00E10B6E" w:rsidRDefault="00493EEA" w:rsidP="00D62573">
            <w:pPr>
              <w:jc w:val="center"/>
            </w:pPr>
            <w:r w:rsidRPr="00E10B6E">
              <w:t>0.27</w:t>
            </w:r>
          </w:p>
        </w:tc>
      </w:tr>
    </w:tbl>
    <w:p w14:paraId="5A0C0D44" w14:textId="547838D7" w:rsidR="00493EEA" w:rsidRPr="00E10B6E" w:rsidRDefault="00493EEA" w:rsidP="00493EEA">
      <w:pPr>
        <w:jc w:val="both"/>
      </w:pPr>
      <w:r w:rsidRPr="00E10B6E">
        <w:br/>
        <w:t>If the boundaries of the life-cycle analysis are extended to the extraction of fossil and mineral resources, the production of raw materials (e.g. monomers and solvent), and the production of electricity, the primary energy demand for the production of 1 kg HDPE is equal to 80.2 MJ and the emissions are equal to 1.80 kg of CO</w:t>
      </w:r>
      <w:r w:rsidRPr="00E10B6E">
        <w:rPr>
          <w:vertAlign w:val="subscript"/>
        </w:rPr>
        <w:t>2</w:t>
      </w:r>
      <w:r w:rsidRPr="00E10B6E">
        <w:t xml:space="preserve">-eq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xml:space="preserve">. Regarding the input materials, 1 kg of HDPE required 1.03 kg of monomer in 1999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and 1.02 kg of monomer in 2014 </w:t>
      </w:r>
      <w:r w:rsidRPr="00E10B6E">
        <w:fldChar w:fldCharType="begin" w:fldLock="1"/>
      </w:r>
      <w:r w:rsidRPr="00E10B6E">
        <w:instrText>ADDIN CSL_CITATION {"citationItems":[{"id":"ITEM-1","itemData":{"author":[{"dropping-particle":"","family":"PlasticsEurope","given":"","non-dropping-particle":"","parse-names":false,"suffix":""}],"id":"ITEM-1","issued":{"date-parts":[["2014"]]},"number-of-pages":"52","publisher-place":"Brussels","title":"Ecoprofiles and Environmental Product Declarations of the European Plastics Manufacturers (HDPE, LDPE, LLDPE)","type":"report"},"uris":["http://www.mendeley.com/documents/?uuid=33bca531-53ba-4caf-9807-2105763f16fe"]}],"mendeley":{"formattedCitation":"(PlasticsEurope, 2014a)","plainTextFormattedCitation":"(PlasticsEurope, 2014a)","previouslyFormattedCitation":"(PlasticsEurope, 2014a)"},"properties":{"noteIndex":0},"schema":"https://github.com/citation-style-language/schema/raw/master/csl-citation.json"}</w:instrText>
      </w:r>
      <w:r w:rsidRPr="00E10B6E">
        <w:fldChar w:fldCharType="separate"/>
      </w:r>
      <w:r w:rsidRPr="00E10B6E">
        <w:rPr>
          <w:noProof/>
        </w:rPr>
        <w:t>(PlasticsEurope, 2014a)</w:t>
      </w:r>
      <w:r w:rsidRPr="00E10B6E">
        <w:fldChar w:fldCharType="end"/>
      </w:r>
      <w:r w:rsidRPr="00E10B6E">
        <w:t>, showing a small improvement in the efficiency of the process.</w:t>
      </w:r>
    </w:p>
    <w:p w14:paraId="422A024F" w14:textId="44F252FF" w:rsidR="002B4431" w:rsidRPr="00E10B6E" w:rsidRDefault="002B4431" w:rsidP="00914619">
      <w:pPr>
        <w:pStyle w:val="Heading3"/>
      </w:pPr>
      <w:bookmarkStart w:id="63" w:name="_Toc54274802"/>
      <w:r w:rsidRPr="00E10B6E">
        <w:t>4.3.3 Gas-phase polymerisation</w:t>
      </w:r>
      <w:bookmarkEnd w:id="63"/>
    </w:p>
    <w:p w14:paraId="24521920" w14:textId="05BE422C" w:rsidR="00493EEA" w:rsidRPr="00E10B6E" w:rsidRDefault="00493EEA" w:rsidP="00493EEA">
      <w:pPr>
        <w:jc w:val="both"/>
      </w:pPr>
      <w:r w:rsidRPr="00E10B6E">
        <w:t>Polypropylene (PP) is a semi-crystalline and low amorphous polymer with an average density of 0.90-0.91 g/cm</w:t>
      </w:r>
      <w:r w:rsidRPr="00E10B6E">
        <w:rPr>
          <w:vertAlign w:val="superscript"/>
        </w:rPr>
        <w:t>3</w:t>
      </w:r>
      <w:r w:rsidRPr="00E10B6E">
        <w:t xml:space="preserve"> and a melting point of 210-290°C </w:t>
      </w:r>
      <w:r w:rsidRPr="00E10B6E">
        <w:fldChar w:fldCharType="begin" w:fldLock="1"/>
      </w:r>
      <w:r w:rsidRPr="00E10B6E">
        <w:instrText>ADDIN CSL_CITATION {"citationItems":[{"id":"ITEM-1","itemData":{"URL":"https://www.bpf.co.uk/plastipedia/polymers/pp.aspx#physicalproperties","accessed":{"date-parts":[["2020","4","16"]]},"author":[{"dropping-particle":"","family":"BPF","given":"","non-dropping-particle":"","parse-names":false,"suffix":""}],"id":"ITEM-1","issued":{"date-parts":[["2020"]]},"title":"Polypropylene (PP)","type":"webpage"},"uris":["http://www.mendeley.com/documents/?uuid=48a32482-8cfe-4d67-8ee3-18356d326c3e"]}],"mendeley":{"formattedCitation":"(BPF, 2020)","plainTextFormattedCitation":"(BPF, 2020)","previouslyFormattedCitation":"(BPF, 2020)"},"properties":{"noteIndex":0},"schema":"https://github.com/citation-style-language/schema/raw/master/csl-citation.json"}</w:instrText>
      </w:r>
      <w:r w:rsidRPr="00E10B6E">
        <w:fldChar w:fldCharType="separate"/>
      </w:r>
      <w:r w:rsidRPr="00E10B6E">
        <w:rPr>
          <w:noProof/>
        </w:rPr>
        <w:t>(BPF, 2020)</w:t>
      </w:r>
      <w:r w:rsidRPr="00E10B6E">
        <w:fldChar w:fldCharType="end"/>
      </w:r>
      <w:r w:rsidRPr="00E10B6E">
        <w:t xml:space="preserve">. It has a linear structure with a low degree of unsaturation, and thus of short side-chain branches, as shown in </w:t>
      </w:r>
      <w:r w:rsidRPr="00E10B6E">
        <w:fldChar w:fldCharType="begin"/>
      </w:r>
      <w:r w:rsidRPr="00E10B6E">
        <w:instrText xml:space="preserve"> REF _Ref46348202 \h </w:instrText>
      </w:r>
      <w:r w:rsidRPr="00E10B6E">
        <w:fldChar w:fldCharType="separate"/>
      </w:r>
      <w:r w:rsidR="00983F73" w:rsidRPr="00E10B6E">
        <w:t xml:space="preserve">Figure </w:t>
      </w:r>
      <w:r w:rsidR="00983F73">
        <w:rPr>
          <w:noProof/>
        </w:rPr>
        <w:t>25</w:t>
      </w:r>
      <w:r w:rsidRPr="00E10B6E">
        <w:fldChar w:fldCharType="end"/>
      </w:r>
      <w:r w:rsidRPr="00E10B6E">
        <w:t>.</w:t>
      </w:r>
    </w:p>
    <w:p w14:paraId="7C9AAC00" w14:textId="77777777" w:rsidR="00493EEA" w:rsidRPr="00E10B6E" w:rsidRDefault="00493EEA" w:rsidP="00493EEA">
      <w:pPr>
        <w:jc w:val="both"/>
      </w:pPr>
    </w:p>
    <w:p w14:paraId="54C571DC" w14:textId="77777777" w:rsidR="00493EEA" w:rsidRPr="00E10B6E" w:rsidRDefault="00493EEA" w:rsidP="00493EEA">
      <w:pPr>
        <w:keepNext/>
        <w:jc w:val="center"/>
      </w:pPr>
      <w:r w:rsidRPr="00E10B6E">
        <w:rPr>
          <w:noProof/>
        </w:rPr>
        <w:drawing>
          <wp:inline distT="0" distB="0" distL="0" distR="0" wp14:anchorId="6E6F40A9" wp14:editId="3D107686">
            <wp:extent cx="3852696" cy="781050"/>
            <wp:effectExtent l="0" t="0" r="0" b="0"/>
            <wp:docPr id="2021888728" name="Picture 10"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5">
                      <a:extLst>
                        <a:ext uri="{28A0092B-C50C-407E-A947-70E740481C1C}">
                          <a14:useLocalDpi xmlns:a14="http://schemas.microsoft.com/office/drawing/2010/main" val="0"/>
                        </a:ext>
                      </a:extLst>
                    </a:blip>
                    <a:stretch>
                      <a:fillRect/>
                    </a:stretch>
                  </pic:blipFill>
                  <pic:spPr>
                    <a:xfrm>
                      <a:off x="0" y="0"/>
                      <a:ext cx="3852696" cy="781050"/>
                    </a:xfrm>
                    <a:prstGeom prst="rect">
                      <a:avLst/>
                    </a:prstGeom>
                  </pic:spPr>
                </pic:pic>
              </a:graphicData>
            </a:graphic>
          </wp:inline>
        </w:drawing>
      </w:r>
    </w:p>
    <w:p w14:paraId="35ADFA7C" w14:textId="1BEBA9A3" w:rsidR="00493EEA" w:rsidRPr="00E10B6E" w:rsidRDefault="00493EEA" w:rsidP="00493EEA">
      <w:pPr>
        <w:pStyle w:val="Caption"/>
        <w:jc w:val="both"/>
      </w:pPr>
      <w:bookmarkStart w:id="64" w:name="_Ref46348202"/>
      <w:r w:rsidRPr="00E10B6E">
        <w:t xml:space="preserve">Figure </w:t>
      </w:r>
      <w:r w:rsidR="00722F9A">
        <w:fldChar w:fldCharType="begin"/>
      </w:r>
      <w:r w:rsidR="00722F9A">
        <w:instrText xml:space="preserve"> SE</w:instrText>
      </w:r>
      <w:r w:rsidR="00722F9A">
        <w:instrText xml:space="preserve">Q Figure \* ARABIC </w:instrText>
      </w:r>
      <w:r w:rsidR="00722F9A">
        <w:fldChar w:fldCharType="separate"/>
      </w:r>
      <w:r w:rsidR="00983F73">
        <w:rPr>
          <w:noProof/>
        </w:rPr>
        <w:t>25</w:t>
      </w:r>
      <w:r w:rsidR="00722F9A">
        <w:rPr>
          <w:noProof/>
        </w:rPr>
        <w:fldChar w:fldCharType="end"/>
      </w:r>
      <w:bookmarkEnd w:id="64"/>
      <w:r w:rsidRPr="00E10B6E">
        <w:t xml:space="preserve">: PP structure with the main hydrocarbon chain in white and the methyl groups in black </w:t>
      </w:r>
      <w:r w:rsidRPr="00E10B6E">
        <w:fldChar w:fldCharType="begin" w:fldLock="1"/>
      </w:r>
      <w:r w:rsidRPr="00E10B6E">
        <w:instrText>ADDIN CSL_CITATION {"citationItems":[{"id":"ITEM-1","itemData":{"URL":"https://www.bpf.co.uk/plastipedia/polymers/pp.aspx#physicalproperties","accessed":{"date-parts":[["2020","4","16"]]},"author":[{"dropping-particle":"","family":"BPF","given":"","non-dropping-particle":"","parse-names":false,"suffix":""}],"id":"ITEM-1","issued":{"date-parts":[["2020"]]},"title":"Polypropylene (PP)","type":"webpage"},"uris":["http://www.mendeley.com/documents/?uuid=48a32482-8cfe-4d67-8ee3-18356d326c3e"]}],"mendeley":{"formattedCitation":"(BPF, 2020)","plainTextFormattedCitation":"(BPF, 2020)","previouslyFormattedCitation":"(BPF, 2020)"},"properties":{"noteIndex":0},"schema":"https://github.com/citation-style-language/schema/raw/master/csl-citation.json"}</w:instrText>
      </w:r>
      <w:r w:rsidRPr="00E10B6E">
        <w:fldChar w:fldCharType="separate"/>
      </w:r>
      <w:r w:rsidRPr="00E10B6E">
        <w:rPr>
          <w:i w:val="0"/>
          <w:noProof/>
        </w:rPr>
        <w:t>(BPF, 2020)</w:t>
      </w:r>
      <w:r w:rsidRPr="00E10B6E">
        <w:fldChar w:fldCharType="end"/>
      </w:r>
      <w:r w:rsidRPr="00E10B6E">
        <w:t>.</w:t>
      </w:r>
    </w:p>
    <w:p w14:paraId="60C66601" w14:textId="2E3F2B6D" w:rsidR="00493EEA" w:rsidRPr="00E10B6E" w:rsidRDefault="00493EEA" w:rsidP="00493EEA">
      <w:pPr>
        <w:jc w:val="both"/>
      </w:pPr>
      <w:r w:rsidRPr="00E10B6E">
        <w:t>PP can be produced with a gas</w:t>
      </w:r>
      <w:r w:rsidR="00F52340" w:rsidRPr="00E10B6E">
        <w:t>-</w:t>
      </w:r>
      <w:r w:rsidRPr="00E10B6E">
        <w:t xml:space="preserve">phase process (which is also used to produce LLDPE and HDPE) or with a suspension/slurry process (which is also used to produce HDPE). In the gas phase process, the first step is to mix and compress the gaseous propylene, co-monomer, hydrogen and catalyst together before sending them in a steady flow to the polymerisation reactor under 2-4 MPa and 70-90°C conditions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For many companies adopting the Borstar loop-reactor or Unipol II fluidised bed reactor technologies, it has become common to have a setup of two or more reactor in sequence. This so-called multistage configuration increases the capital cost of the production line but adds flexibility and widens the portfolio of produced polyolefins </w:t>
      </w:r>
      <w:r w:rsidRPr="00E10B6E">
        <w:fldChar w:fldCharType="begin" w:fldLock="1"/>
      </w:r>
      <w:r w:rsidRPr="00E10B6E">
        <w:instrText>ADDIN CSL_CITATION {"citationItems":[{"id":"ITEM-1","itemData":{"author":[{"dropping-particle":"","family":"Kanellopoulos","given":"Vasileios.","non-dropping-particle":"","parse-names":false,"suffix":""},{"dropping-particle":"","family":"Kiparissides","given":"Costas.","non-dropping-particle":"","parse-names":false,"suffix":""}],"chapter-number":"5","container-title":"Multimodal Polymers with Supported Catalyst","id":"ITEM-1","issued":{"date-parts":[["2019"]]},"page":"170-202","publisher":"Springer Nature","publisher-place":"Switzerlands","title":"Industrial Multimodal Processes","type":"chapter"},"uris":["http://www.mendeley.com/documents/?uuid=ffd006e2-6959-4bc6-8dab-dbcfd42d44f5"]}],"mendeley":{"formattedCitation":"(Kanellopoulos &amp; Kiparissides, 2019)","plainTextFormattedCitation":"(Kanellopoulos &amp; Kiparissides, 2019)","previouslyFormattedCitation":"(Kanellopoulos &amp; Kiparissides, 2019)"},"properties":{"noteIndex":0},"schema":"https://github.com/citation-style-language/schema/raw/master/csl-citation.json"}</w:instrText>
      </w:r>
      <w:r w:rsidRPr="00E10B6E">
        <w:fldChar w:fldCharType="separate"/>
      </w:r>
      <w:r w:rsidRPr="00E10B6E">
        <w:rPr>
          <w:noProof/>
        </w:rPr>
        <w:t>(Kanellopoulos &amp; Kiparissides, 2019)</w:t>
      </w:r>
      <w:r w:rsidRPr="00E10B6E">
        <w:fldChar w:fldCharType="end"/>
      </w:r>
      <w:r w:rsidRPr="00E10B6E">
        <w:t xml:space="preserve">. which is For PP production, catalyst based on titanium and aluminium are usually chosen, including Ziegler-Natta, Phillips-types, and Metallocene-types </w:t>
      </w:r>
      <w:r w:rsidRPr="00E10B6E">
        <w:fldChar w:fldCharType="begin" w:fldLock="1"/>
      </w:r>
      <w:r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(PP)","type":"report"},"uris":["http://www.mendeley.com/documents/?uuid=7222b6d9-a19d-4ad9-b253-40db684d213c"]}],"mendeley":{"formattedCitation":"(PlasticsEurope, 2014b)","plainTextFormattedCitation":"(PlasticsEurope, 2014b)","previouslyFormattedCitation":"(PlasticsEurope, 2014b)"},"properties":{"noteIndex":0},"schema":"https://github.com/citation-style-language/schema/raw/master/csl-citation.json"}</w:instrText>
      </w:r>
      <w:r w:rsidRPr="00E10B6E">
        <w:fldChar w:fldCharType="separate"/>
      </w:r>
      <w:r w:rsidRPr="00E10B6E">
        <w:rPr>
          <w:noProof/>
        </w:rPr>
        <w:t>(PlasticsEurope, 2014b)</w:t>
      </w:r>
      <w:r w:rsidRPr="00E10B6E">
        <w:fldChar w:fldCharType="end"/>
      </w:r>
      <w:r w:rsidRPr="00E10B6E">
        <w:t xml:space="preserve">. The resulting polymer powder is extracted at the bottom of the reactor and moved to a degassing vessel to deactivate the catalyst and remove the residual feedstock, which is cooled and recycled back into the cycle </w:t>
      </w:r>
      <w:r w:rsidRPr="00E10B6E">
        <w:fldChar w:fldCharType="begin" w:fldLock="1"/>
      </w:r>
      <w:r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(PP)","type":"report"},"uris":["http://www.mendeley.com/documents/?uuid=7222b6d9-a19d-4ad9-b253-40db684d213c"]}],"mendeley":{"formattedCitation":"(PlasticsEurope, 2014b)","plainTextFormattedCitation":"(PlasticsEurope, 2014b)","previouslyFormattedCitation":"(PlasticsEurope, 2014b)"},"properties":{"noteIndex":0},"schema":"https://github.com/citation-style-language/schema/raw/master/csl-citation.json"}</w:instrText>
      </w:r>
      <w:r w:rsidRPr="00E10B6E">
        <w:fldChar w:fldCharType="separate"/>
      </w:r>
      <w:r w:rsidRPr="00E10B6E">
        <w:rPr>
          <w:noProof/>
        </w:rPr>
        <w:t>(PlasticsEurope, 2014b)</w:t>
      </w:r>
      <w:r w:rsidRPr="00E10B6E">
        <w:fldChar w:fldCharType="end"/>
      </w:r>
      <w:r w:rsidRPr="00E10B6E">
        <w:t xml:space="preserve">, as seen in </w:t>
      </w:r>
      <w:r w:rsidRPr="00E10B6E">
        <w:fldChar w:fldCharType="begin"/>
      </w:r>
      <w:r w:rsidRPr="00E10B6E">
        <w:instrText xml:space="preserve"> REF _Ref46348214 \h </w:instrText>
      </w:r>
      <w:r w:rsidRPr="00E10B6E">
        <w:fldChar w:fldCharType="separate"/>
      </w:r>
      <w:r w:rsidR="00983F73" w:rsidRPr="00E10B6E">
        <w:t xml:space="preserve">Figure </w:t>
      </w:r>
      <w:r w:rsidR="00983F73">
        <w:rPr>
          <w:noProof/>
        </w:rPr>
        <w:t>26</w:t>
      </w:r>
      <w:r w:rsidRPr="00E10B6E">
        <w:fldChar w:fldCharType="end"/>
      </w:r>
      <w:r w:rsidRPr="00E10B6E">
        <w:t>.</w:t>
      </w:r>
    </w:p>
    <w:p w14:paraId="364430F8" w14:textId="77777777" w:rsidR="00493EEA" w:rsidRPr="00E10B6E" w:rsidRDefault="00493EEA" w:rsidP="00493EEA">
      <w:pPr>
        <w:keepNext/>
        <w:jc w:val="both"/>
      </w:pPr>
      <w:r w:rsidRPr="00E10B6E">
        <w:rPr>
          <w:noProof/>
        </w:rPr>
        <w:lastRenderedPageBreak/>
        <w:drawing>
          <wp:inline distT="0" distB="0" distL="0" distR="0" wp14:anchorId="2FC780C7" wp14:editId="18741B2B">
            <wp:extent cx="5760000" cy="239600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760000" cy="2396006"/>
                    </a:xfrm>
                    <a:prstGeom prst="rect">
                      <a:avLst/>
                    </a:prstGeom>
                    <a:noFill/>
                    <a:ln>
                      <a:noFill/>
                    </a:ln>
                    <a:extLst>
                      <a:ext uri="{53640926-AAD7-44D8-BBD7-CCE9431645EC}">
                        <a14:shadowObscured xmlns:a14="http://schemas.microsoft.com/office/drawing/2010/main"/>
                      </a:ext>
                    </a:extLst>
                  </pic:spPr>
                </pic:pic>
              </a:graphicData>
            </a:graphic>
          </wp:inline>
        </w:drawing>
      </w:r>
    </w:p>
    <w:p w14:paraId="7117768D" w14:textId="1D987D82" w:rsidR="00493EEA" w:rsidRPr="00E10B6E" w:rsidRDefault="00493EEA" w:rsidP="00493EEA">
      <w:pPr>
        <w:pStyle w:val="Caption"/>
        <w:jc w:val="both"/>
      </w:pPr>
      <w:bookmarkStart w:id="65" w:name="_Ref46348214"/>
      <w:r w:rsidRPr="00E10B6E">
        <w:t xml:space="preserve">Figure </w:t>
      </w:r>
      <w:r w:rsidR="00722F9A">
        <w:fldChar w:fldCharType="begin"/>
      </w:r>
      <w:r w:rsidR="00722F9A">
        <w:instrText xml:space="preserve"> SEQ Figure \* ARABIC </w:instrText>
      </w:r>
      <w:r w:rsidR="00722F9A">
        <w:fldChar w:fldCharType="separate"/>
      </w:r>
      <w:r w:rsidR="00983F73">
        <w:rPr>
          <w:noProof/>
        </w:rPr>
        <w:t>26</w:t>
      </w:r>
      <w:r w:rsidR="00722F9A">
        <w:rPr>
          <w:noProof/>
        </w:rPr>
        <w:fldChar w:fldCharType="end"/>
      </w:r>
      <w:bookmarkEnd w:id="65"/>
      <w:r w:rsidRPr="00E10B6E">
        <w:t xml:space="preserve">: PP gas phase polymerisation process scheme. Made with information from </w:t>
      </w:r>
      <w:r w:rsidRPr="00E10B6E">
        <w:fldChar w:fldCharType="begin" w:fldLock="1"/>
      </w:r>
      <w:r w:rsidR="00C72E3B" w:rsidRPr="00E10B6E">
        <w:instrText>ADDIN CSL_CITATION {"citationItems":[{"id":"ITEM-1","itemData":{"URL":"http://www.sabic-limburg.nl/nl/sabic-limburg/fabrieken-en-productieprocessen","accessed":{"date-parts":[["2020","3","9"]]},"author":[{"dropping-particle":"","family":"SABIC Limburg","given":"","non-dropping-particle":"","parse-names":false,"suffix":""}],"id":"ITEM-1","issued":{"date-parts":[["2020"]]},"title":"Fabrieken en Productieprocessen","type":"webpage"},"uris":["http://www.mendeley.com/documents/?uuid=716e16f0-c48d-48c0-814c-fb60f65b6034"]},{"id":"ITEM-2","itemData":{"author":[{"dropping-particle":"","family":"European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id":"ITEM-3","itemData":{"author":[{"dropping-particle":"","family":"PlasticsEurope","given":"","non-dropping-particle":"","parse-names":false,"suffix":""}],"id":"ITEM-3","issued":{"date-parts":[["2014"]]},"number-of-pages":"45","publisher-place":"Brussels","title":"Ecoprofiles and Environmental Product Declarations of the European Plastics Manufacturers (PP)","type":"report"},"uris":["http://www.mendeley.com/documents/?uuid=7222b6d9-a19d-4ad9-b253-40db684d213c"]}],"mendeley":{"formattedCitation":"(European Commission, 2007; PlasticsEurope, 2014b; SABIC Limburg, 2020)","plainTextFormattedCitation":"(European Commission, 2007; PlasticsEurope, 2014b; SABIC Limburg, 2020)","previouslyFormattedCitation":"(European Commission, 2007; PlasticsEurope, 2014b; SABIC Limburg, 2020)"},"properties":{"noteIndex":0},"schema":"https://github.com/citation-style-language/schema/raw/master/csl-citation.json"}</w:instrText>
      </w:r>
      <w:r w:rsidRPr="00E10B6E">
        <w:fldChar w:fldCharType="separate"/>
      </w:r>
      <w:r w:rsidRPr="00E10B6E">
        <w:rPr>
          <w:i w:val="0"/>
          <w:noProof/>
        </w:rPr>
        <w:t>(European Commission, 2007; PlasticsEurope, 2014b; SABIC Limburg, 2020)</w:t>
      </w:r>
      <w:r w:rsidRPr="00E10B6E">
        <w:fldChar w:fldCharType="end"/>
      </w:r>
      <w:r w:rsidRPr="00E10B6E">
        <w:t>.</w:t>
      </w:r>
    </w:p>
    <w:p w14:paraId="2CED19CE" w14:textId="1D0D7C5B" w:rsidR="002B4431" w:rsidRPr="00E10B6E" w:rsidRDefault="00493EEA" w:rsidP="00493EEA">
      <w:pPr>
        <w:jc w:val="both"/>
      </w:pPr>
      <w:r w:rsidRPr="00E10B6E">
        <w:t xml:space="preserve">The resulting PP is sent to the granule extruder, where the necessary additives are also added to the polymer mix. Finally, the product faces the standard steps of drying, blending, degasification of the residual monomer and storage in silos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w:t>
      </w:r>
    </w:p>
    <w:p w14:paraId="00B03A70" w14:textId="3615CC1F" w:rsidR="00523C94" w:rsidRPr="00E10B6E" w:rsidRDefault="00523C94" w:rsidP="00523C94">
      <w:pPr>
        <w:jc w:val="both"/>
      </w:pPr>
      <w:r w:rsidRPr="00E10B6E">
        <w:t xml:space="preserve">The European average energy demand for PP production was not reported in 1999, but it could be considered equivalent to comparable HDPE processes, which had an average consumption of 5.1 MJ/kg of primary energy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More than one decade later, the value seems to have improved, as in 2014 the production of PP required an average of 3.8 MJ/kg of primary energy (assuming an efficiency of 40% for electricity and 90% for steam, see Appendix A). As shown in </w:t>
      </w:r>
      <w:r w:rsidRPr="00E10B6E">
        <w:fldChar w:fldCharType="begin"/>
      </w:r>
      <w:r w:rsidRPr="00E10B6E">
        <w:instrText xml:space="preserve"> REF _Ref46354938 \h </w:instrText>
      </w:r>
      <w:r w:rsidRPr="00E10B6E">
        <w:fldChar w:fldCharType="separate"/>
      </w:r>
      <w:r w:rsidR="00983F73" w:rsidRPr="00E10B6E">
        <w:t xml:space="preserve">Table </w:t>
      </w:r>
      <w:r w:rsidR="00983F73">
        <w:rPr>
          <w:noProof/>
        </w:rPr>
        <w:t>10</w:t>
      </w:r>
      <w:r w:rsidRPr="00E10B6E">
        <w:fldChar w:fldCharType="end"/>
      </w:r>
      <w:r w:rsidRPr="00E10B6E">
        <w:t>, the polymerisation of 1 kg of PP causes the emission of 0.20 kg of CO</w:t>
      </w:r>
      <w:r w:rsidRPr="00E10B6E">
        <w:rPr>
          <w:vertAlign w:val="subscript"/>
        </w:rPr>
        <w:t>2</w:t>
      </w:r>
      <w:r w:rsidRPr="00E10B6E">
        <w:t>-eq, considering the Global Warming Potential (GWP) for 100 years, making PP more environmentally friendly than LDPE, LLDPE, and HDPE.</w:t>
      </w:r>
    </w:p>
    <w:p w14:paraId="03BE925D" w14:textId="462E6F83" w:rsidR="00523C94" w:rsidRPr="00E10B6E" w:rsidRDefault="00523C94" w:rsidP="00523C94">
      <w:pPr>
        <w:pStyle w:val="Caption"/>
        <w:keepNext/>
        <w:jc w:val="both"/>
      </w:pPr>
      <w:bookmarkStart w:id="66" w:name="_Ref46354938"/>
      <w:r w:rsidRPr="00E10B6E">
        <w:t xml:space="preserve">Table </w:t>
      </w:r>
      <w:r w:rsidR="00722F9A">
        <w:fldChar w:fldCharType="begin"/>
      </w:r>
      <w:r w:rsidR="00722F9A">
        <w:instrText xml:space="preserve"> SEQ Table \* ARABIC </w:instrText>
      </w:r>
      <w:r w:rsidR="00722F9A">
        <w:fldChar w:fldCharType="separate"/>
      </w:r>
      <w:r w:rsidR="00983F73">
        <w:rPr>
          <w:noProof/>
        </w:rPr>
        <w:t>10</w:t>
      </w:r>
      <w:r w:rsidR="00722F9A">
        <w:rPr>
          <w:noProof/>
        </w:rPr>
        <w:fldChar w:fldCharType="end"/>
      </w:r>
      <w:bookmarkEnd w:id="66"/>
      <w:r w:rsidRPr="00E10B6E">
        <w:t xml:space="preserve">: Energy demand and global warming potential for the polymerisation of PP. Average values from literature </w:t>
      </w:r>
      <w:r w:rsidRPr="00E10B6E">
        <w:fldChar w:fldCharType="begin" w:fldLock="1"/>
      </w:r>
      <w:r w:rsidR="00D62573"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(PP)","type":"report"},"uris":["http://www.mendeley.com/documents/?uuid=7222b6d9-a19d-4ad9-b253-40db684d213c"]},{"id":"ITEM-2","itemData":{"author":[{"dropping-particle":"","family":"European Commission","given":"","non-dropping-particle":"","parse-names":false,"suffix":""}],"id":"ITEM-2","issued":{"date-parts":[["2007"]]},"number-of-pages":"314","title":"Reference Document on Best Available Techniques in the Production of Polymers","type":"report"},"uris":["http://www.mendeley.com/documents/?uuid=3fbd34fa-da37-4050-8d0c-198a7a84e738"]}],"mendeley":{"formattedCitation":"(European Commission, 2007; PlasticsEurope, 2014b)","plainTextFormattedCitation":"(European Commission, 2007; PlasticsEurope, 2014b)","previouslyFormattedCitation":"(European Commission, 2007; PlasticsEurope, 2014b)"},"properties":{"noteIndex":0},"schema":"https://github.com/citation-style-language/schema/raw/master/csl-citation.json"}</w:instrText>
      </w:r>
      <w:r w:rsidRPr="00E10B6E">
        <w:fldChar w:fldCharType="separate"/>
      </w:r>
      <w:r w:rsidR="00C72E3B" w:rsidRPr="00E10B6E">
        <w:rPr>
          <w:i w:val="0"/>
          <w:noProof/>
        </w:rPr>
        <w:t>(European Commission, 2007; PlasticsEurope, 2014b)</w:t>
      </w:r>
      <w:r w:rsidRPr="00E10B6E">
        <w:fldChar w:fldCharType="end"/>
      </w:r>
      <w:r w:rsidRPr="00E10B6E">
        <w:t xml:space="preserve"> and internal communication with the companies involved.</w:t>
      </w:r>
    </w:p>
    <w:tbl>
      <w:tblPr>
        <w:tblStyle w:val="TableGrid"/>
        <w:tblW w:w="9072" w:type="dxa"/>
        <w:tblLook w:val="04A0" w:firstRow="1" w:lastRow="0" w:firstColumn="1" w:lastColumn="0" w:noHBand="0" w:noVBand="1"/>
      </w:tblPr>
      <w:tblGrid>
        <w:gridCol w:w="2268"/>
        <w:gridCol w:w="2268"/>
        <w:gridCol w:w="2268"/>
        <w:gridCol w:w="2268"/>
      </w:tblGrid>
      <w:tr w:rsidR="00523C94" w:rsidRPr="00E10B6E" w14:paraId="5AA01F97" w14:textId="77777777" w:rsidTr="00523C94">
        <w:trPr>
          <w:trHeight w:val="567"/>
        </w:trPr>
        <w:tc>
          <w:tcPr>
            <w:tcW w:w="2268" w:type="dxa"/>
            <w:shd w:val="clear" w:color="auto" w:fill="4472C4" w:themeFill="accent1"/>
            <w:vAlign w:val="center"/>
          </w:tcPr>
          <w:p w14:paraId="4101ABB0" w14:textId="77777777" w:rsidR="00523C94" w:rsidRPr="00E10B6E" w:rsidRDefault="00523C94" w:rsidP="00D62573">
            <w:pPr>
              <w:jc w:val="center"/>
              <w:rPr>
                <w:b/>
                <w:bCs/>
                <w:color w:val="FFFFFF" w:themeColor="background1"/>
              </w:rPr>
            </w:pPr>
            <w:r w:rsidRPr="00E10B6E">
              <w:rPr>
                <w:b/>
                <w:bCs/>
                <w:color w:val="FFFFFF" w:themeColor="background1"/>
              </w:rPr>
              <w:t>Product</w:t>
            </w:r>
          </w:p>
        </w:tc>
        <w:tc>
          <w:tcPr>
            <w:tcW w:w="2268" w:type="dxa"/>
            <w:shd w:val="clear" w:color="auto" w:fill="4472C4" w:themeFill="accent1"/>
            <w:vAlign w:val="center"/>
          </w:tcPr>
          <w:p w14:paraId="78246339" w14:textId="77777777" w:rsidR="00523C94" w:rsidRPr="00E10B6E" w:rsidRDefault="00523C94" w:rsidP="00D62573">
            <w:pPr>
              <w:jc w:val="center"/>
              <w:rPr>
                <w:b/>
                <w:bCs/>
                <w:color w:val="FFFFFF" w:themeColor="background1"/>
              </w:rPr>
            </w:pPr>
            <w:r w:rsidRPr="00E10B6E">
              <w:rPr>
                <w:b/>
                <w:bCs/>
                <w:color w:val="FFFFFF" w:themeColor="background1"/>
              </w:rPr>
              <w:t>Electricity demand [MJ]</w:t>
            </w:r>
          </w:p>
        </w:tc>
        <w:tc>
          <w:tcPr>
            <w:tcW w:w="2268" w:type="dxa"/>
            <w:shd w:val="clear" w:color="auto" w:fill="4472C4" w:themeFill="accent1"/>
            <w:vAlign w:val="center"/>
          </w:tcPr>
          <w:p w14:paraId="26FF6BF5" w14:textId="77777777" w:rsidR="00523C94" w:rsidRPr="00E10B6E" w:rsidRDefault="00523C94" w:rsidP="00D62573">
            <w:pPr>
              <w:jc w:val="center"/>
              <w:rPr>
                <w:b/>
                <w:bCs/>
                <w:color w:val="FFFFFF" w:themeColor="background1"/>
              </w:rPr>
            </w:pPr>
            <w:r w:rsidRPr="00E10B6E">
              <w:rPr>
                <w:b/>
                <w:bCs/>
                <w:color w:val="FFFFFF" w:themeColor="background1"/>
              </w:rPr>
              <w:t>Heat demand [MJ]</w:t>
            </w:r>
          </w:p>
        </w:tc>
        <w:tc>
          <w:tcPr>
            <w:tcW w:w="2268" w:type="dxa"/>
            <w:shd w:val="clear" w:color="auto" w:fill="4472C4" w:themeFill="accent1"/>
            <w:vAlign w:val="center"/>
          </w:tcPr>
          <w:p w14:paraId="2FDD5F5C" w14:textId="3F74B70F" w:rsidR="00523C94" w:rsidRPr="00E10B6E" w:rsidRDefault="00523C94" w:rsidP="00D62573">
            <w:pPr>
              <w:jc w:val="center"/>
              <w:rPr>
                <w:b/>
                <w:bCs/>
                <w:color w:val="FFFFFF" w:themeColor="background1"/>
              </w:rPr>
            </w:pPr>
            <w:r w:rsidRPr="00E10B6E">
              <w:rPr>
                <w:b/>
                <w:bCs/>
                <w:color w:val="FFFFFF" w:themeColor="background1"/>
              </w:rPr>
              <w:t>GWP [kg CO</w:t>
            </w:r>
            <w:r w:rsidRPr="00E10B6E">
              <w:rPr>
                <w:b/>
                <w:bCs/>
                <w:color w:val="FFFFFF" w:themeColor="background1"/>
                <w:vertAlign w:val="subscript"/>
              </w:rPr>
              <w:t>2</w:t>
            </w:r>
            <w:r w:rsidR="00874810" w:rsidRPr="00E10B6E">
              <w:rPr>
                <w:b/>
                <w:bCs/>
                <w:color w:val="FFFFFF" w:themeColor="background1"/>
              </w:rPr>
              <w:t>-</w:t>
            </w:r>
            <w:r w:rsidRPr="00E10B6E">
              <w:rPr>
                <w:b/>
                <w:bCs/>
                <w:color w:val="FFFFFF" w:themeColor="background1"/>
              </w:rPr>
              <w:t>eq]</w:t>
            </w:r>
          </w:p>
        </w:tc>
      </w:tr>
      <w:tr w:rsidR="00523C94" w:rsidRPr="00E10B6E" w14:paraId="38B5525C" w14:textId="77777777" w:rsidTr="00523C94">
        <w:trPr>
          <w:trHeight w:val="567"/>
        </w:trPr>
        <w:tc>
          <w:tcPr>
            <w:tcW w:w="2268" w:type="dxa"/>
            <w:vAlign w:val="center"/>
          </w:tcPr>
          <w:p w14:paraId="4BE8D585" w14:textId="77777777" w:rsidR="00523C94" w:rsidRPr="00E10B6E" w:rsidRDefault="00523C94" w:rsidP="00D62573">
            <w:pPr>
              <w:jc w:val="center"/>
            </w:pPr>
            <w:r w:rsidRPr="00E10B6E">
              <w:t>PP (1 kg)</w:t>
            </w:r>
          </w:p>
        </w:tc>
        <w:tc>
          <w:tcPr>
            <w:tcW w:w="2268" w:type="dxa"/>
            <w:vAlign w:val="center"/>
          </w:tcPr>
          <w:p w14:paraId="3E543E36" w14:textId="77777777" w:rsidR="00523C94" w:rsidRPr="00E10B6E" w:rsidRDefault="00523C94" w:rsidP="00D62573">
            <w:pPr>
              <w:jc w:val="center"/>
            </w:pPr>
            <w:r w:rsidRPr="00E10B6E">
              <w:t>1.26</w:t>
            </w:r>
          </w:p>
        </w:tc>
        <w:tc>
          <w:tcPr>
            <w:tcW w:w="2268" w:type="dxa"/>
            <w:vAlign w:val="center"/>
          </w:tcPr>
          <w:p w14:paraId="40E370DD" w14:textId="77777777" w:rsidR="00523C94" w:rsidRPr="00E10B6E" w:rsidRDefault="00523C94" w:rsidP="00D62573">
            <w:pPr>
              <w:jc w:val="center"/>
            </w:pPr>
            <w:r w:rsidRPr="00E10B6E">
              <w:t>0.61</w:t>
            </w:r>
          </w:p>
        </w:tc>
        <w:tc>
          <w:tcPr>
            <w:tcW w:w="2268" w:type="dxa"/>
            <w:vAlign w:val="center"/>
          </w:tcPr>
          <w:p w14:paraId="706DA08E" w14:textId="77777777" w:rsidR="00523C94" w:rsidRPr="00E10B6E" w:rsidRDefault="00523C94" w:rsidP="00D62573">
            <w:pPr>
              <w:jc w:val="center"/>
            </w:pPr>
            <w:r w:rsidRPr="00E10B6E">
              <w:t>0.20</w:t>
            </w:r>
          </w:p>
        </w:tc>
      </w:tr>
    </w:tbl>
    <w:p w14:paraId="2968750B" w14:textId="2225C57C" w:rsidR="00523C94" w:rsidRPr="00E10B6E" w:rsidRDefault="00523C94" w:rsidP="00493EEA">
      <w:pPr>
        <w:jc w:val="both"/>
      </w:pPr>
      <w:r w:rsidRPr="00E10B6E">
        <w:br/>
        <w:t>If the boundaries of the life-cycle analysis are extended to the extraction of fossil and mineral resources, the production of raw materials (e.g. monomers and solvent), and the production of electricity, the primary energy demand for the production of 1 kg PP is equal to 77.9 MJ and the emissions are equal to 1.63 of CO</w:t>
      </w:r>
      <w:r w:rsidRPr="00E10B6E">
        <w:rPr>
          <w:vertAlign w:val="subscript"/>
        </w:rPr>
        <w:t>2</w:t>
      </w:r>
      <w:r w:rsidRPr="00E10B6E">
        <w:t xml:space="preserve">-eq </w:t>
      </w:r>
      <w:r w:rsidRPr="00E10B6E">
        <w:fldChar w:fldCharType="begin" w:fldLock="1"/>
      </w:r>
      <w:r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(PP)","type":"report"},"uris":["http://www.mendeley.com/documents/?uuid=7222b6d9-a19d-4ad9-b253-40db684d213c"]}],"mendeley":{"formattedCitation":"(PlasticsEurope, 2014b)","plainTextFormattedCitation":"(PlasticsEurope, 2014b)","previouslyFormattedCitation":"(PlasticsEurope, 2014b)"},"properties":{"noteIndex":0},"schema":"https://github.com/citation-style-language/schema/raw/master/csl-citation.json"}</w:instrText>
      </w:r>
      <w:r w:rsidRPr="00E10B6E">
        <w:fldChar w:fldCharType="separate"/>
      </w:r>
      <w:r w:rsidRPr="00E10B6E">
        <w:rPr>
          <w:noProof/>
        </w:rPr>
        <w:t>(PlasticsEurope, 2014b)</w:t>
      </w:r>
      <w:r w:rsidRPr="00E10B6E">
        <w:fldChar w:fldCharType="end"/>
      </w:r>
      <w:r w:rsidRPr="00E10B6E">
        <w:t xml:space="preserve">. Regarding the input materials, 1 kg of PP required 1.03 kg of monomer in 1999 </w:t>
      </w:r>
      <w:r w:rsidRPr="00E10B6E">
        <w:fldChar w:fldCharType="begin" w:fldLock="1"/>
      </w:r>
      <w:r w:rsidRPr="00E10B6E">
        <w:instrText>ADDIN CSL_CITATION {"citationItems":[{"id":"ITEM-1","itemData":{"author":[{"dropping-particle":"","family":"European Commission","given":"","non-dropping-particle":"","parse-names":false,"suffix":""}],"id":"ITEM-1","issued":{"date-parts":[["2007"]]},"number-of-pages":"314","title":"Reference Document on Best Available Techniques in the Production of Polymers","type":"report"},"uris":["http://www.mendeley.com/documents/?uuid=3fbd34fa-da37-4050-8d0c-198a7a84e738"]}],"mendeley":{"formattedCitation":"(European Commission, 2007)","plainTextFormattedCitation":"(European Commission, 2007)","previouslyFormattedCitation":"(European Commission, 2007)"},"properties":{"noteIndex":0},"schema":"https://github.com/citation-style-language/schema/raw/master/csl-citation.json"}</w:instrText>
      </w:r>
      <w:r w:rsidRPr="00E10B6E">
        <w:fldChar w:fldCharType="separate"/>
      </w:r>
      <w:r w:rsidRPr="00E10B6E">
        <w:rPr>
          <w:noProof/>
        </w:rPr>
        <w:t>(European Commission, 2007)</w:t>
      </w:r>
      <w:r w:rsidRPr="00E10B6E">
        <w:fldChar w:fldCharType="end"/>
      </w:r>
      <w:r w:rsidRPr="00E10B6E">
        <w:t xml:space="preserve"> and 1.02 kg of monomer in 2014 </w:t>
      </w:r>
      <w:r w:rsidRPr="00E10B6E">
        <w:fldChar w:fldCharType="begin" w:fldLock="1"/>
      </w:r>
      <w:r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(PP)","type":"report"},"uris":["http://www.mendeley.com/documents/?uuid=7222b6d9-a19d-4ad9-b253-40db684d213c"]}],"mendeley":{"formattedCitation":"(PlasticsEurope, 2014b)","plainTextFormattedCitation":"(PlasticsEurope, 2014b)","previouslyFormattedCitation":"(PlasticsEurope, 2014b)"},"properties":{"noteIndex":0},"schema":"https://github.com/citation-style-language/schema/raw/master/csl-citation.json"}</w:instrText>
      </w:r>
      <w:r w:rsidRPr="00E10B6E">
        <w:fldChar w:fldCharType="separate"/>
      </w:r>
      <w:r w:rsidRPr="00E10B6E">
        <w:rPr>
          <w:noProof/>
        </w:rPr>
        <w:t>(PlasticsEurope, 2014b)</w:t>
      </w:r>
      <w:r w:rsidRPr="00E10B6E">
        <w:fldChar w:fldCharType="end"/>
      </w:r>
      <w:r w:rsidRPr="00E10B6E">
        <w:t>, showing a small improvement in the efficiency of the process.</w:t>
      </w:r>
    </w:p>
    <w:p w14:paraId="03C8BD49" w14:textId="77777777" w:rsidR="00992EEB" w:rsidRPr="00E10B6E" w:rsidRDefault="00992EEB">
      <w:pPr>
        <w:rPr>
          <w:rFonts w:asciiTheme="majorHAnsi" w:eastAsiaTheme="majorEastAsia" w:hAnsiTheme="majorHAnsi" w:cstheme="majorBidi"/>
          <w:color w:val="2F5496" w:themeColor="accent1" w:themeShade="BF"/>
          <w:sz w:val="28"/>
          <w:szCs w:val="26"/>
        </w:rPr>
      </w:pPr>
      <w:bookmarkStart w:id="67" w:name="_Toc34822202"/>
      <w:r w:rsidRPr="00E10B6E">
        <w:br w:type="page"/>
      </w:r>
    </w:p>
    <w:p w14:paraId="6F356690" w14:textId="29BE4779" w:rsidR="00681C00" w:rsidRPr="00E10B6E" w:rsidRDefault="00681C00" w:rsidP="00681C00">
      <w:pPr>
        <w:pStyle w:val="Heading2"/>
      </w:pPr>
      <w:bookmarkStart w:id="68" w:name="_Toc54274803"/>
      <w:r w:rsidRPr="00E10B6E">
        <w:lastRenderedPageBreak/>
        <w:t>4</w:t>
      </w:r>
      <w:r w:rsidR="00AF6A2C" w:rsidRPr="00E10B6E">
        <w:t>.</w:t>
      </w:r>
      <w:r w:rsidR="006C508C" w:rsidRPr="00E10B6E">
        <w:t>4</w:t>
      </w:r>
      <w:r w:rsidRPr="00E10B6E">
        <w:t xml:space="preserve"> Decarbonisation options</w:t>
      </w:r>
      <w:bookmarkEnd w:id="67"/>
      <w:bookmarkEnd w:id="68"/>
    </w:p>
    <w:p w14:paraId="6EAC8C7C" w14:textId="4B8DBAD4" w:rsidR="00681C00" w:rsidRPr="00E10B6E" w:rsidRDefault="003A38F9" w:rsidP="00D44EAD">
      <w:pPr>
        <w:jc w:val="both"/>
      </w:pPr>
      <w:r w:rsidRPr="00E10B6E">
        <w:t>This section answers the fourth research question: “</w:t>
      </w:r>
      <w:r w:rsidRPr="00E10B6E">
        <w:rPr>
          <w:i/>
          <w:iCs/>
        </w:rPr>
        <w:t>Which decarbonisation options are considered as most promising by the stakeholders, and to what extent are they technically, economically, and environmentally comparable to the current technologies?”</w:t>
      </w:r>
      <w:r w:rsidR="009F1255" w:rsidRPr="00E10B6E">
        <w:t xml:space="preserve">, describing two bio-based </w:t>
      </w:r>
      <w:r w:rsidR="00D44EAD" w:rsidRPr="00E10B6E">
        <w:t xml:space="preserve">polyolefins processes and four innovative recycling technologies </w:t>
      </w:r>
      <w:r w:rsidR="00EA1E73" w:rsidRPr="00E10B6E">
        <w:t>for monomers and polymers</w:t>
      </w:r>
      <w:r w:rsidR="00D44EAD" w:rsidRPr="00E10B6E">
        <w:t>.</w:t>
      </w:r>
    </w:p>
    <w:p w14:paraId="79F73357" w14:textId="1F58B175" w:rsidR="006C508C" w:rsidRPr="00E10B6E" w:rsidRDefault="006C508C" w:rsidP="00914619">
      <w:pPr>
        <w:pStyle w:val="Heading3"/>
      </w:pPr>
      <w:bookmarkStart w:id="69" w:name="_Toc54274804"/>
      <w:r w:rsidRPr="00E10B6E">
        <w:t>4.4.1 Sugar-based olefin monomers</w:t>
      </w:r>
      <w:bookmarkEnd w:id="69"/>
    </w:p>
    <w:p w14:paraId="34BA41CA" w14:textId="02145A35" w:rsidR="00D7438D" w:rsidRPr="00E10B6E" w:rsidRDefault="00D7438D" w:rsidP="00D7438D">
      <w:pPr>
        <w:jc w:val="both"/>
      </w:pPr>
      <w:r w:rsidRPr="00E10B6E">
        <w:t xml:space="preserve">The most established way to produce ethylene (and to some extent, propylene) from bio-based sources is by dehydrating ethanol obtained through the fermentation of sugar-rich crops. The typical plant is the sugarcane, which grows mostly in Brazil (39% of the global production), India (20%), China, Thailand, Pakistan and Mexico </w:t>
      </w:r>
      <w:r w:rsidRPr="00E10B6E">
        <w:fldChar w:fldCharType="begin" w:fldLock="1"/>
      </w:r>
      <w:r w:rsidRPr="00E10B6E">
        <w:instrText>ADDIN CSL_CITATION {"citationItems":[{"id":"ITEM-1","itemData":{"URL":"http://www.fao.org/faostat/en/#data/QC","accessed":{"date-parts":[["2020","6","29"]]},"author":[{"dropping-particle":"","family":"FAOSTAT","given":"","non-dropping-particle":"","parse-names":false,"suffix":""}],"id":"ITEM-1","issued":{"date-parts":[["2018"]]},"title":"FAOSTAT - Crops","type":"webpage"},"uris":["http://www.mendeley.com/documents/?uuid=9a3e130e-cd44-31fb-868b-6a45b6ea2f6a"]}],"mendeley":{"formattedCitation":"(FAOSTAT, 2018)","plainTextFormattedCitation":"(FAOSTAT, 2018)","previouslyFormattedCitation":"(FAOSTAT, 2018)"},"properties":{"noteIndex":0},"schema":"https://github.com/citation-style-language/schema/raw/master/csl-citation.json"}</w:instrText>
      </w:r>
      <w:r w:rsidRPr="00E10B6E">
        <w:fldChar w:fldCharType="separate"/>
      </w:r>
      <w:r w:rsidRPr="00E10B6E">
        <w:rPr>
          <w:noProof/>
        </w:rPr>
        <w:t>(FAOSTAT, 2018)</w:t>
      </w:r>
      <w:r w:rsidRPr="00E10B6E">
        <w:fldChar w:fldCharType="end"/>
      </w:r>
      <w:r w:rsidRPr="00E10B6E">
        <w:t xml:space="preserve">. Braskem, the biggest chemical company in Brazil and the global leader of bio-ethanol and bio-plastics production, collects sugarcane from 65,000 hectares (about 0.2% of the total arable land in Brazil) to produces 200 </w:t>
      </w:r>
      <w:r w:rsidR="000B7C74" w:rsidRPr="00E10B6E">
        <w:t>kt</w:t>
      </w:r>
      <w:r w:rsidRPr="00E10B6E">
        <w:t xml:space="preserve"> of bio-PE every year </w:t>
      </w:r>
      <w:r w:rsidRPr="00E10B6E">
        <w:fldChar w:fldCharType="begin" w:fldLock="1"/>
      </w:r>
      <w:r w:rsidRPr="00E10B6E">
        <w:instrText>ADDIN CSL_CITATION {"citationItems":[{"id":"ITEM-1","itemData":{"URL":"http://plasticoverde.braskem.com.br/site.aspx/Frequent-Asked-Questions","accessed":{"date-parts":[["2020","6","29"]]},"author":[{"dropping-particle":"","family":"Braskem","given":"","non-dropping-particle":"","parse-names":false,"suffix":""}],"id":"ITEM-1","issued":{"date-parts":[["2020"]]},"title":"I'm green Polyethylene - Frequent Asked Questions","type":"webpage"},"uris":["http://www.mendeley.com/documents/?uuid=65d594b7-fade-3644-b16d-8a3cb3236194"]}],"mendeley":{"formattedCitation":"(Braskem, 2020)","plainTextFormattedCitation":"(Braskem, 2020)","previouslyFormattedCitation":"(Braskem, 2020)"},"properties":{"noteIndex":0},"schema":"https://github.com/citation-style-language/schema/raw/master/csl-citation.json"}</w:instrText>
      </w:r>
      <w:r w:rsidRPr="00E10B6E">
        <w:fldChar w:fldCharType="separate"/>
      </w:r>
      <w:r w:rsidRPr="00E10B6E">
        <w:rPr>
          <w:noProof/>
        </w:rPr>
        <w:t>(Braskem, 2020)</w:t>
      </w:r>
      <w:r w:rsidRPr="00E10B6E">
        <w:fldChar w:fldCharType="end"/>
      </w:r>
      <w:r w:rsidRPr="00E10B6E">
        <w:t xml:space="preserve">. As seen in Figure 25, the typical first-generation biorefinery involves the extraction of the sugarcane juice and its fermentation using microorganisms (e.g. yeast, bacteria or molds), followed by a distillation process to separate the ethanol. The leftover fibrous residue of the sugarcane, which is called bagasse, is burned in a cogeneration plant to supply the biorefinery processes and possibly produce surplus electricity </w:t>
      </w:r>
      <w:r w:rsidRPr="00E10B6E">
        <w:fldChar w:fldCharType="begin" w:fldLock="1"/>
      </w:r>
      <w:r w:rsidRPr="00E10B6E">
        <w:instrText>ADDIN CSL_CITATION {"citationItems":[{"id":"ITEM-1","itemData":{"URL":"https://polymerinnovationblog.com/bio-based-polypropylene-multiple-synthetic-routes-under-investigation/","accessed":{"date-parts":[["2020","6","29"]]},"author":[{"dropping-particle":"","family":"Gotro","given":"Jeffrey","non-dropping-particle":"","parse-names":false,"suffix":""}],"container-title":"Polymer Innovation Blog","id":"ITEM-1","issued":{"date-parts":[["2013","4","30"]]},"title":"Bio-Based Polypropylene; Multiple Synthetic Routes Under Investigation","type":"webpage"},"uris":["http://www.mendeley.com/documents/?uuid=d89331f8-601d-3d9b-bd51-35eecb5106d0"]},{"id":"ITEM-2","itemData":{"URL":"http://plasticoverde.braskem.com.br/site.aspx/Frequent-Asked-Questions","accessed":{"date-parts":[["2020","6","29"]]},"author":[{"dropping-particle":"","family":"Braskem","given":"","non-dropping-particle":"","parse-names":false,"suffix":""}],"id":"ITEM-2","issued":{"date-parts":[["2020"]]},"title":"I'm green Polyethylene - Frequent Asked Questions","type":"webpage"},"uris":["http://www.mendeley.com/documents/?uuid=65d594b7-fade-3644-b16d-8a3cb3236194"]}],"mendeley":{"formattedCitation":"(Braskem, 2020; Gotro, 2013)","plainTextFormattedCitation":"(Braskem, 2020; Gotro, 2013)","previouslyFormattedCitation":"(Braskem, 2020; Gotro, 2013)"},"properties":{"noteIndex":0},"schema":"https://github.com/citation-style-language/schema/raw/master/csl-citation.json"}</w:instrText>
      </w:r>
      <w:r w:rsidRPr="00E10B6E">
        <w:fldChar w:fldCharType="separate"/>
      </w:r>
      <w:r w:rsidRPr="00E10B6E">
        <w:rPr>
          <w:noProof/>
        </w:rPr>
        <w:t>(Braskem, 2020; Gotro, 2013)</w:t>
      </w:r>
      <w:r w:rsidRPr="00E10B6E">
        <w:fldChar w:fldCharType="end"/>
      </w:r>
      <w:r w:rsidRPr="00E10B6E">
        <w:t>.</w:t>
      </w:r>
    </w:p>
    <w:p w14:paraId="687AC3DD" w14:textId="77777777" w:rsidR="00D7438D" w:rsidRPr="00E10B6E" w:rsidRDefault="00D7438D" w:rsidP="00D7438D">
      <w:pPr>
        <w:keepNext/>
        <w:jc w:val="both"/>
      </w:pPr>
      <w:r w:rsidRPr="00E10B6E">
        <w:rPr>
          <w:noProof/>
        </w:rPr>
        <w:drawing>
          <wp:inline distT="0" distB="0" distL="0" distR="0" wp14:anchorId="352C1D80" wp14:editId="53B02B27">
            <wp:extent cx="5760000" cy="1697395"/>
            <wp:effectExtent l="0" t="0" r="0" b="0"/>
            <wp:docPr id="12330554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1697395"/>
                    </a:xfrm>
                    <a:prstGeom prst="rect">
                      <a:avLst/>
                    </a:prstGeom>
                  </pic:spPr>
                </pic:pic>
              </a:graphicData>
            </a:graphic>
          </wp:inline>
        </w:drawing>
      </w:r>
    </w:p>
    <w:p w14:paraId="48B8DB30" w14:textId="77B0BC9E" w:rsidR="00D7438D" w:rsidRPr="00E10B6E" w:rsidRDefault="00D7438D" w:rsidP="00D7438D">
      <w:pPr>
        <w:pStyle w:val="Caption"/>
        <w:jc w:val="both"/>
      </w:pPr>
      <w:r w:rsidRPr="00E10B6E">
        <w:t xml:space="preserve">Figure </w:t>
      </w:r>
      <w:r w:rsidR="00722F9A">
        <w:fldChar w:fldCharType="begin"/>
      </w:r>
      <w:r w:rsidR="00722F9A">
        <w:instrText xml:space="preserve"> SEQ Figure \* ARABIC </w:instrText>
      </w:r>
      <w:r w:rsidR="00722F9A">
        <w:fldChar w:fldCharType="separate"/>
      </w:r>
      <w:r w:rsidR="00983F73">
        <w:rPr>
          <w:noProof/>
        </w:rPr>
        <w:t>27</w:t>
      </w:r>
      <w:r w:rsidR="00722F9A">
        <w:rPr>
          <w:noProof/>
        </w:rPr>
        <w:fldChar w:fldCharType="end"/>
      </w:r>
      <w:r w:rsidRPr="00E10B6E">
        <w:t xml:space="preserve">: Process steps of bio-ethylene production, including the amounts of sugarcane necessary to produce 1 kg of final product. Made with information from </w:t>
      </w:r>
      <w:r w:rsidRPr="00E10B6E">
        <w:fldChar w:fldCharType="begin" w:fldLock="1"/>
      </w:r>
      <w:r w:rsidRPr="00E10B6E">
        <w:instrText>ADDIN CSL_CITATION {"citationItems":[{"id":"ITEM-1","itemData":{"author":[{"dropping-particle":"","family":"Braskem","given":"","non-dropping-particle":"","parse-names":false,"suffix":""}],"id":"ITEM-1","issued":{"date-parts":[["2017"]]},"title":"I'm green™ PE Life Cycle Assessment","type":"report"},"uris":["http://www.mendeley.com/documents/?uuid=7be430d2-1687-34b8-a9fe-fce6221cc56c"]},{"id":"ITEM-2","itemData":{"URL":"http://plasticoverde.braskem.com.br/site.aspx/Frequent-Asked-Questions","accessed":{"date-parts":[["2020","6","29"]]},"author":[{"dropping-particle":"","family":"Braskem","given":"","non-dropping-particle":"","parse-names":false,"suffix":""}],"id":"ITEM-2","issued":{"date-parts":[["2020"]]},"title":"I'm green Polyethylene - Frequent Asked Questions","type":"webpage"},"uris":["http://www.mendeley.com/documents/?uuid=65d594b7-fade-3644-b16d-8a3cb3236194"]},{"id":"ITEM-3","itemData":{"DOI":"10.1002/bbb.1674","ISSN":"1932104X","abstract":"This paper presents a techno-economic evaluation of potential Greenfield projects of integrated first- and second-generation sugarcane biorefineries, in which ethanol is converted to bio-based propylene through metathesis of ethylene with 2-butene. Two scenarios were tested, considering improvements both in first- and second-generation ethanol production: with and without pentoses fermentation, which increases the amount of ethanol produced. The viability of the proposed propylene production facility was studied through Minimum Bio-Propylene Selling Price (MBSP), and sensitivity and risk analysis were performed. Results show that, compared to the average propylene prices in recent years, the MBSP (based on the average estimates) would be no more than 85-90% higher than the price of the conventional fossil-fuel based product. In addition, three aspects were further assessed: (i) scaling of production plants, (ii) learning effects, and (iii) policies that would result lower capital costs. The results show that the cumulative effect would lead a substantial reduction of the MBSP, leading to a competitive price of 1347 US$/t. © 2016 Society of Chemical Industry and John Wiley &amp; Sons, Ltd.","author":[{"dropping-particle":"","family":"Machado","given":"Pedro Gerber","non-dropping-particle":"","parse-names":false,"suffix":""},{"dropping-particle":"","family":"Walter","given":"Arnaldo","non-dropping-particle":"","parse-names":false,"suffix":""},{"dropping-particle":"","family":"Cunha","given":"Marcelo","non-dropping-particle":"","parse-names":false,"suffix":""}],"container-title":"Biofuels, Bioproducts and Biorefining","id":"ITEM-3","issue":"5","issued":{"date-parts":[["2016","9","1"]]},"page":"623-633","publisher":"John Wiley and Sons Ltd","title":"Bio-based propylene production in a sugarcane biorefinery: A techno-economic evaluation for Brazilian conditions","type":"article-journal","volume":"10"},"uris":["http://www.mendeley.com/documents/?uuid=2b78473c-785f-334c-8e3b-7ebd94b19c37"]},{"id":"ITEM-4","itemData":{"URL":"https://polymerinnovationblog.com/bio-based-polypropylene-multiple-synthetic-routes-under-investigation/","accessed":{"date-parts":[["2020","6","29"]]},"author":[{"dropping-particle":"","family":"Gotro","given":"Jeffrey","non-dropping-particle":"","parse-names":false,"suffix":""}],"container-title":"Polymer Innovation Blog","id":"ITEM-4","issued":{"date-parts":[["2013","4","30"]]},"title":"Bio-Based Polypropylene; Multiple Synthetic Routes Under Investigation","type":"webpage"},"uris":["http://www.mendeley.com/documents/?uuid=d89331f8-601d-3d9b-bd51-35eecb5106d0"]}],"mendeley":{"formattedCitation":"(Braskem, 2017, 2020; Gotro, 2013; Machado et al., 2016)","plainTextFormattedCitation":"(Braskem, 2017, 2020; Gotro, 2013; Machado et al., 2016)","previouslyFormattedCitation":"(Braskem, 2017, 2020; Gotro, 2013; Machado et al., 2016)"},"properties":{"noteIndex":0},"schema":"https://github.com/citation-style-language/schema/raw/master/csl-citation.json"}</w:instrText>
      </w:r>
      <w:r w:rsidRPr="00E10B6E">
        <w:fldChar w:fldCharType="separate"/>
      </w:r>
      <w:r w:rsidRPr="00E10B6E">
        <w:rPr>
          <w:i w:val="0"/>
          <w:noProof/>
        </w:rPr>
        <w:t>(Braskem, 2017, 2020; Gotro, 2013; Machado et al., 2016)</w:t>
      </w:r>
      <w:r w:rsidRPr="00E10B6E">
        <w:fldChar w:fldCharType="end"/>
      </w:r>
      <w:r w:rsidRPr="00E10B6E">
        <w:t>.</w:t>
      </w:r>
    </w:p>
    <w:p w14:paraId="76BD9B79" w14:textId="3DC03A3A" w:rsidR="00D7438D" w:rsidRPr="00E10B6E" w:rsidRDefault="00D7438D" w:rsidP="00D7438D">
      <w:pPr>
        <w:jc w:val="both"/>
      </w:pPr>
      <w:r w:rsidRPr="00E10B6E">
        <w:t xml:space="preserve">The dehydration process is an endothermic chemical reaction, and it is usually carried out by heating the ethanol to 300-500°C together with a catalyst (e.g. concentrated sulfuric acid or activated alumina) in a fluidised bed reactor, causing the separation of bio-ethylene and water </w:t>
      </w:r>
      <w:r w:rsidRPr="00E10B6E">
        <w:fldChar w:fldCharType="begin" w:fldLock="1"/>
      </w:r>
      <w:r w:rsidR="004E2E26" w:rsidRPr="00E10B6E">
        <w:instrText>ADDIN CSL_CITATION {"citationItems":[{"id":"ITEM-1","itemData":{"DOI":"10.1021/ie401157c","ISSN":"08885885","abstract":"This article is an up-to-date review of the literature available on the subject of ethanol to ethylene. The process of ethanol to ethylene has broad development prospects. Compared with the process of petroleum to ethylene, ethanol dehydration to ethylene is economically feasible. Researchers have been redirecting their interest to the ethylene production process, catalysts, and reaction mechanisms. A fluidized bed reactor, together with a wear-resistant, efficient, and stable catalyst will be the focus of future research that includes a deep understanding of the large-scale activated alumina catalyst and the molecular sieve catalyst used, and will promote the development of the ethanol dehydration to ethylene process and provide strong support for the market competiveness of the process. © 2013 American Chemical Society.","author":[{"dropping-particle":"","family":"Zhang","given":"Minhua","non-dropping-particle":"","parse-names":false,"suffix":""},{"dropping-particle":"","family":"Yu","given":"Yingzhe","non-dropping-particle":"","parse-names":false,"suffix":""}],"container-title":"Industrial and Engineering Chemistry Research","id":"ITEM-1","issue":"28","issued":{"date-parts":[["2013","7","17"]]},"page":"9505-9514","publisher":"American Chemical Society","title":"Dehydration of ethanol to ethylene","type":"article-journal","volume":"52"},"uris":["http://www.mendeley.com/documents/?uuid=a5f61795-406f-3cc3-91f1-eb4a5dc84563"]},{"id":"ITEM-2","itemData":{"DOI":"10.1002/cben.201600025","ISSN":"21969744","abstract":"Manufacturing of bioethylene via dehydration of bioethanol is an alternative to the fossil-based ethylene production and decreases the environmental consequences for this chemical commodity. A few industrial plants that utilize 1st generation bioethanol for the bioethylene production already exist, although not functioning without subsidiaries. However, there is still no process producing ethylene from 2nd generation bioethanol. This study is divided into two parts. Different ethanol and ethylene production methods, the process specifications and current technologies are briefly discussed in the first part. In the second part, a techno-economic analysis of a bioethylene plant was performed using Aspen plus and Aspen Process Economic Analyzer, where different qualities of ethanol were considered. The results show that i purities in the ethanol feed have no significant effect on the quality of the produced polymer-grade bioethylene. The capacity of the ethylene storage tank significantly affects the capital costs of the process.","author":[{"dropping-particle":"","family":"Mohsenzadeh","given":"Abas","non-dropping-particle":"","parse-names":false,"suffix":""},{"dropping-particle":"","family":"Zamani","given":"Akram","non-dropping-particle":"","parse-names":false,"suffix":""},{"dropping-particle":"","family":"Taherzadeh","given":"Mohammad J.","non-dropping-particle":"","parse-names":false,"suffix":""}],"container-title":"ChemBioEng Reviews","id":"ITEM-2","issue":"2","issued":{"date-parts":[["2017","4","1"]]},"page":"75-91","publisher":"Wiley","title":"Bioethylene Production from Ethanol: A Review and Techno-economical Evaluation","type":"article-journal","volume":"4"},"uris":["http://www.mendeley.com/documents/?uuid=df04302d-2045-3bed-8fd6-26b6fe69f416"]}],"mendeley":{"formattedCitation":"(Mohsenzadeh et al., 2017; M. Zhang &amp; Yu, 2013)","plainTextFormattedCitation":"(Mohsenzadeh et al., 2017; M. Zhang &amp; Yu, 2013)","previouslyFormattedCitation":"(Mohsenzadeh et al., 2017; M. Zhang &amp; Yu, 2013)"},"properties":{"noteIndex":0},"schema":"https://github.com/citation-style-language/schema/raw/master/csl-citation.json"}</w:instrText>
      </w:r>
      <w:r w:rsidRPr="00E10B6E">
        <w:fldChar w:fldCharType="separate"/>
      </w:r>
      <w:r w:rsidR="00966C5A" w:rsidRPr="00E10B6E">
        <w:rPr>
          <w:noProof/>
        </w:rPr>
        <w:t>(Mohsenzadeh et al., 2017; M. Zhang &amp; Yu, 2013)</w:t>
      </w:r>
      <w:r w:rsidRPr="00E10B6E">
        <w:fldChar w:fldCharType="end"/>
      </w:r>
      <w:r w:rsidRPr="00E10B6E">
        <w:t xml:space="preserve">. </w:t>
      </w:r>
      <w:r w:rsidRPr="00E10B6E">
        <w:fldChar w:fldCharType="begin"/>
      </w:r>
      <w:r w:rsidRPr="00E10B6E">
        <w:instrText xml:space="preserve"> REF _Ref46348793 \h </w:instrText>
      </w:r>
      <w:r w:rsidRPr="00E10B6E">
        <w:fldChar w:fldCharType="separate"/>
      </w:r>
      <w:r w:rsidR="00983F73" w:rsidRPr="00E10B6E">
        <w:t xml:space="preserve">Figure </w:t>
      </w:r>
      <w:r w:rsidR="00983F73">
        <w:rPr>
          <w:noProof/>
        </w:rPr>
        <w:t>28</w:t>
      </w:r>
      <w:r w:rsidRPr="00E10B6E">
        <w:fldChar w:fldCharType="end"/>
      </w:r>
      <w:r w:rsidRPr="00E10B6E">
        <w:t xml:space="preserve"> shows the dehydration process, while the chemical reaction happening inside the reactor is C</w:t>
      </w:r>
      <w:r w:rsidRPr="00E10B6E">
        <w:rPr>
          <w:vertAlign w:val="subscript"/>
        </w:rPr>
        <w:t>2</w:t>
      </w:r>
      <w:r w:rsidRPr="00E10B6E">
        <w:t>H</w:t>
      </w:r>
      <w:r w:rsidRPr="00E10B6E">
        <w:rPr>
          <w:vertAlign w:val="subscript"/>
        </w:rPr>
        <w:t>5</w:t>
      </w:r>
      <w:r w:rsidRPr="00E10B6E">
        <w:t xml:space="preserve">OH </w:t>
      </w:r>
      <w:r w:rsidRPr="00E10B6E">
        <w:rPr>
          <w:rFonts w:ascii="Wingdings" w:eastAsia="Wingdings" w:hAnsi="Wingdings" w:cs="Wingdings"/>
        </w:rPr>
        <w:t>à</w:t>
      </w:r>
      <w:r w:rsidRPr="00E10B6E">
        <w:t xml:space="preserve"> C</w:t>
      </w:r>
      <w:r w:rsidRPr="00E10B6E">
        <w:rPr>
          <w:vertAlign w:val="subscript"/>
        </w:rPr>
        <w:t>2</w:t>
      </w:r>
      <w:r w:rsidRPr="00E10B6E">
        <w:t>H</w:t>
      </w:r>
      <w:r w:rsidRPr="00E10B6E">
        <w:rPr>
          <w:vertAlign w:val="subscript"/>
        </w:rPr>
        <w:t>4</w:t>
      </w:r>
      <w:r w:rsidRPr="00E10B6E">
        <w:t xml:space="preserve"> + H</w:t>
      </w:r>
      <w:r w:rsidRPr="00E10B6E">
        <w:rPr>
          <w:vertAlign w:val="subscript"/>
        </w:rPr>
        <w:t>2</w:t>
      </w:r>
      <w:r w:rsidRPr="00E10B6E">
        <w:t xml:space="preserve">O. </w:t>
      </w:r>
    </w:p>
    <w:p w14:paraId="6DF8B805" w14:textId="77777777" w:rsidR="00D7438D" w:rsidRPr="00E10B6E" w:rsidRDefault="00D7438D" w:rsidP="00D7438D">
      <w:pPr>
        <w:keepNext/>
      </w:pPr>
      <w:r w:rsidRPr="00E10B6E">
        <w:rPr>
          <w:noProof/>
        </w:rPr>
        <w:lastRenderedPageBreak/>
        <w:drawing>
          <wp:inline distT="0" distB="0" distL="0" distR="0" wp14:anchorId="27B12E0B" wp14:editId="257E92FC">
            <wp:extent cx="5760000" cy="2319849"/>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duotone>
                        <a:schemeClr val="accent1">
                          <a:shade val="45000"/>
                          <a:satMod val="135000"/>
                        </a:schemeClr>
                        <a:prstClr val="white"/>
                      </a:duotone>
                      <a:extLst>
                        <a:ext uri="{BEBA8EAE-BF5A-486C-A8C5-ECC9F3942E4B}">
                          <a14:imgProps xmlns:a14="http://schemas.microsoft.com/office/drawing/2010/main">
                            <a14:imgLayer r:embed="rId6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2319849"/>
                    </a:xfrm>
                    <a:prstGeom prst="rect">
                      <a:avLst/>
                    </a:prstGeom>
                    <a:noFill/>
                    <a:ln>
                      <a:noFill/>
                    </a:ln>
                  </pic:spPr>
                </pic:pic>
              </a:graphicData>
            </a:graphic>
          </wp:inline>
        </w:drawing>
      </w:r>
    </w:p>
    <w:p w14:paraId="79B879F8" w14:textId="7BDB3504" w:rsidR="00D7438D" w:rsidRPr="00E10B6E" w:rsidRDefault="00D7438D" w:rsidP="00D7438D">
      <w:pPr>
        <w:pStyle w:val="Caption"/>
      </w:pPr>
      <w:bookmarkStart w:id="70" w:name="_Ref46348793"/>
      <w:r w:rsidRPr="00E10B6E">
        <w:t xml:space="preserve">Figure </w:t>
      </w:r>
      <w:r w:rsidR="00722F9A">
        <w:fldChar w:fldCharType="begin"/>
      </w:r>
      <w:r w:rsidR="00722F9A">
        <w:instrText xml:space="preserve"> SEQ Figure \* ARABIC </w:instrText>
      </w:r>
      <w:r w:rsidR="00722F9A">
        <w:fldChar w:fldCharType="separate"/>
      </w:r>
      <w:r w:rsidR="00983F73">
        <w:rPr>
          <w:noProof/>
        </w:rPr>
        <w:t>28</w:t>
      </w:r>
      <w:r w:rsidR="00722F9A">
        <w:rPr>
          <w:noProof/>
        </w:rPr>
        <w:fldChar w:fldCharType="end"/>
      </w:r>
      <w:bookmarkEnd w:id="70"/>
      <w:r w:rsidRPr="00E10B6E">
        <w:t xml:space="preserve">: Dehydration process of ethanol to ethylene </w:t>
      </w:r>
      <w:r w:rsidRPr="00E10B6E">
        <w:fldChar w:fldCharType="begin" w:fldLock="1"/>
      </w:r>
      <w:r w:rsidR="004E2E26" w:rsidRPr="00E10B6E">
        <w:instrText>ADDIN CSL_CITATION {"citationItems":[{"id":"ITEM-1","itemData":{"DOI":"10.1021/ie401157c","ISSN":"08885885","abstract":"This article is an up-to-date review of the literature available on the subject of ethanol to ethylene. The process of ethanol to ethylene has broad development prospects. Compared with the process of petroleum to ethylene, ethanol dehydration to ethylene is economically feasible. Researchers have been redirecting their interest to the ethylene production process, catalysts, and reaction mechanisms. A fluidized bed reactor, together with a wear-resistant, efficient, and stable catalyst will be the focus of future research that includes a deep understanding of the large-scale activated alumina catalyst and the molecular sieve catalyst used, and will promote the development of the ethanol dehydration to ethylene process and provide strong support for the market competiveness of the process. © 2013 American Chemical Society.","author":[{"dropping-particle":"","family":"Zhang","given":"Minhua","non-dropping-particle":"","parse-names":false,"suffix":""},{"dropping-particle":"","family":"Yu","given":"Yingzhe","non-dropping-particle":"","parse-names":false,"suffix":""}],"container-title":"Industrial and Engineering Chemistry Research","id":"ITEM-1","issue":"28","issued":{"date-parts":[["2013","7","17"]]},"page":"9505-9514","publisher":"American Chemical Society","title":"Dehydration of ethanol to ethylene","type":"article-journal","volume":"52"},"uris":["http://www.mendeley.com/documents/?uuid=a5f61795-406f-3cc3-91f1-eb4a5dc84563"]}],"mendeley":{"formattedCitation":"(M. Zhang &amp; Yu, 2013)","plainTextFormattedCitation":"(M. Zhang &amp; Yu, 2013)","previouslyFormattedCitation":"(M. Zhang &amp; Yu, 2013)"},"properties":{"noteIndex":0},"schema":"https://github.com/citation-style-language/schema/raw/master/csl-citation.json"}</w:instrText>
      </w:r>
      <w:r w:rsidRPr="00E10B6E">
        <w:fldChar w:fldCharType="separate"/>
      </w:r>
      <w:r w:rsidR="00966C5A" w:rsidRPr="00E10B6E">
        <w:rPr>
          <w:i w:val="0"/>
          <w:noProof/>
        </w:rPr>
        <w:t>(M. Zhang &amp; Yu, 2013)</w:t>
      </w:r>
      <w:r w:rsidRPr="00E10B6E">
        <w:fldChar w:fldCharType="end"/>
      </w:r>
      <w:r w:rsidRPr="00E10B6E">
        <w:t>.</w:t>
      </w:r>
    </w:p>
    <w:p w14:paraId="154490FA" w14:textId="53CBCB59" w:rsidR="00B645A5" w:rsidRPr="00E10B6E" w:rsidRDefault="00B645A5" w:rsidP="00B645A5">
      <w:pPr>
        <w:jc w:val="both"/>
      </w:pPr>
      <w:r w:rsidRPr="00E10B6E">
        <w:t xml:space="preserve">Although the production of bio-ethanol and the de-hydration into ethylene have an energy consumption comparable to the production of ethylene from naphtha cracking </w:t>
      </w:r>
      <w:r w:rsidRPr="00E10B6E">
        <w:fldChar w:fldCharType="begin" w:fldLock="1"/>
      </w:r>
      <w:r w:rsidRPr="00E10B6E">
        <w:instrText>ADDIN CSL_CITATION {"citationItems":[{"id":"ITEM-1","itemData":{"DOI":"10.1007/s13203-013-0029-7","ISSN":"2190-5525","abstract":"Quantitative cradle-to-gate environmental impacts for ethylene production from naphtha (petroleum crude), ethane (natural gas) and ethanol (corn-based) are predicted using GaBi® software. A comparison reveals that the majority of the predicted environmental impacts for these feedstocks fall within the same order of magnitude. Soil and water pollution associated with corn-based ethylene are however much higher. The main causative factor for greenhouse gas emissions, acidification and air pollution is the burning of fossil-based fuel for agricultural operations, production of fertilizers and pesticides needed for cultivation (in the case of ethanol), ocean-based transportation (for naphtha) and the chemical processing steps (for all feedstocks). An assessment of the environmental impacts of different energy sources (coal, natural gas and fuel oil) reveals almost similar carbon footprints for all the fossil fuels used to produce a given quantity of energy. For most of the environmental impact categories, the GaBi® software reliably predicts the qualitative trends. The predicted emissions agree well with the actual emissions data reported by a coal-based power plant (Lawrence Energy Center, Lawrence, KS) and a natural gas-based power plant (Astoria Generating Station, Queens, NY) to the United States Environmental Protection Agency. The analysis shows that for ethylene production, fuel burning at the power plant to produce energy is by far the dominant source (78--93 % depending on the fuel source) of adverse environmental impacts.","author":[{"dropping-particle":"","family":"Ghanta","given":"Madhav","non-dropping-particle":"","parse-names":false,"suffix":""},{"dropping-particle":"","family":"Fahey","given":"Darryl","non-dropping-particle":"","parse-names":false,"suffix":""},{"dropping-particle":"","family":"Subramaniam","given":"Bala","non-dropping-particle":"","parse-names":false,"suffix":""}],"container-title":"Applied Petrochemical Research","id":"ITEM-1","issue":"2","issued":{"date-parts":[["2014","6","23"]]},"page":"167-179","publisher":"Springer Science and Business Media LLC","title":"Environmental impacts of ethylene production from diverse feedstocks and energy sources","type":"article-journal","volume":"4"},"uris":["http://www.mendeley.com/documents/?uuid=a476eeb4-e2a9-3967-9156-249a8a5f6782"]}],"mendeley":{"formattedCitation":"(Ghanta et al., 2014)","plainTextFormattedCitation":"(Ghanta et al., 2014)","previouslyFormattedCitation":"(Ghanta et al., 2014)"},"properties":{"noteIndex":0},"schema":"https://github.com/citation-style-language/schema/raw/master/csl-citation.json"}</w:instrText>
      </w:r>
      <w:r w:rsidRPr="00E10B6E">
        <w:fldChar w:fldCharType="separate"/>
      </w:r>
      <w:r w:rsidRPr="00E10B6E">
        <w:rPr>
          <w:noProof/>
        </w:rPr>
        <w:t>(Ghanta et al., 2014)</w:t>
      </w:r>
      <w:r w:rsidRPr="00E10B6E">
        <w:fldChar w:fldCharType="end"/>
      </w:r>
      <w:r w:rsidRPr="00E10B6E">
        <w:t>, the absorption of CO</w:t>
      </w:r>
      <w:r w:rsidRPr="00E10B6E">
        <w:rPr>
          <w:vertAlign w:val="subscript"/>
        </w:rPr>
        <w:t>2</w:t>
      </w:r>
      <w:r w:rsidRPr="00E10B6E">
        <w:t xml:space="preserve"> during the growth of the crops makes bio-based polyethylene (bio-PE) significantly better than his fossil counterpart when fighting climate change. Moreover, most of the energy necessary for the fermentation and distillation of the bio-ethanol can be produced through on-site cogeneration using the sugarcane bagasse as fuel, thus making the production process less reliant on fossil fuels </w:t>
      </w:r>
      <w:r w:rsidRPr="00E10B6E">
        <w:fldChar w:fldCharType="begin" w:fldLock="1"/>
      </w:r>
      <w:r w:rsidRPr="00E10B6E">
        <w:instrText>ADDIN CSL_CITATION {"citationItems":[{"id":"ITEM-1","itemData":{"DOI":"10.1002/bbb.1674","ISSN":"1932104X","abstract":"This paper presents a techno-economic evaluation of potential Greenfield projects of integrated first- and second-generation sugarcane biorefineries, in which ethanol is converted to bio-based propylene through metathesis of ethylene with 2-butene. Two scenarios were tested, considering improvements both in first- and second-generation ethanol production: with and without pentoses fermentation, which increases the amount of ethanol produced. The viability of the proposed propylene production facility was studied through Minimum Bio-Propylene Selling Price (MBSP), and sensitivity and risk analysis were performed. Results show that, compared to the average propylene prices in recent years, the MBSP (based on the average estimates) would be no more than 85-90% higher than the price of the conventional fossil-fuel based product. In addition, three aspects were further assessed: (i) scaling of production plants, (ii) learning effects, and (iii) policies that would result lower capital costs. The results show that the cumulative effect would lead a substantial reduction of the MBSP, leading to a competitive price of 1347 US$/t. © 2016 Society of Chemical Industry and John Wiley &amp; Sons, Ltd.","author":[{"dropping-particle":"","family":"Machado","given":"Pedro Gerber","non-dropping-particle":"","parse-names":false,"suffix":""},{"dropping-particle":"","family":"Walter","given":"Arnaldo","non-dropping-particle":"","parse-names":false,"suffix":""},{"dropping-particle":"","family":"Cunha","given":"Marcelo","non-dropping-particle":"","parse-names":false,"suffix":""}],"container-title":"Biofuels, Bioproducts and Biorefining","id":"ITEM-1","issue":"5","issued":{"date-parts":[["2016","9","1"]]},"page":"623-633","publisher":"John Wiley and Sons Ltd","title":"Bio-based propylene production in a sugarcane biorefinery: A techno-economic evaluation for Brazilian conditions","type":"article-journal","volume":"10"},"uris":["http://www.mendeley.com/documents/?uuid=2b78473c-785f-334c-8e3b-7ebd94b19c37"]}],"mendeley":{"formattedCitation":"(Machado et al., 2016)","plainTextFormattedCitation":"(Machado et al., 2016)","previouslyFormattedCitation":"(Machado et al., 2016)"},"properties":{"noteIndex":0},"schema":"https://github.com/citation-style-language/schema/raw/master/csl-citation.json"}</w:instrText>
      </w:r>
      <w:r w:rsidRPr="00E10B6E">
        <w:fldChar w:fldCharType="separate"/>
      </w:r>
      <w:r w:rsidRPr="00E10B6E">
        <w:rPr>
          <w:noProof/>
        </w:rPr>
        <w:t>(Machado et al., 2016)</w:t>
      </w:r>
      <w:r w:rsidRPr="00E10B6E">
        <w:fldChar w:fldCharType="end"/>
      </w:r>
      <w:r w:rsidRPr="00E10B6E">
        <w:t>. The cradle-to-gate life-cycle analysis (LCA) of bio-ethylene, starting from the cultivation of sugarcane and ending after the polymerisation process, shows that the overall process is a net-absorber of greenhouse gases, removing 3.09 kg of CO</w:t>
      </w:r>
      <w:r w:rsidRPr="00E10B6E">
        <w:rPr>
          <w:vertAlign w:val="subscript"/>
        </w:rPr>
        <w:t>2</w:t>
      </w:r>
      <w:r w:rsidRPr="00E10B6E">
        <w:t xml:space="preserve">-eq for every kg of PE produced </w:t>
      </w:r>
      <w:r w:rsidRPr="00E10B6E">
        <w:fldChar w:fldCharType="begin" w:fldLock="1"/>
      </w:r>
      <w:r w:rsidRPr="00E10B6E">
        <w:instrText>ADDIN CSL_CITATION {"citationItems":[{"id":"ITEM-1","itemData":{"author":[{"dropping-particle":"","family":"Braskem","given":"","non-dropping-particle":"","parse-names":false,"suffix":""}],"id":"ITEM-1","issued":{"date-parts":[["2017"]]},"title":"I'm green™ PE Life Cycle Assessment","type":"report"},"uris":["http://www.mendeley.com/documents/?uuid=7be430d2-1687-34b8-a9fe-fce6221cc56c"]}],"mendeley":{"formattedCitation":"(Braskem, 2017)","plainTextFormattedCitation":"(Braskem, 2017)","previouslyFormattedCitation":"(Braskem, 2017)"},"properties":{"noteIndex":0},"schema":"https://github.com/citation-style-language/schema/raw/master/csl-citation.json"}</w:instrText>
      </w:r>
      <w:r w:rsidRPr="00E10B6E">
        <w:fldChar w:fldCharType="separate"/>
      </w:r>
      <w:r w:rsidRPr="00E10B6E">
        <w:rPr>
          <w:noProof/>
        </w:rPr>
        <w:t>(Braskem, 2017)</w:t>
      </w:r>
      <w:r w:rsidRPr="00E10B6E">
        <w:fldChar w:fldCharType="end"/>
      </w:r>
      <w:r w:rsidRPr="00E10B6E">
        <w:t>. As the LCA does not cover that gate-to-grave cycle of the plastics, the CO</w:t>
      </w:r>
      <w:r w:rsidRPr="00E10B6E">
        <w:rPr>
          <w:vertAlign w:val="subscript"/>
        </w:rPr>
        <w:t>2</w:t>
      </w:r>
      <w:r w:rsidRPr="00E10B6E">
        <w:t xml:space="preserve"> released when the plastic waste is burned for energy recovery (a common process in many European countries), is not considered. Would that be included, then 3.14 kg of CO</w:t>
      </w:r>
      <w:r w:rsidRPr="00E10B6E">
        <w:rPr>
          <w:vertAlign w:val="subscript"/>
        </w:rPr>
        <w:t>2</w:t>
      </w:r>
      <w:r w:rsidRPr="00E10B6E">
        <w:t>- would be released in the atmosphere for every kg of PE incinerated, thus yielding an almost net</w:t>
      </w:r>
      <w:r w:rsidR="00F52340" w:rsidRPr="00E10B6E">
        <w:t>-</w:t>
      </w:r>
      <w:r w:rsidRPr="00E10B6E">
        <w:t>zero carbon balance. Another LCA presents a significantly smaller value, having calculated that every kg of PE produced from bio-based sources causes the net absorption of 0.75 kg of CO</w:t>
      </w:r>
      <w:r w:rsidRPr="00E10B6E">
        <w:rPr>
          <w:vertAlign w:val="subscript"/>
        </w:rPr>
        <w:t>2</w:t>
      </w:r>
      <w:r w:rsidRPr="00E10B6E">
        <w:t>-eq from the atmosphere (Tsiropoulos et al., 2015). Even though the exact carbon balance of bio-PE varies from case to case, the benefit is still clear, especially when considering that each kg of fossil-based PE causes the emission of around 1.86 kg of CO</w:t>
      </w:r>
      <w:r w:rsidRPr="00E10B6E">
        <w:rPr>
          <w:vertAlign w:val="subscript"/>
        </w:rPr>
        <w:t>2</w:t>
      </w:r>
      <w:r w:rsidRPr="00E10B6E">
        <w:t xml:space="preserve">-eq from cradle to gate </w:t>
      </w:r>
      <w:r w:rsidRPr="00E10B6E">
        <w:fldChar w:fldCharType="begin" w:fldLock="1"/>
      </w:r>
      <w:r w:rsidRPr="00E10B6E">
        <w:instrText>ADDIN CSL_CITATION {"citationItems":[{"id":"ITEM-1","itemData":{"author":[{"dropping-particle":"","family":"PlasticsEurope","given":"","non-dropping-particle":"","parse-names":false,"suffix":""}],"id":"ITEM-1","issued":{"date-parts":[["2014"]]},"number-of-pages":"45","publisher-place":"Brussels","title":"Ecoprofiles and Environmental Product Declarations of the European Plastics Manufacturers (PP)","type":"report"},"uris":["http://www.mendeley.com/documents/?uuid=7222b6d9-a19d-4ad9-b253-40db684d213c"]}],"mendeley":{"formattedCitation":"(PlasticsEurope, 2014b)","plainTextFormattedCitation":"(PlasticsEurope, 2014b)","previouslyFormattedCitation":"(PlasticsEurope, 2014b)"},"properties":{"noteIndex":0},"schema":"https://github.com/citation-style-language/schema/raw/master/csl-citation.json"}</w:instrText>
      </w:r>
      <w:r w:rsidRPr="00E10B6E">
        <w:fldChar w:fldCharType="separate"/>
      </w:r>
      <w:r w:rsidRPr="00E10B6E">
        <w:rPr>
          <w:noProof/>
        </w:rPr>
        <w:t>(PlasticsEurope, 2014b)</w:t>
      </w:r>
      <w:r w:rsidRPr="00E10B6E">
        <w:fldChar w:fldCharType="end"/>
      </w:r>
      <w:r w:rsidRPr="00E10B6E">
        <w:t xml:space="preserve">. </w:t>
      </w:r>
    </w:p>
    <w:p w14:paraId="027A7EF2" w14:textId="6F78E1AE" w:rsidR="00B645A5" w:rsidRPr="00E10B6E" w:rsidRDefault="00B645A5" w:rsidP="00B645A5">
      <w:pPr>
        <w:jc w:val="both"/>
      </w:pPr>
      <w:r w:rsidRPr="00E10B6E">
        <w:t>Finally, one study shows that when considering the whole cradle-to-grave life cycle, each kg of bio-ethanol used as precursor for bio-PE has a net positive emission (1.3-2.0 kg of CO</w:t>
      </w:r>
      <w:r w:rsidRPr="00E10B6E">
        <w:rPr>
          <w:vertAlign w:val="subscript"/>
        </w:rPr>
        <w:t>2</w:t>
      </w:r>
      <w:r w:rsidRPr="00E10B6E">
        <w:t>-eq), which in any case is around half of the emissions caused by its fossil-based counterpart (3.7 kg of CO</w:t>
      </w:r>
      <w:r w:rsidRPr="00E10B6E">
        <w:rPr>
          <w:vertAlign w:val="subscript"/>
        </w:rPr>
        <w:t>2</w:t>
      </w:r>
      <w:r w:rsidRPr="00E10B6E">
        <w:t xml:space="preserve">-eq) </w:t>
      </w:r>
      <w:r w:rsidRPr="00E10B6E">
        <w:fldChar w:fldCharType="begin" w:fldLock="1"/>
      </w:r>
      <w:r w:rsidRPr="00E10B6E">
        <w:instrText>ADDIN CSL_CITATION {"citationItems":[{"id":"ITEM-1","itemData":{"DOI":"10.1007/s11367-013-0613-1","ISSN":"16147502","abstract":"Purpose: Bio-based products are often considered sustainable due to their renewable nature. However, the environmental performance of products needs to be assessed considering a life cycle perspective to get a complete picture of potential benefits and trade-offs. We present a life cycle assessment of the global commodity ethanol, produced from different feedstock and geographical origin. The aim is to understand the main drivers for environmental impacts in the production of bio-based ethanol as well as its relative performance compared to a fossil-based alternative. Methods: Ethanol production is assessed from cradle to gate; furthermore, end-of-life emissions are also included in order to allow a full comparison of greenhouse gas (GHG) emissions, assuming degradation of ethanol once emitted to air from household and personal care products. The functional unit is 1 kg ethanol, produced from maize grain in USA, maize stover in USA, sugarcane in North-East of Brazil and Centre-South of Brazil, and sugar beet and wheat in France. As a reference, ethanol produced from fossil ethylene in Western Europe is used. Six impact categories from the ReCiPe assessment method are considered, along with seven novel impact categories on biodiversity and ecosystem services (BES). Results and discussion: GHG emissions per kilogram bio-based ethanol range from 0.7 to 1.5 kg CO 2 eq per kg ethanol and from 1.3 to 2 kg per kg if emissions at end-of-life are included. Fossil-based ethanol involves GHG emissions of 1.3 kg CO 2 eq per kg from cradle-to-gate and 3.7 kg CO 2 eq per kg if end-of-life is included. Maize stover in USA and sugar beet in France have the lowest impact from a GHG perspective, although when other impact categories are considered trade-offs are encountered. BES impact indicators show a clear preference for fossil-based ethanol. The sensitivity analyses showed how certain methodological choices (allocation rules, land use change accounting, land use biomes), as well as some scenario choices (sugarcane harvest method, maize drying) affect the environmental performance of bio-based ethanol. Also, the uncertainty assessment showed that results for the bio-based alternatives often overlap, making it difficult to tell whether they are significantly different. Conclusions: Bio-based ethanol appears as a preferable option from a GHG perspective, but when other impacts are considered, especially those related to land use, fossil-based ethanol is preferable. A ke…","author":[{"dropping-particle":"","family":"Muñoz","given":"Ivan","non-dropping-particle":"","parse-names":false,"suffix":""},{"dropping-particle":"","family":"Flury","given":"Karin","non-dropping-particle":"","parse-names":false,"suffix":""},{"dropping-particle":"","family":"Jungbluth","given":"Niels","non-dropping-particle":"","parse-names":false,"suffix":""},{"dropping-particle":"","family":"Rigarlsford","given":"Giles","non-dropping-particle":"","parse-names":false,"suffix":""},{"dropping-particle":"","family":"Canals","given":"Llorenç Milà","non-dropping-particle":"","parse-names":false,"suffix":""},{"dropping-particle":"","family":"King","given":"Henry","non-dropping-particle":"","parse-names":false,"suffix":""}],"container-title":"International Journal of Life Cycle Assessment","id":"ITEM-1","issue":"1","issued":{"date-parts":[["2014","12","5"]]},"page":"109-119","publisher":"Springer Verlag","title":"Life cycle assessment of bio-based ethanol produced from different agricultural feedstocks","type":"article-journal","volume":"19"},"uris":["http://www.mendeley.com/documents/?uuid=c69fa451-273a-33d7-9eeb-4a216abce0f1"]}],"mendeley":{"formattedCitation":"(Muñoz et al., 2014)","plainTextFormattedCitation":"(Muñoz et al., 2014)","previouslyFormattedCitation":"(Muñoz et al., 2014)"},"properties":{"noteIndex":0},"schema":"https://github.com/citation-style-language/schema/raw/master/csl-citation.json"}</w:instrText>
      </w:r>
      <w:r w:rsidRPr="00E10B6E">
        <w:fldChar w:fldCharType="separate"/>
      </w:r>
      <w:r w:rsidRPr="00E10B6E">
        <w:rPr>
          <w:noProof/>
        </w:rPr>
        <w:t>(Muñoz et al., 2014)</w:t>
      </w:r>
      <w:r w:rsidRPr="00E10B6E">
        <w:fldChar w:fldCharType="end"/>
      </w:r>
      <w:r w:rsidRPr="00E10B6E">
        <w:t xml:space="preserve">. Seeing how great the impact of the materials end-life on GHG emissions is, it is extremely important to establish a circular economy system, which will be discussed in Section 4.4. Lastly, bio-PE has some major downsides compared to fossil-PE, namely high values of ozone and water depletion, land use, and terrestrial and aquatic eutrophication </w:t>
      </w:r>
      <w:r w:rsidRPr="00E10B6E">
        <w:fldChar w:fldCharType="begin" w:fldLock="1"/>
      </w:r>
      <w:r w:rsidRPr="00E10B6E">
        <w:instrText>ADDIN CSL_CITATION {"citationItems":[{"id":"ITEM-1","itemData":{"author":[{"dropping-particle":"","family":"Braskem","given":"","non-dropping-particle":"","parse-names":false,"suffix":""}],"id":"ITEM-1","issued":{"date-parts":[["2017"]]},"title":"I'm green™ PE Life Cycle Assessment","type":"report"},"uris":["http://www.mendeley.com/documents/?uuid=7be430d2-1687-34b8-a9fe-fce6221cc56c"]}],"mendeley":{"formattedCitation":"(Braskem, 2017)","plainTextFormattedCitation":"(Braskem, 2017)","previouslyFormattedCitation":"(Braskem, 2017)"},"properties":{"noteIndex":0},"schema":"https://github.com/citation-style-language/schema/raw/master/csl-citation.json"}</w:instrText>
      </w:r>
      <w:r w:rsidRPr="00E10B6E">
        <w:fldChar w:fldCharType="separate"/>
      </w:r>
      <w:r w:rsidRPr="00E10B6E">
        <w:rPr>
          <w:noProof/>
        </w:rPr>
        <w:t>(Braskem, 2017)</w:t>
      </w:r>
      <w:r w:rsidRPr="00E10B6E">
        <w:fldChar w:fldCharType="end"/>
      </w:r>
      <w:r w:rsidRPr="00E10B6E">
        <w:t xml:space="preserve">, making necessary to evaluate the sustainability of each case and to carry out a multi-criteria environmental analysis assigning a weight to the different impacts on the local ecosystem and society. A comparison of fossil-based PE and bio-PE from sugarcane can be observed in </w:t>
      </w:r>
      <w:r w:rsidRPr="00E10B6E">
        <w:fldChar w:fldCharType="begin"/>
      </w:r>
      <w:r w:rsidRPr="00E10B6E">
        <w:instrText xml:space="preserve"> REF _Ref46348809 \h </w:instrText>
      </w:r>
      <w:r w:rsidRPr="00E10B6E">
        <w:fldChar w:fldCharType="separate"/>
      </w:r>
      <w:r w:rsidR="00983F73" w:rsidRPr="00E10B6E">
        <w:t xml:space="preserve">Figure </w:t>
      </w:r>
      <w:r w:rsidR="00983F73">
        <w:rPr>
          <w:noProof/>
        </w:rPr>
        <w:t>29</w:t>
      </w:r>
      <w:r w:rsidR="00983F73" w:rsidRPr="00E10B6E">
        <w:t xml:space="preserve">: Comparison of the cradle-to-gate environmental impact of fossil-based PE and sugarcane-based PE. Normalised values extracted from </w:t>
      </w:r>
      <w:r w:rsidR="00983F73" w:rsidRPr="00E10B6E">
        <w:rPr>
          <w:i/>
          <w:iCs/>
          <w:noProof/>
        </w:rPr>
        <w:t>(Braskem, 2017)</w:t>
      </w:r>
      <w:r w:rsidR="00983F73" w:rsidRPr="00E10B6E">
        <w:t xml:space="preserve">. </w:t>
      </w:r>
      <w:r w:rsidRPr="00E10B6E">
        <w:fldChar w:fldCharType="end"/>
      </w:r>
      <w:r w:rsidRPr="00E10B6E">
        <w:t>.</w:t>
      </w:r>
    </w:p>
    <w:p w14:paraId="3064BF44" w14:textId="77777777" w:rsidR="00B645A5" w:rsidRPr="00E10B6E" w:rsidRDefault="00B645A5" w:rsidP="00B645A5">
      <w:pPr>
        <w:jc w:val="both"/>
      </w:pPr>
    </w:p>
    <w:p w14:paraId="240A53C5" w14:textId="77777777" w:rsidR="00B645A5" w:rsidRPr="00E10B6E" w:rsidRDefault="00B645A5" w:rsidP="00B645A5">
      <w:pPr>
        <w:keepNext/>
        <w:jc w:val="both"/>
      </w:pPr>
      <w:r w:rsidRPr="00E10B6E">
        <w:rPr>
          <w:noProof/>
        </w:rPr>
        <w:lastRenderedPageBreak/>
        <w:drawing>
          <wp:inline distT="0" distB="0" distL="0" distR="0" wp14:anchorId="1B6D5BEC" wp14:editId="5670E82F">
            <wp:extent cx="5759450" cy="2733675"/>
            <wp:effectExtent l="0" t="0" r="12700" b="9525"/>
            <wp:docPr id="31" name="Chart 31">
              <a:extLst xmlns:a="http://schemas.openxmlformats.org/drawingml/2006/main">
                <a:ext uri="{FF2B5EF4-FFF2-40B4-BE49-F238E27FC236}">
                  <a16:creationId xmlns:a16="http://schemas.microsoft.com/office/drawing/2014/main" id="{79595701-94CB-4CA8-B9F4-305A46C39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B3C82A9" w14:textId="5B791018" w:rsidR="00B645A5" w:rsidRPr="00E10B6E" w:rsidRDefault="00B645A5" w:rsidP="00B645A5">
      <w:pPr>
        <w:pStyle w:val="Caption"/>
        <w:jc w:val="both"/>
      </w:pPr>
      <w:bookmarkStart w:id="71" w:name="_Ref46348809"/>
      <w:r w:rsidRPr="00E10B6E">
        <w:t xml:space="preserve">Figure </w:t>
      </w:r>
      <w:r w:rsidR="00722F9A">
        <w:fldChar w:fldCharType="begin"/>
      </w:r>
      <w:r w:rsidR="00722F9A">
        <w:instrText xml:space="preserve"> SEQ Figure \* ARABIC </w:instrText>
      </w:r>
      <w:r w:rsidR="00722F9A">
        <w:fldChar w:fldCharType="separate"/>
      </w:r>
      <w:r w:rsidR="00983F73">
        <w:rPr>
          <w:noProof/>
        </w:rPr>
        <w:t>29</w:t>
      </w:r>
      <w:r w:rsidR="00722F9A">
        <w:rPr>
          <w:noProof/>
        </w:rPr>
        <w:fldChar w:fldCharType="end"/>
      </w:r>
      <w:r w:rsidRPr="00E10B6E">
        <w:t xml:space="preserve">: Comparison of the cradle-to-gate environmental impact of fossil-based PE and sugarcane-based PE. Normalised values extracted from </w:t>
      </w:r>
      <w:r w:rsidRPr="00E10B6E">
        <w:fldChar w:fldCharType="begin" w:fldLock="1"/>
      </w:r>
      <w:r w:rsidRPr="00E10B6E">
        <w:instrText>ADDIN CSL_CITATION {"citationItems":[{"id":"ITEM-1","itemData":{"author":[{"dropping-particle":"","family":"Braskem","given":"","non-dropping-particle":"","parse-names":false,"suffix":""}],"id":"ITEM-1","issued":{"date-parts":[["2017"]]},"title":"I'm green™ PE Life Cycle Assessment","type":"report"},"uris":["http://www.mendeley.com/documents/?uuid=7be430d2-1687-34b8-a9fe-fce6221cc56c"]}],"mendeley":{"formattedCitation":"(Braskem, 2017)","plainTextFormattedCitation":"(Braskem, 2017)","previouslyFormattedCitation":"(Braskem, 2017)"},"properties":{"noteIndex":0},"schema":"https://github.com/citation-style-language/schema/raw/master/csl-citation.json"}</w:instrText>
      </w:r>
      <w:r w:rsidRPr="00E10B6E">
        <w:fldChar w:fldCharType="separate"/>
      </w:r>
      <w:r w:rsidRPr="00E10B6E">
        <w:rPr>
          <w:i w:val="0"/>
          <w:iCs w:val="0"/>
          <w:noProof/>
        </w:rPr>
        <w:t>(Braskem, 2017)</w:t>
      </w:r>
      <w:r w:rsidRPr="00E10B6E">
        <w:fldChar w:fldCharType="end"/>
      </w:r>
      <w:r w:rsidRPr="00E10B6E">
        <w:t xml:space="preserve">. </w:t>
      </w:r>
      <w:bookmarkEnd w:id="71"/>
    </w:p>
    <w:p w14:paraId="7DC4EB22" w14:textId="672A59BC" w:rsidR="007F7463" w:rsidRPr="00E10B6E" w:rsidRDefault="007F7463" w:rsidP="007F7463">
      <w:pPr>
        <w:jc w:val="both"/>
      </w:pPr>
      <w:r w:rsidRPr="00E10B6E">
        <w:t xml:space="preserve">In Europe the cultivation of sugarcane is not common, therefore 43% of the European bio-ethanol is produced from corn, 26% from wheat, 21% from sugar beet, and 10% from other sources like lignocellulosic residues </w:t>
      </w:r>
      <w:r w:rsidRPr="00E10B6E">
        <w:fldChar w:fldCharType="begin" w:fldLock="1"/>
      </w:r>
      <w:r w:rsidRPr="00E10B6E">
        <w:instrText>ADDIN CSL_CITATION {"citationItems":[{"id":"ITEM-1","itemData":{"URL":"https://www.epure.org/resources/statistics-and-infographics/","accessed":{"date-parts":[["2020","6","29"]]},"author":[{"dropping-particle":"","family":"ePURE","given":"","non-dropping-particle":"","parse-names":false,"suffix":""}],"id":"ITEM-1","issued":{"date-parts":[["2020"]]},"title":"Statistics &amp; Infographics | ePURE - European Renewable Ethanol","type":"webpage"},"uris":["http://www.mendeley.com/documents/?uuid=d3807869-7d8f-3c77-9656-071df1c3738e"]}],"mendeley":{"formattedCitation":"(ePURE, 2020)","plainTextFormattedCitation":"(ePURE, 2020)","previouslyFormattedCitation":"(ePURE, 2020)"},"properties":{"noteIndex":0},"schema":"https://github.com/citation-style-language/schema/raw/master/csl-citation.json"}</w:instrText>
      </w:r>
      <w:r w:rsidRPr="00E10B6E">
        <w:fldChar w:fldCharType="separate"/>
      </w:r>
      <w:r w:rsidRPr="00E10B6E">
        <w:rPr>
          <w:noProof/>
        </w:rPr>
        <w:t>(ePURE, 2020)</w:t>
      </w:r>
      <w:r w:rsidRPr="00E10B6E">
        <w:fldChar w:fldCharType="end"/>
      </w:r>
      <w:r w:rsidRPr="00E10B6E">
        <w:t xml:space="preserve">. More than 80% of the European bio-ethanol is blended with gasoline to produce biofuel (usually with a 5-10% share of ethanol), and the market is expected to rapidly grow in the next years </w:t>
      </w:r>
      <w:r w:rsidRPr="00E10B6E">
        <w:fldChar w:fldCharType="begin" w:fldLock="1"/>
      </w:r>
      <w:r w:rsidRPr="00E10B6E">
        <w:instrText>ADDIN CSL_CITATION {"citationItems":[{"id":"ITEM-1","itemData":{"URL":"https://www.epure.org/resources/statistics-and-infographics/","accessed":{"date-parts":[["2020","6","29"]]},"author":[{"dropping-particle":"","family":"ePURE","given":"","non-dropping-particle":"","parse-names":false,"suffix":""}],"id":"ITEM-1","issued":{"date-parts":[["2020"]]},"title":"Statistics &amp; Infographics | ePURE - European Renewable Ethanol","type":"webpage"},"uris":["http://www.mendeley.com/documents/?uuid=d3807869-7d8f-3c77-9656-071df1c3738e"]}],"mendeley":{"formattedCitation":"(ePURE, 2020)","plainTextFormattedCitation":"(ePURE, 2020)","previouslyFormattedCitation":"(ePURE, 2020)"},"properties":{"noteIndex":0},"schema":"https://github.com/citation-style-language/schema/raw/master/csl-citation.json"}</w:instrText>
      </w:r>
      <w:r w:rsidRPr="00E10B6E">
        <w:fldChar w:fldCharType="separate"/>
      </w:r>
      <w:r w:rsidRPr="00E10B6E">
        <w:rPr>
          <w:noProof/>
        </w:rPr>
        <w:t>(ePURE, 2020)</w:t>
      </w:r>
      <w:r w:rsidRPr="00E10B6E">
        <w:fldChar w:fldCharType="end"/>
      </w:r>
      <w:r w:rsidRPr="00E10B6E">
        <w:t xml:space="preserve">, potentially competing with the bio-ethanol demand for bioplastics production. A Japanese study calculated that the added value and GHG reduction of using bio-ethanol for bioplastics production </w:t>
      </w:r>
      <w:r w:rsidR="00F52340" w:rsidRPr="00E10B6E">
        <w:t>are</w:t>
      </w:r>
      <w:r w:rsidRPr="00E10B6E">
        <w:t xml:space="preserve"> greater than when bio-ethanol is used as fuel </w:t>
      </w:r>
      <w:r w:rsidRPr="00E10B6E">
        <w:fldChar w:fldCharType="begin" w:fldLock="1"/>
      </w:r>
      <w:r w:rsidRPr="00E10B6E">
        <w:instrText>ADDIN CSL_CITATION {"citationItems":[{"id":"ITEM-1","itemData":{"DOI":"10.1016/j.jclepro.2017.08.179","ISSN":"09596526","abstract":"Polyethylene (PE) and polypropylene (PP) can be synthesized from biomass through dehydration, dimerization, and metathesis reactions from ethanol or methanol-to-olefin reaction of synthesis gas. This paper examines the socioeconomic aspects of such biomass-derived resin production, which are composed of environmental impacts quantified by life cycle analysis (LCA) and the structure of generated value flows specified by structural path analysis (SPA) based on a Japanese input–output table. Missing inventory data were estimated by process simulation using Aspen Plus™ and Aspen HYSYS™ with design information extracted from the literature, patents, and design heuristics. LCA based on actual and demonstration plants with process simulation shows the environmental advantage of biomass-derived resins on greenhouse gas (GHG) emissions reduction. PE production has the largest effect on GHG emissions reduction, followed by bioethanol from a gasoline mixture, and PP. The uncertainties in agricultural processes also influence the potential application of international and domestic bioethanol production and synthesis gas obtained from the gasification of waste woods. According to SPA results for gasoline, PE, PP, and plastic products, the cyclicality of resins and plastic products, which was quantitatively analyzed as the total cyclic cash flows from target products to final demands, is much larger than that of gasoline. Based on these results, biomass-derived resin production has the potential to increase added values in an economy, with a corresponding decrease in GHG emissions.","author":[{"dropping-particle":"","family":"Kikuchi","given":"Yasunori","non-dropping-particle":"","parse-names":false,"suffix":""},{"dropping-particle":"","family":"Oshita","given":"Yuko","non-dropping-particle":"","parse-names":false,"suffix":""},{"dropping-particle":"","family":"Mayumi","given":"Kazuya","non-dropping-particle":"","parse-names":false,"suffix":""},{"dropping-particle":"","family":"Hirao","given":"Masahiko","non-dropping-particle":"","parse-names":false,"suffix":""}],"container-title":"Journal of Cleaner Production","id":"ITEM-1","issued":{"date-parts":[["2017","11","20"]]},"page":"289-305","publisher":"Elsevier Ltd","title":"Greenhouse gas emissions and socioeconomic effects of biomass-derived products based on structural path and life cycle analyses: A case study of polyethylene and polypropylene in Japan","type":"article-journal","volume":"167"},"uris":["http://www.mendeley.com/documents/?uuid=c60ed300-126a-33fe-b341-e3cfb2dd2ec0"]}],"mendeley":{"formattedCitation":"(Kikuchi et al., 2017)","plainTextFormattedCitation":"(Kikuchi et al., 2017)","previouslyFormattedCitation":"(Kikuchi et al., 2017)"},"properties":{"noteIndex":0},"schema":"https://github.com/citation-style-language/schema/raw/master/csl-citation.json"}</w:instrText>
      </w:r>
      <w:r w:rsidRPr="00E10B6E">
        <w:fldChar w:fldCharType="separate"/>
      </w:r>
      <w:r w:rsidRPr="00E10B6E">
        <w:rPr>
          <w:noProof/>
        </w:rPr>
        <w:t>(Kikuchi et al., 2017)</w:t>
      </w:r>
      <w:r w:rsidRPr="00E10B6E">
        <w:fldChar w:fldCharType="end"/>
      </w:r>
      <w:r w:rsidRPr="00E10B6E">
        <w:t xml:space="preserve">, while an American study calculated that the GHG reduction achieved </w:t>
      </w:r>
      <w:r w:rsidR="00F52340" w:rsidRPr="00E10B6E">
        <w:t>is</w:t>
      </w:r>
      <w:r w:rsidRPr="00E10B6E">
        <w:t xml:space="preserve"> indeed the same, but the economic potential is better when the bio-ethanol is used as a substitute for gasoline </w:t>
      </w:r>
      <w:r w:rsidRPr="00E10B6E">
        <w:fldChar w:fldCharType="begin" w:fldLock="1"/>
      </w:r>
      <w:r w:rsidRPr="00E10B6E">
        <w:instrText>ADDIN CSL_CITATION {"citationItems":[{"id":"ITEM-1","itemData":{"author":[{"dropping-particle":"","family":"McKechnie","given":"Jon","non-dropping-particle":"","parse-names":false,"suffix":""},{"dropping-particle":"","family":"Pourbafrani2","given":"Mohammad","non-dropping-particle":"","parse-names":false,"suffix":""},{"dropping-particle":"","family":"Saville","given":"Bradley","non-dropping-particle":"","parse-names":false,"suffix":""},{"dropping-particle":"","family":"MacLean","given":"Heather","non-dropping-particle":"","parse-names":false,"suffix":""}],"container-title":"Environmental Research Letters","id":"ITEM-1","issue":"12","issued":{"date-parts":[["2015","12","16"]]},"title":"Environmental and financial implications of ethanol as a bioethylene feedstock versus as a transportation fuel - IOPscience","type":"article-journal","volume":"10"},"uris":["http://www.mendeley.com/documents/?uuid=c18944ca-7763-3d2f-be50-c2ed74833853"]}],"mendeley":{"formattedCitation":"(McKechnie et al., 2015)","plainTextFormattedCitation":"(McKechnie et al., 2015)","previouslyFormattedCitation":"(McKechnie et al., 2015)"},"properties":{"noteIndex":0},"schema":"https://github.com/citation-style-language/schema/raw/master/csl-citation.json"}</w:instrText>
      </w:r>
      <w:r w:rsidRPr="00E10B6E">
        <w:fldChar w:fldCharType="separate"/>
      </w:r>
      <w:r w:rsidRPr="00E10B6E">
        <w:rPr>
          <w:noProof/>
        </w:rPr>
        <w:t>(McKechnie et al., 2015)</w:t>
      </w:r>
      <w:r w:rsidRPr="00E10B6E">
        <w:fldChar w:fldCharType="end"/>
      </w:r>
      <w:r w:rsidRPr="00E10B6E">
        <w:t xml:space="preserve">. Finally, according to a European study the use of sugar beet to produce bio-ethanol and then bio-PE in Europe is considered at least as economically convenient as producing ethylene from fossil sources, with a margin of uncertainty of ±10% due to the price volatility of the feedstocks </w:t>
      </w:r>
      <w:r w:rsidRPr="00E10B6E">
        <w:fldChar w:fldCharType="begin" w:fldLock="1"/>
      </w:r>
      <w:r w:rsidRPr="00E10B6E">
        <w:instrText>ADDIN CSL_CITATION {"citationItems":[{"id":"ITEM-1","itemData":{"DOI":"10.1016/j.biortech.2012.09.058","ISSN":"18732976","abstract":"The aim of this study is to present and apply a quick screening method and to identify the most promising bioethanol derivatives using an early-stage sustainability assessment method that compares a bioethanol-based conversion route to its respective petrochemical counterpart. The method combines, by means of a multi-criteria approach, quantitative and qualitative proxy indicators describing economic, environmental, health and safety and operational aspects. Of twelve derivatives considered, five were categorized as favorable (diethyl ether, 1,3-butadiene, ethyl acetate, propylene and ethylene), two as promising (acetaldehyde and ethylene oxide) and five as unfavorable derivatives (acetic acid, n-butanol, isobutylene, hydrogen and acetone) for an integrated biorefinery concept. © 2012 Elsevier Ltd.","author":[{"dropping-particle":"","family":"Posada","given":"John A.","non-dropping-particle":"","parse-names":false,"suffix":""},{"dropping-particle":"","family":"Patel","given":"Akshay D.","non-dropping-particle":"","parse-names":false,"suffix":""},{"dropping-particle":"","family":"Roes","given":"Alexander","non-dropping-particle":"","parse-names":false,"suffix":""},{"dropping-particle":"","family":"Blok","given":"Kornelis","non-dropping-particle":"","parse-names":false,"suffix":""},{"dropping-particle":"","family":"Faaij","given":"André P.C.","non-dropping-particle":"","parse-names":false,"suffix":""},{"dropping-particle":"","family":"Patel","given":"Martin K.","non-dropping-particle":"","parse-names":false,"suffix":""}],"container-title":"Bioresource Technology","id":"ITEM-1","issued":{"date-parts":[["2013","5","1"]]},"page":"490-499","publisher":"Elsevier Ltd","title":"Potential of bioethanol as a chemical building block for biorefineries: Preliminary sustainability assessment of 12 bioethanol-based products","type":"article-journal","volume":"135"},"uris":["http://www.mendeley.com/documents/?uuid=c37a4eed-1ee9-34f0-bff2-b2bccb26bf69"]}],"mendeley":{"formattedCitation":"(Posada et al., 2013)","plainTextFormattedCitation":"(Posada et al., 2013)","previouslyFormattedCitation":"(Posada et al., 2013)"},"properties":{"noteIndex":0},"schema":"https://github.com/citation-style-language/schema/raw/master/csl-citation.json"}</w:instrText>
      </w:r>
      <w:r w:rsidRPr="00E10B6E">
        <w:fldChar w:fldCharType="separate"/>
      </w:r>
      <w:r w:rsidRPr="00E10B6E">
        <w:rPr>
          <w:noProof/>
        </w:rPr>
        <w:t>(Posada et al., 2013)</w:t>
      </w:r>
      <w:r w:rsidRPr="00E10B6E">
        <w:fldChar w:fldCharType="end"/>
      </w:r>
      <w:r w:rsidRPr="00E10B6E">
        <w:t>. It is thus difficult to clearly evaluate the economic convenience of investing in bio-PE, but all the studies agree that scaling-up the production would have positive effects and make the production of bio-plastics more financially attractive.</w:t>
      </w:r>
    </w:p>
    <w:p w14:paraId="067D6041" w14:textId="77777777" w:rsidR="007F7463" w:rsidRPr="00E10B6E" w:rsidRDefault="007F7463" w:rsidP="007F7463">
      <w:pPr>
        <w:jc w:val="both"/>
      </w:pPr>
      <w:r w:rsidRPr="00E10B6E">
        <w:t xml:space="preserve">In the Netherlands, sugar beet cultivation has a very high yield and it is thus possible to produce 7,200 litres of bio-ethanol for each hectare, which is the same value obtained by Brazilian sugar cane </w:t>
      </w:r>
      <w:r w:rsidRPr="00E10B6E">
        <w:fldChar w:fldCharType="begin" w:fldLock="1"/>
      </w:r>
      <w:r w:rsidRPr="00E10B6E">
        <w:instrText>ADDIN CSL_CITATION {"citationItems":[{"id":"ITEM-1","itemData":{"DOI":"10.1504/IJSD.2014.058434","ISSN":"09601406","abstract":"Prospects for ethanol production from sugar beet in The Netherlands have been analysed using measured production data from two experimental farms and literature on beet to ethanol conversion. The analyses include beet cultivation and harvesting, transport to the factory, conversion into ethanol and delivery of the ethanol to distribution points. Under the prevailing conditions, ethanol production from sugar beet shows to be reasonably energy efficient. A net energy production has been calculated of 32 and 37 GJ/ha. Crop and ethanol yields are above those reported elsewhere, as is the energy use per hectare which is related to crop yield. Applying alternative energy generating technology at the ethanol factory suggests that considerable energy gains can be realised. Another source of variation is the allocation ratio of energy to ethanol and by-products. The calculations suggest that the prospects for ethanol production from sugar beet in Europe can be considerable, if energy inputs can be reduced, by using crop residues.","author":[{"dropping-particle":"","family":"Langeveld","given":"J. W.A.","non-dropping-particle":"","parse-names":false,"suffix":""},{"dropping-particle":"","family":"Ven","given":"Gerrie","non-dropping-particle":"Van De","parse-names":false,"suffix":""},{"dropping-particle":"","family":"Vries","given":"Sander C.","non-dropping-particle":"De","parse-names":false,"suffix":""},{"dropping-particle":"","family":"Brink","given":"Lubbert","non-dropping-particle":"Van Den","parse-names":false,"suffix":""},{"dropping-particle":"","family":"Visser","given":"Chris","non-dropping-particle":"De","parse-names":false,"suffix":""}],"container-title":"International Journal of Sustainable Development","id":"ITEM-1","issue":"1","issued":{"date-parts":[["2014"]]},"page":"78-88","title":"Ethanol from sugar beet in The Netherlands: Energy production and efficiency","type":"article-journal","volume":"17"},"uris":["http://www.mendeley.com/documents/?uuid=d03b3798-d6cd-3a4a-b0dc-80a44a268925"]}],"mendeley":{"formattedCitation":"(Langeveld et al., 2014)","plainTextFormattedCitation":"(Langeveld et al., 2014)","previouslyFormattedCitation":"(Langeveld et al., 2014)"},"properties":{"noteIndex":0},"schema":"https://github.com/citation-style-language/schema/raw/master/csl-citation.json"}</w:instrText>
      </w:r>
      <w:r w:rsidRPr="00E10B6E">
        <w:fldChar w:fldCharType="separate"/>
      </w:r>
      <w:r w:rsidRPr="00E10B6E">
        <w:rPr>
          <w:noProof/>
        </w:rPr>
        <w:t>(Langeveld et al., 2014)</w:t>
      </w:r>
      <w:r w:rsidRPr="00E10B6E">
        <w:fldChar w:fldCharType="end"/>
      </w:r>
      <w:r w:rsidRPr="00E10B6E">
        <w:t xml:space="preserve">. The energy intensity in the Netherlands, however, is way higher: while sugar cane has a net energy balance ratio of 8, the Dutch sugar beet only reaches 1.3, although it could be improved up to 2.8 by using CHP systems for the distillation and reducing the amount of fertilizers used for the crops </w:t>
      </w:r>
      <w:r w:rsidRPr="00E10B6E">
        <w:fldChar w:fldCharType="begin" w:fldLock="1"/>
      </w:r>
      <w:r w:rsidRPr="00E10B6E">
        <w:instrText>ADDIN CSL_CITATION {"citationItems":[{"id":"ITEM-1","itemData":{"DOI":"10.1504/IJSD.2014.058434","ISSN":"09601406","abstract":"Prospects for ethanol production from sugar beet in The Netherlands have been analysed using measured production data from two experimental farms and literature on beet to ethanol conversion. The analyses include beet cultivation and harvesting, transport to the factory, conversion into ethanol and delivery of the ethanol to distribution points. Under the prevailing conditions, ethanol production from sugar beet shows to be reasonably energy efficient. A net energy production has been calculated of 32 and 37 GJ/ha. Crop and ethanol yields are above those reported elsewhere, as is the energy use per hectare which is related to crop yield. Applying alternative energy generating technology at the ethanol factory suggests that considerable energy gains can be realised. Another source of variation is the allocation ratio of energy to ethanol and by-products. The calculations suggest that the prospects for ethanol production from sugar beet in Europe can be considerable, if energy inputs can be reduced, by using crop residues.","author":[{"dropping-particle":"","family":"Langeveld","given":"J. W.A.","non-dropping-particle":"","parse-names":false,"suffix":""},{"dropping-particle":"","family":"Ven","given":"Gerrie","non-dropping-particle":"Van De","parse-names":false,"suffix":""},{"dropping-particle":"","family":"Vries","given":"Sander C.","non-dropping-particle":"De","parse-names":false,"suffix":""},{"dropping-particle":"","family":"Brink","given":"Lubbert","non-dropping-particle":"Van Den","parse-names":false,"suffix":""},{"dropping-particle":"","family":"Visser","given":"Chris","non-dropping-particle":"De","parse-names":false,"suffix":""}],"container-title":"International Journal of Sustainable Development","id":"ITEM-1","issue":"1","issued":{"date-parts":[["2014"]]},"page":"78-88","title":"Ethanol from sugar beet in The Netherlands: Energy production and efficiency","type":"article-journal","volume":"17"},"uris":["http://www.mendeley.com/documents/?uuid=d03b3798-d6cd-3a4a-b0dc-80a44a268925"]}],"mendeley":{"formattedCitation":"(Langeveld et al., 2014)","plainTextFormattedCitation":"(Langeveld et al., 2014)","previouslyFormattedCitation":"(Langeveld et al., 2014)"},"properties":{"noteIndex":0},"schema":"https://github.com/citation-style-language/schema/raw/master/csl-citation.json"}</w:instrText>
      </w:r>
      <w:r w:rsidRPr="00E10B6E">
        <w:fldChar w:fldCharType="separate"/>
      </w:r>
      <w:r w:rsidRPr="00E10B6E">
        <w:rPr>
          <w:noProof/>
        </w:rPr>
        <w:t>(Langeveld et al., 2014)</w:t>
      </w:r>
      <w:r w:rsidRPr="00E10B6E">
        <w:fldChar w:fldCharType="end"/>
      </w:r>
      <w:r w:rsidRPr="00E10B6E">
        <w:t xml:space="preserve">. Since the production of bio-ethanol only requires the sugar component of the beet, the remaining part can be used as animal feed: for every litre of bio-ethanol, the fermentation process also produces almost 1 kg of co-products </w:t>
      </w:r>
      <w:r w:rsidRPr="00E10B6E">
        <w:fldChar w:fldCharType="begin" w:fldLock="1"/>
      </w:r>
      <w:r w:rsidRPr="00E10B6E">
        <w:instrText>ADDIN CSL_CITATION {"citationItems":[{"id":"ITEM-1","itemData":{"abstract":"A sustainability assessment of first and second generation bioethanol in the context of the European Commission's REDII proposal","author":[{"dropping-particle":"","family":"Dammer","given":"Lara","non-dropping-particle":"","parse-names":false,"suffix":""},{"dropping-particle":"","family":"Carus","given":"Michael","non-dropping-particle":"","parse-names":false,"suffix":""},{"dropping-particle":"","family":"Piotrowski","given":"Stephan","non-dropping-particle":"","parse-names":false,"suffix":""},{"dropping-particle":"","family":"Puente","given":"Angel","non-dropping-particle":"","parse-names":false,"suffix":""},{"dropping-particle":"","family":"Breitmayer","given":"Elke","non-dropping-particle":"","parse-names":false,"suffix":""},{"dropping-particle":"","family":"Beus","given":"Niels, Liptow, Christin","non-dropping-particle":"de","parse-names":false,"suffix":""}],"id":"ITEM-1","issued":{"date-parts":[["2017","9"]]},"title":"Sustainable First and Second Generation Bioethanol for Europe","type":"report"},"uris":["http://www.mendeley.com/documents/?uuid=7f44da14-f44e-3918-8145-ff408b1c4b22"]}],"mendeley":{"formattedCitation":"(Dammer et al., 2017)","plainTextFormattedCitation":"(Dammer et al., 2017)","previouslyFormattedCitation":"(Dammer et al., 2017)"},"properties":{"noteIndex":0},"schema":"https://github.com/citation-style-language/schema/raw/master/csl-citation.json"}</w:instrText>
      </w:r>
      <w:r w:rsidRPr="00E10B6E">
        <w:fldChar w:fldCharType="separate"/>
      </w:r>
      <w:r w:rsidRPr="00E10B6E">
        <w:rPr>
          <w:noProof/>
        </w:rPr>
        <w:t>(Dammer et al., 2017)</w:t>
      </w:r>
      <w:r w:rsidRPr="00E10B6E">
        <w:fldChar w:fldCharType="end"/>
      </w:r>
      <w:r w:rsidRPr="00E10B6E">
        <w:t xml:space="preserve">. According to this data, from one hectare of sugar beet it would be possible to produce 3 tons of bio-PE and 7 tons of animal feed. In that sense, it could be said that bio-ethanol production can make a positive contribution and do not be in contrast with food and feed security </w:t>
      </w:r>
      <w:r w:rsidRPr="00E10B6E">
        <w:fldChar w:fldCharType="begin" w:fldLock="1"/>
      </w:r>
      <w:r w:rsidRPr="00E10B6E">
        <w:instrText>ADDIN CSL_CITATION {"citationItems":[{"id":"ITEM-1","itemData":{"abstract":"A sustainability assessment of first and second generation bioethanol in the context of the European Commission's REDII proposal","author":[{"dropping-particle":"","family":"Dammer","given":"Lara","non-dropping-particle":"","parse-names":false,"suffix":""},{"dropping-particle":"","family":"Carus","given":"Michael","non-dropping-particle":"","parse-names":false,"suffix":""},{"dropping-particle":"","family":"Piotrowski","given":"Stephan","non-dropping-particle":"","parse-names":false,"suffix":""},{"dropping-particle":"","family":"Puente","given":"Angel","non-dropping-particle":"","parse-names":false,"suffix":""},{"dropping-particle":"","family":"Breitmayer","given":"Elke","non-dropping-particle":"","parse-names":false,"suffix":""},{"dropping-particle":"","family":"Beus","given":"Niels, Liptow, Christin","non-dropping-particle":"de","parse-names":false,"suffix":""}],"id":"ITEM-1","issued":{"date-parts":[["2017","9"]]},"title":"Sustainable First and Second Generation Bioethanol for Europe","type":"report"},"uris":["http://www.mendeley.com/documents/?uuid=7f44da14-f44e-3918-8145-ff408b1c4b22"]}],"mendeley":{"formattedCitation":"(Dammer et al., 2017)","plainTextFormattedCitation":"(Dammer et al., 2017)","previouslyFormattedCitation":"(Dammer et al., 2017)"},"properties":{"noteIndex":0},"schema":"https://github.com/citation-style-language/schema/raw/master/csl-citation.json"}</w:instrText>
      </w:r>
      <w:r w:rsidRPr="00E10B6E">
        <w:fldChar w:fldCharType="separate"/>
      </w:r>
      <w:r w:rsidRPr="00E10B6E">
        <w:rPr>
          <w:noProof/>
        </w:rPr>
        <w:t>(Dammer et al., 2017)</w:t>
      </w:r>
      <w:r w:rsidRPr="00E10B6E">
        <w:fldChar w:fldCharType="end"/>
      </w:r>
      <w:r w:rsidRPr="00E10B6E">
        <w:t xml:space="preserve">. And some research even shows that a fair supply chain for bio-plastics may stabilize food prices and provide an additional income to farmers, thus making food production more sustainable </w:t>
      </w:r>
      <w:r w:rsidRPr="00E10B6E">
        <w:fldChar w:fldCharType="begin" w:fldLock="1"/>
      </w:r>
      <w:r w:rsidRPr="00E10B6E">
        <w:instrText>ADDIN CSL_CITATION {"citationItems":[{"id":"ITEM-1","itemData":{"author":[{"dropping-particle":"","family":"Oever","given":"Martien","non-dropping-particle":"Van Den","parse-names":false,"suffix":""},{"dropping-particle":"","family":"Molenveld","given":"Karin","non-dropping-particle":"","parse-names":false,"suffix":""},{"dropping-particle":"","family":"Zee","given":"Maarten","non-dropping-particle":"Van Der","parse-names":false,"suffix":""},{"dropping-particle":"","family":"Bos","given":"Harriëtte","non-dropping-particle":"","parse-names":false,"suffix":""}],"id":"ITEM-1","issued":{"date-parts":[["2017"]]},"title":"Bio-based and biodegradable plastics-Facts and Figures Focus on food packaging in the Netherlands","type":"report"},"uris":["http://www.mendeley.com/documents/?uuid=d8d3cb53-1cc9-3d2f-9427-b759fd8c6692"]}],"mendeley":{"formattedCitation":"(Van Den Oever et al., 2017)","plainTextFormattedCitation":"(Van Den Oever et al., 2017)","previouslyFormattedCitation":"(Van Den Oever et al., 2017)"},"properties":{"noteIndex":0},"schema":"https://github.com/citation-style-language/schema/raw/master/csl-citation.json"}</w:instrText>
      </w:r>
      <w:r w:rsidRPr="00E10B6E">
        <w:fldChar w:fldCharType="separate"/>
      </w:r>
      <w:r w:rsidRPr="00E10B6E">
        <w:rPr>
          <w:noProof/>
        </w:rPr>
        <w:t>(Van Den Oever et al., 2017)</w:t>
      </w:r>
      <w:r w:rsidRPr="00E10B6E">
        <w:fldChar w:fldCharType="end"/>
      </w:r>
      <w:r w:rsidRPr="00E10B6E">
        <w:t>.</w:t>
      </w:r>
    </w:p>
    <w:p w14:paraId="12E25C7B" w14:textId="77777777" w:rsidR="007F7463" w:rsidRPr="00E10B6E" w:rsidRDefault="007F7463" w:rsidP="007F7463">
      <w:pPr>
        <w:jc w:val="both"/>
      </w:pPr>
    </w:p>
    <w:p w14:paraId="11029D5F" w14:textId="54A0721E" w:rsidR="007F7463" w:rsidRPr="00E10B6E" w:rsidRDefault="007F7463" w:rsidP="007F7463">
      <w:pPr>
        <w:jc w:val="both"/>
      </w:pPr>
      <w:r w:rsidRPr="00E10B6E">
        <w:t xml:space="preserve">If Dow Terneuzen and SABIC Limburg were to completely substitute their current production of 1,840 </w:t>
      </w:r>
      <w:r w:rsidR="000B7C74" w:rsidRPr="00E10B6E">
        <w:t>kt</w:t>
      </w:r>
      <w:r w:rsidRPr="00E10B6E">
        <w:t xml:space="preserve">/year fossil-based PE with its bio-based counterpart, the required bio-ethanol would be equal to 4 billion litres. If all of it was to be produced from sugar beets grown in The Netherlands, that would require around 613,000 hectares of land, which is over 7 times more than the current area and is equal to 59% of the arable land in the country </w:t>
      </w:r>
      <w:r w:rsidRPr="00E10B6E">
        <w:fldChar w:fldCharType="begin" w:fldLock="1"/>
      </w:r>
      <w:r w:rsidRPr="00E10B6E">
        <w:instrText>ADDIN CSL_CITATION {"citationItems":[{"id":"ITEM-1","itemData":{"URL":"http://www.fao.org/faostat/en/#data/QC","accessed":{"date-parts":[["2020","6","29"]]},"author":[{"dropping-particle":"","family":"FAOSTAT","given":"","non-dropping-particle":"","parse-names":false,"suffix":""}],"id":"ITEM-1","issued":{"date-parts":[["2018"]]},"title":"FAOSTAT - Crops","type":"webpage"},"uris":["http://www.mendeley.com/documents/?uuid=9a3e130e-cd44-31fb-868b-6a45b6ea2f6a"]}],"mendeley":{"formattedCitation":"(FAOSTAT, 2018)","plainTextFormattedCitation":"(FAOSTAT, 2018)","previouslyFormattedCitation":"(FAOSTAT, 2018)"},"properties":{"noteIndex":0},"schema":"https://github.com/citation-style-language/schema/raw/master/csl-citation.json"}</w:instrText>
      </w:r>
      <w:r w:rsidRPr="00E10B6E">
        <w:fldChar w:fldCharType="separate"/>
      </w:r>
      <w:r w:rsidRPr="00E10B6E">
        <w:rPr>
          <w:noProof/>
        </w:rPr>
        <w:t>(FAOSTAT, 2018)</w:t>
      </w:r>
      <w:r w:rsidRPr="00E10B6E">
        <w:fldChar w:fldCharType="end"/>
      </w:r>
      <w:r w:rsidRPr="00E10B6E">
        <w:t xml:space="preserve">. Apart from being unrealistic from a socio-technical point of view, many studies show that the import of the required 4 billion litres of bio-ethanol from other countries (e.g. Brazil) would be economically more convenient </w:t>
      </w:r>
      <w:r w:rsidRPr="00E10B6E">
        <w:fldChar w:fldCharType="begin" w:fldLock="1"/>
      </w:r>
      <w:r w:rsidRPr="00E10B6E">
        <w:instrText>ADDIN CSL_CITATION {"citationItems":[{"id":"ITEM-1","itemData":{"DOI":"10.1002/cssc.201300478","ISSN":"18645631","abstract":"As part of a long-term strategy toward renewable feedstock, a feasibility study into options for the production of bioethylene by integrating the sugar beet-to-ethanol-to-ethylene value chain. Seven business cases were studied and tested for actual economic feasibility of alternative sugar-to-ethanol-to- ethylene routes in comparison to fossil-fuel alternatives. An elaborate model was developed to assess the relevant operational and financial aspects of each business case. The calculations indicate that bioethylene from sugar beet is not commercially viable under current market conditions. In light of expected global energy and feedstock prices it is also reasonable to expect that this will not change in the near future. To consider biorenewable sources as starting material, they need to be low in cost (compared to sugar beets) and also require less capital and energy-intensive methods for the conversion to chemicals. In general, European sugar prices will be too high for many chemical applications. Future efforts for in sugar-to-chemicals routes should, therefore, focus on integrated process routes and process intensification and/or on products that contain a significant part of the original carbohydrate backbone. The cost of sugar: The economic value of sugar produced from regional crops is evaluated in depth by modeling various business models. The analysis of the sugar-to-ethylene value chain demonstrates that the value of sugar is too high in the current global market environment to consider it as a starting material for ethylene. Copyright © 2013 WILEY-VCH Verlag GmbH &amp; Co. KGaA, Weinheim.","author":[{"dropping-particle":"","family":"Althoff","given":"Jeroen","non-dropping-particle":"","parse-names":false,"suffix":""},{"dropping-particle":"","family":"Biesheuvel","given":"Kees","non-dropping-particle":"","parse-names":false,"suffix":""},{"dropping-particle":"","family":"De</w:instrText>
      </w:r>
      <w:r w:rsidRPr="00E10B6E">
        <w:rPr>
          <w:rFonts w:ascii="Arial" w:hAnsi="Arial" w:cs="Arial"/>
        </w:rPr>
        <w:instrText> </w:instrText>
      </w:r>
      <w:r w:rsidRPr="00E10B6E">
        <w:instrText>Kok","given":"Ad","non-dropping-particle":"","parse-names":false,"suffix":""},{"dropping-particle":"","family":"Pelt","given":"Henk","non-dropping-particle":"","parse-names":false,"suffix":""},{"dropping-particle":"","family":"Ruitenbeek","given":"Matthijs","non-dropping-particle":"","parse-names":false,"suffix":""},{"dropping-particle":"","family":"Spork","given":"Ger","non-dropping-particle":"","parse-names":false,"suffix":""},{"dropping-particle":"","family":"Tange","given":"Jan","non-dropping-particle":"","parse-names":false,"suffix":""},{"dropping-particle":"","family":"Wevers","given":"Ronald","non-dropping-particle":"","parse-names":false,"suffix":""}],"container-title":"ChemSusChem","id":"ITEM-1","issue":"9","issued":{"date-parts":[["2013","9","1"]]},"page":"1625-1630","publisher":"Wiley-VCH Verlag","title":"Economic Feasibility of the Sugar Beet-to-Ethylene Value Chain","type":"article-journal","volume":"6"},"uris":["http://www.mendeley.com/documents/?uuid=eb66ea4a-a906-3135-9163-6ec515d93fc9"]}],"mendeley":{"formattedCitation":"(Althoff et al., 2013)","plainTextFormattedCitation":"(Althoff et al., 2013)","previouslyFormattedCitation":"(Althoff et al., 2013)"},"properties":{"noteIndex":0},"schema":"https://github.com/citation-style-language/schema/raw/master/csl-citation.json"}</w:instrText>
      </w:r>
      <w:r w:rsidRPr="00E10B6E">
        <w:fldChar w:fldCharType="separate"/>
      </w:r>
      <w:r w:rsidRPr="00E10B6E">
        <w:rPr>
          <w:noProof/>
        </w:rPr>
        <w:t>(Althoff et al., 2013)</w:t>
      </w:r>
      <w:r w:rsidRPr="00E10B6E">
        <w:fldChar w:fldCharType="end"/>
      </w:r>
      <w:r w:rsidRPr="00E10B6E">
        <w:t>.</w:t>
      </w:r>
    </w:p>
    <w:p w14:paraId="20173992" w14:textId="1C140AC2" w:rsidR="006C508C" w:rsidRPr="00E10B6E" w:rsidRDefault="006C508C" w:rsidP="00914619">
      <w:pPr>
        <w:pStyle w:val="Heading3"/>
      </w:pPr>
      <w:bookmarkStart w:id="72" w:name="_Toc54274805"/>
      <w:r w:rsidRPr="00E10B6E">
        <w:t>4.4.2 Biowaste-based olefin monomers</w:t>
      </w:r>
      <w:bookmarkEnd w:id="72"/>
    </w:p>
    <w:p w14:paraId="1CD64F83" w14:textId="0DB1B1B4" w:rsidR="007F7463" w:rsidRPr="00E10B6E" w:rsidRDefault="007F7463" w:rsidP="007F7463">
      <w:pPr>
        <w:jc w:val="both"/>
      </w:pPr>
      <w:r w:rsidRPr="00E10B6E">
        <w:t xml:space="preserve">As an alternative to the biochemical route involving fermentation and distillation, bio-based ethylene and propylene can also be produced with a thermochemical process. As seen in </w:t>
      </w:r>
      <w:r w:rsidRPr="00E10B6E">
        <w:fldChar w:fldCharType="begin"/>
      </w:r>
      <w:r w:rsidRPr="00E10B6E">
        <w:instrText xml:space="preserve"> REF _Ref46348919 \h </w:instrText>
      </w:r>
      <w:r w:rsidRPr="00E10B6E">
        <w:fldChar w:fldCharType="separate"/>
      </w:r>
      <w:r w:rsidR="00983F73" w:rsidRPr="00E10B6E">
        <w:t xml:space="preserve">Figure </w:t>
      </w:r>
      <w:r w:rsidR="00983F73">
        <w:rPr>
          <w:noProof/>
        </w:rPr>
        <w:t>30</w:t>
      </w:r>
      <w:r w:rsidR="00983F73" w:rsidRPr="00E10B6E">
        <w:t xml:space="preserve">: Steps of the gasification process of biomass into methanol. Made with information from </w:t>
      </w:r>
      <w:r w:rsidR="00983F73" w:rsidRPr="00E10B6E">
        <w:rPr>
          <w:i/>
          <w:iCs/>
          <w:noProof/>
        </w:rPr>
        <w:t>(Brachi et al., 2014; De-León Almaraz &amp; Azzaro-Pantel, 2017; Ragaert et al., 2017)</w:t>
      </w:r>
      <w:r w:rsidR="00983F73" w:rsidRPr="00E10B6E">
        <w:t>.</w:t>
      </w:r>
      <w:r w:rsidRPr="00E10B6E">
        <w:fldChar w:fldCharType="end"/>
      </w:r>
      <w:r w:rsidRPr="00E10B6E">
        <w:t xml:space="preserve">, the process starts with the gasification of lignocellulosic biomass (e.g. wood chips) or bio-waste (e.g. forest and agricultural residues, or by-products of the paper industry), although the feedstock may need to be pre-treated to reduce the amount of moisture and increase the energy density </w:t>
      </w:r>
      <w:r w:rsidRPr="00E10B6E">
        <w:fldChar w:fldCharType="begin" w:fldLock="1"/>
      </w:r>
      <w:r w:rsidRPr="00E10B6E">
        <w:instrText>ADDIN CSL_CITATION {"citationItems":[{"id":"ITEM-1","itemData":{"abstract":"Current efforts to mitigate climate change use renewable resources and\nreduce waste, drive the development of new processes. In this study we\nexamine the technologies for conversion of biomass to conventional\npolymers such as polyolefins. Such process routes, based on gasification\nand syngas production, are potentially technically feasible, since all process\nunits are currently either commercially available or in the pilot plant phase.\nIn the study their economic and environmental feasibility are evaluated.\nWe evaluate the environmental attractiveness of this emerging technology\nusing life cycle assessment (LCA) methodology. Economic evaluation is\nperformed by combining and adapting existing financial data which could\nbe further on being coupled with the LCA model. The expected out-comes\nof the study are the environmental and economic assessments as such, but\nalso a contribution to the on-going efforts to integrate LCA with economic\ntools. We also expect to contribute to methodology development through the\ncollection and documentation of experience from environmental\nassessments of new, emerging technologies. ","author":[{"dropping-particle":"","family":"Nouri","given":"Selim","non-dropping-particle":"","parse-names":false,"suffix":""},{"dropping-particle":"","family":"Tillman","given":"Anne-Marie","non-dropping-particle":"","parse-names":false,"suffix":""}],"id":"ITEM-1","issued":{"date-parts":[["2005"]]},"publisher-place":"Göteborg, Sweden","title":"Evaluating synthesis gas based biomass to plastics (BTP) technologies","type":"report"},"uris":["http://www.mendeley.com/documents/?uuid=6e897f85-afa9-34a7-9e8a-09ee10b6958d"]}],"mendeley":{"formattedCitation":"(Nouri &amp; Tillman, 2005)","plainTextFormattedCitation":"(Nouri &amp; Tillman, 2005)","previouslyFormattedCitation":"(Nouri &amp; Tillman, 2005)"},"properties":{"noteIndex":0},"schema":"https://github.com/citation-style-language/schema/raw/master/csl-citation.json"}</w:instrText>
      </w:r>
      <w:r w:rsidRPr="00E10B6E">
        <w:fldChar w:fldCharType="separate"/>
      </w:r>
      <w:r w:rsidRPr="00E10B6E">
        <w:rPr>
          <w:noProof/>
        </w:rPr>
        <w:t>(Nouri &amp; Tillman, 2005)</w:t>
      </w:r>
      <w:r w:rsidRPr="00E10B6E">
        <w:fldChar w:fldCharType="end"/>
      </w:r>
      <w:r w:rsidRPr="00E10B6E">
        <w:t xml:space="preserve">. Gasification is the incomplete combustion (or partial oxidation) of the biomass feedstock in order to break down the molecules and produce a mix of syngas, char, and tars. If catalysts are used, the reaction takes place at 750-900°C </w:t>
      </w:r>
      <w:r w:rsidRPr="00E10B6E">
        <w:fldChar w:fldCharType="begin" w:fldLock="1"/>
      </w:r>
      <w:r w:rsidRPr="00E10B6E">
        <w:instrText>ADDIN CSL_CITATION {"citationItems":[{"id":"ITEM-1","itemData":{"DOI":"10.1016/B978-0-12-811132-1.00004-3","ISBN":"9780128111338","abstract":"The lack of existing infrastructure for hydrogen deployment is largely reported in the dedicated literature. The aim of this chapter is to present and define various pathways and technologies that can be followed to model the hydrogen supply chain (HSC) through supply chain management (SCM) concepts to efficiently integrate suppliers, manufacturers, and distributors so that hydrogen can be distributed at the right quantities, to the right locations and, at the right time, in order to optimize the main criteria (e.g., cost, risk, etc.). The modeling approaches of the HSC are described through a literature review. The pathway toward a hydrogen economy and more particularly here toward the use of hydrogen as an energy vector must encompass a broad range of items concerning the three pillars of sustainability based on economic, environmental, and social impacts. SCM models can be used to design improved business pathways which could result in reduced environmental impact while being also economically achievable. It is highlighted that more efforts can be done in fields such as demand uncertainty and social perception related to hydrogen.","author":[{"dropping-particle":"","family":"De-León Almaraz","given":"Sofía","non-dropping-particle":"","parse-names":false,"suffix":""},{"dropping-particle":"","family":"Azzaro-Pantel","given":"Catherine","non-dropping-particle":"","parse-names":false,"suffix":""}],"container-title":"Hydrogen Economy: Supply Chain, Life Cycle Analysis and Energy Transition for Sustainability","id":"ITEM-1","issued":{"date-parts":[["2017","5","8"]]},"page":"85-120","publisher":"Elsevier Inc.","title":"Design and Optimization of Hydrogen Supply Chains for a Sustainable Future","type":"chapter"},"uris":["http://www.mendeley.com/documents/?uuid=b9e8f0ea-e5b5-3525-bcca-ce1130060240"]}],"mendeley":{"formattedCitation":"(De-León Almaraz &amp; Azzaro-Pantel, 2017)","plainTextFormattedCitation":"(De-León Almaraz &amp; Azzaro-Pantel, 2017)","previouslyFormattedCitation":"(De-León Almaraz &amp; Azzaro-Pantel, 2017)"},"properties":{"noteIndex":0},"schema":"https://github.com/citation-style-language/schema/raw/master/csl-citation.json"}</w:instrText>
      </w:r>
      <w:r w:rsidRPr="00E10B6E">
        <w:fldChar w:fldCharType="separate"/>
      </w:r>
      <w:r w:rsidRPr="00E10B6E">
        <w:rPr>
          <w:noProof/>
        </w:rPr>
        <w:t>(De-León Almaraz &amp; Azzaro-Pantel, 2017)</w:t>
      </w:r>
      <w:r w:rsidRPr="00E10B6E">
        <w:fldChar w:fldCharType="end"/>
      </w:r>
      <w:r w:rsidRPr="00E10B6E">
        <w:t xml:space="preserve">, otherwise the temperature needs to be in the 1200-1500°C range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 xml:space="preserve">. The unreformed syngas and biomass chars are combusted to supply heat to the gasification reactor, while the tars are reformed into useful syngas using a catalytic reaction </w:t>
      </w:r>
      <w:r w:rsidRPr="00E10B6E">
        <w:fldChar w:fldCharType="begin" w:fldLock="1"/>
      </w:r>
      <w:r w:rsidRPr="00E10B6E">
        <w:instrText>ADDIN CSL_CITATION {"citationItems":[{"id":"ITEM-1","itemData":{"DOI":"10.1007/s10570-009-9317-x","ISSN":"09690239","abstract":"With the world's focus on rapidly deploying second generation biofuels technologies, there exists today a good deal of interest in how yields, economics, and environmental impacts of the various conversion processes of lignocellulosic biomass to transportation fuels compare. Although there is a good deal of information regarding these conversion processes, this information is typically very difficult to use on a comparison basis because different underlying assumptions, such as feedstock costs, plant size, co-product credits or assumed state of technology, have been utilized. In this study, a rigorous comparison of different biomass to transportation fuels conversion processes was performed with standard underlying economic and environmental assumptions so that exact comparisons can be made. This study looked at promising second-generation conversion processes utilizing biochemical and thermochemical gasification technologies on both a current and an achievable state of technology in 2012. The fundamental finding of this study is that although the biochemical and thermochemical processes to ethanol analyzed have their individual strengths and weaknesses, the two processes have very comparable yields, economics, and environmental impacts. Hence, this study concludes that based on this analysis there is not a distinct economic or environmental impact difference between biochemical and thermochemical gasification processes for second generation ethanol production. © Springer Science+Business Media B.V. 2009.","author":[{"dropping-particle":"","family":"Foust","given":"Thomas D.","non-dropping-particle":"","parse-names":false,"suffix":""},{"dropping-particle":"","family":"Aden","given":"Andy","non-dropping-particle":"","parse-names":false,"suffix":""},{"dropping-particle":"","family":"Dutta","given":"Abhijit","non-dropping-particle":"","parse-names":false,"suffix":""},{"dropping-particle":"","family":"Phillips","given":"Steven","non-dropping-particle":"","parse-names":false,"suffix":""}],"container-title":"Cellulose","id":"ITEM-1","issue":"4","issued":{"date-parts":[["2009"]]},"page":"547-565","title":"An economic and environmental comparison of a biochemical and a thermochemical lignocellulosic ethanol conversion processes","type":"article-journal","volume":"16"},"uris":["http://www.mendeley.com/documents/?uuid=e07f9aa7-7fcd-3cd1-a468-634819a2e45f"]}],"mendeley":{"formattedCitation":"(Foust et al., 2009)","plainTextFormattedCitation":"(Foust et al., 2009)","previouslyFormattedCitation":"(Foust et al., 2009)"},"properties":{"noteIndex":0},"schema":"https://github.com/citation-style-language/schema/raw/master/csl-citation.json"}</w:instrText>
      </w:r>
      <w:r w:rsidRPr="00E10B6E">
        <w:fldChar w:fldCharType="separate"/>
      </w:r>
      <w:r w:rsidRPr="00E10B6E">
        <w:rPr>
          <w:noProof/>
        </w:rPr>
        <w:t>(Foust et al., 2009)</w:t>
      </w:r>
      <w:r w:rsidRPr="00E10B6E">
        <w:fldChar w:fldCharType="end"/>
      </w:r>
      <w:r w:rsidRPr="00E10B6E">
        <w:t xml:space="preserve">. The resulting syngas needs to be cleaned and conditioned to remove acid gases and impurities, before being compressed and sent to the methanol synthesis reactor </w:t>
      </w:r>
      <w:r w:rsidRPr="00E10B6E">
        <w:fldChar w:fldCharType="begin" w:fldLock="1"/>
      </w:r>
      <w:r w:rsidRPr="00E10B6E">
        <w:instrText>ADDIN CSL_CITATION {"citationItems":[{"id":"ITEM-1","itemData":{"DOI":"10.1016/j.fuel.2014.02.070","ISSN":"00162361","abstract":"Currently a great emphasis is being placed on simplification and cost reduction in the production process of methanol from renewable biomass sources. The experimental results obtained in this work, using a pre-pilot fluidized bed gasifier, demonstrate that the co-gasification of regional biomass residues with PET (polyethylene terephthalate) or tyre wastes may be regarded as a useful strategy to achieve the above goals. In fact, the product gas composition resulting from the presence of the aforesaid polymeric wastes in the fuel blend is such that the gas from the steam reforming unit does not need to be further conditioned in a water-gas shift reactor; the sole carbon dioxide capture process is sufficient to meet the requirements for the downstream methanol production. No significant differences in gas composition were observed moving from the PET to tyre-based pellets, but penalties were noted for the latter concerning tar and particulate generation. © 2014 Elsevier Ltd. All rights reserved.","author":[{"dropping-particle":"","family":"Brachi","given":"Paola","non-dropping-particle":"","parse-names":false,"suffix":""},{"dropping-particle":"","family":"Chirone","given":"Riccardo","non-dropping-particle":"","parse-names":false,"suffix":""},{"dropping-particle":"","family":"Miccio","given":"Francesco","non-dropping-particle":"","parse-names":false,"suffix":""},{"dropping-particle":"","family":"Miccio","given":"Michele","non-dropping-particle":"","parse-names":false,"suffix":""},{"dropping-particle":"","family":"Picarelli","given":"Antonio","non-dropping-particle":"","parse-names":false,"suffix":""},{"dropping-particle":"","family":"Ruoppolo","given":"Giovanna","non-dropping-particle":"","parse-names":false,"suffix":""}],"container-title":"Fuel","id":"ITEM-1","issued":{"date-parts":[["2014","7","15"]]},"page":"88-98","publisher":"Elsevier","title":"Fluidized bed co-gasification of biomass and polymeric wastes for a flexible end-use of the syngas: Focus on bio-methanol","type":"article-journal","volume":"128"},"uris":["http://www.mendeley.com/documents/?uuid=bdbec582-87eb-33c9-9d08-7486460a8a84"]}],"mendeley":{"formattedCitation":"(Brachi et al., 2014)","plainTextFormattedCitation":"(Brachi et al., 2014)","previouslyFormattedCitation":"(Brachi et al., 2014)"},"properties":{"noteIndex":0},"schema":"https://github.com/citation-style-language/schema/raw/master/csl-citation.json"}</w:instrText>
      </w:r>
      <w:r w:rsidRPr="00E10B6E">
        <w:fldChar w:fldCharType="separate"/>
      </w:r>
      <w:r w:rsidRPr="00E10B6E">
        <w:rPr>
          <w:noProof/>
        </w:rPr>
        <w:t>(Brachi et al., 2014)</w:t>
      </w:r>
      <w:r w:rsidRPr="00E10B6E">
        <w:fldChar w:fldCharType="end"/>
      </w:r>
      <w:r w:rsidRPr="00E10B6E">
        <w:t xml:space="preserve">. Quite often, the syngas needs to undergo a water-gas shift (WGS) reaction to maximize the hydrogen content </w:t>
      </w:r>
      <w:r w:rsidRPr="00E10B6E">
        <w:fldChar w:fldCharType="begin" w:fldLock="1"/>
      </w:r>
      <w:r w:rsidRPr="00E10B6E">
        <w:instrText>ADDIN CSL_CITATION {"citationItems":[{"id":"ITEM-1","itemData":{"DOI":"10.1016/b978-0-12-813025-4.00013-1","abstract":"The influx of heavy feedstocks such as heavy oil, extra heavy oil, and tar sand bitumen into refineries creates challenges but, at the same time, creates opportunities by improving the ability of refineries to handle heavy feedstocks, thereby enhancing refinery flexibility to meet the increasingly stringent product specifications for refined fuels. Gasification is a process that converts organic carbonaceous feedstocks into carbon monoxide, carbon dioxide, and hydrogen by reacting the feedstock at high temperatures (&gt;700°C, 1290°F), without combustion, with a controlled amount of oxygen and/or steam. The resulting gas mixture (synthesis gas, syngas) is called producer gas and is itself a fuel. The power derived from carbonaceous feedstocks and gasification followed by the combustion of the product gas(es) is considered to be a source of renewable energy if the gaseous products are from a source (e.g., biomass) other than a fossil fuel. It is the purpose of this chapter to present gasification as an appealing process for the utilization of relatively inexpensive feedstocks that might otherwise be declared as waste and sent to a landfill (where the production of methane—a so-called greenhouse gas—will be produced) or combusted that may not (depending upon the feedstock) be energy-efficient.","author":[{"dropping-particle":"","family":"Speight","given":"James G.","non-dropping-particle":"","parse-names":false,"suffix":""}],"container-title":"Heavy Oil Recovery and Upgrading","id":"ITEM-1","issued":{"date-parts":[["2019","1","1"]]},"page":"559-614","publisher":"Elsevier","title":"Upgrading by Gasification","type":"chapter"},"uris":["http://www.mendeley.com/documents/?uuid=a211f582-399d-3919-a857-bd85169f4610"]}],"mendeley":{"formattedCitation":"(Speight, 2019)","plainTextFormattedCitation":"(Speight, 2019)","previouslyFormattedCitation":"(Speight, 2019)"},"properties":{"noteIndex":0},"schema":"https://github.com/citation-style-language/schema/raw/master/csl-citation.json"}</w:instrText>
      </w:r>
      <w:r w:rsidRPr="00E10B6E">
        <w:fldChar w:fldCharType="separate"/>
      </w:r>
      <w:r w:rsidRPr="00E10B6E">
        <w:rPr>
          <w:noProof/>
        </w:rPr>
        <w:t>(Speight, 2019)</w:t>
      </w:r>
      <w:r w:rsidRPr="00E10B6E">
        <w:fldChar w:fldCharType="end"/>
      </w:r>
      <w:r w:rsidRPr="00E10B6E">
        <w:t xml:space="preserve">. The conversion reaction is facilitated by a commercial methanol catalyst, ensuring a selectivity of 99.8%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noProof/>
        </w:rPr>
        <w:t>(Xiang et al., 2015)</w:t>
      </w:r>
      <w:r w:rsidRPr="00E10B6E">
        <w:fldChar w:fldCharType="end"/>
      </w:r>
      <w:r w:rsidRPr="00E10B6E">
        <w:t>.</w:t>
      </w:r>
    </w:p>
    <w:p w14:paraId="64B51015" w14:textId="77777777" w:rsidR="007F7463" w:rsidRPr="00E10B6E" w:rsidRDefault="007F7463" w:rsidP="007F7463">
      <w:pPr>
        <w:keepNext/>
        <w:jc w:val="both"/>
      </w:pPr>
      <w:r w:rsidRPr="00E10B6E">
        <w:rPr>
          <w:noProof/>
        </w:rPr>
        <w:drawing>
          <wp:inline distT="0" distB="0" distL="0" distR="0" wp14:anchorId="0784546C" wp14:editId="1EF4CBB0">
            <wp:extent cx="5760000" cy="2187986"/>
            <wp:effectExtent l="0" t="0" r="0" b="3175"/>
            <wp:docPr id="18119026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2187986"/>
                    </a:xfrm>
                    <a:prstGeom prst="rect">
                      <a:avLst/>
                    </a:prstGeom>
                  </pic:spPr>
                </pic:pic>
              </a:graphicData>
            </a:graphic>
          </wp:inline>
        </w:drawing>
      </w:r>
    </w:p>
    <w:p w14:paraId="1136D803" w14:textId="562FC50D" w:rsidR="007F7463" w:rsidRPr="00F67810" w:rsidRDefault="007F7463" w:rsidP="007F7463">
      <w:pPr>
        <w:pStyle w:val="Caption"/>
        <w:jc w:val="both"/>
        <w:rPr>
          <w:lang w:val="it-IT"/>
        </w:rPr>
      </w:pPr>
      <w:bookmarkStart w:id="73" w:name="_Ref46348919"/>
      <w:r w:rsidRPr="00E10B6E">
        <w:t xml:space="preserve">Figure </w:t>
      </w:r>
      <w:r w:rsidR="00722F9A">
        <w:fldChar w:fldCharType="begin"/>
      </w:r>
      <w:r w:rsidR="00722F9A">
        <w:instrText xml:space="preserve"> SEQ Figure \* ARABIC </w:instrText>
      </w:r>
      <w:r w:rsidR="00722F9A">
        <w:fldChar w:fldCharType="separate"/>
      </w:r>
      <w:r w:rsidR="00983F73">
        <w:rPr>
          <w:noProof/>
        </w:rPr>
        <w:t>30</w:t>
      </w:r>
      <w:r w:rsidR="00722F9A">
        <w:rPr>
          <w:noProof/>
        </w:rPr>
        <w:fldChar w:fldCharType="end"/>
      </w:r>
      <w:r w:rsidRPr="00E10B6E">
        <w:t xml:space="preserve">: Steps of the gasification process of biomass into methanol. Made with information from </w:t>
      </w:r>
      <w:r w:rsidRPr="00E10B6E">
        <w:fldChar w:fldCharType="begin" w:fldLock="1"/>
      </w:r>
      <w:r w:rsidRPr="00E10B6E">
        <w:instrText>ADDIN CSL_CITATION {"citationItems":[{"id":"ITEM-1","itemData":{"DOI":"10.1016/B978-0-12-811132-1.00004-3","ISBN":"9780128111338","abstract":"The lack of existing infrastructure for hydrogen deployment is largely reported in the dedicated literature. The aim of this chapter is to present and define various pathways and technologies that can be followed to model the hydrogen supply chain (HSC) through supply chain management (SCM) concepts to efficiently integrate suppliers, manufacturers, and distributors so that hydrogen can be distributed at the right quantities, to the right locations and, at the right time, in order to optimize the main criteria (e.g., cost, risk, etc.). The modeling approaches of the HSC are described through a literature review. The pathway toward a hydrogen economy and more particularly here toward the use of hydrogen as an energy vector must encompass a broad range of items concerning the three pillars of sustainability based on economic, environmental, and social impacts. SCM models can be used to design improved business pathways which could result in reduced environmental impact while being also economically achievable. It is highlighted that more efforts can be done in fields such as demand uncertainty and social perception related to hydrogen.","author":[{"dropping-particle":"","family":"De-León Almaraz","given":"Sofía","non-dropping-particle":"","parse-names":false,"suffix":""},{"dropping-particle":"","family":"Azzaro-Pantel","given":"Catherine","non-dropping-particle":"","parse-names":false,"suffix":""}],"container-title":"Hydrogen Economy: Supply Chain, Life Cycle Analysis and Energy Transition for Sustainability","id":"ITEM-1","issued":{"date-parts":[["2017","5","8"]]},"page":"85-120","publisher":"Elsevier Inc.","title":"Design and Optimization of Hydrogen Supply Chains for a Sustainable Future","type":"chapter"},"uris":["http://www.mendeley.com/documents/?uuid=b9e8f0ea-e5b5-3525-bcca-ce1130060240"]},{"id":"ITEM-2","itemData":{"DOI":"10.1016/j.fuel.2014.02.070","ISSN":"00162361","abstract":"Currently a great emphasis is being placed on simplification and cost reduction in the production process of methanol from renewable biomass sources. The experimental results obtained in this work, using a pre-pilot fluidized bed gasifier, demonstrate that the co-gasification of regional biomass residues with PET (polyethylene terephthalate) or tyre wastes may be regarded as a useful strategy to achieve the above goals. In fact, the product gas composition resulting from the presence of the aforesaid polymeric wastes in the fuel blend is such that the gas from the steam reforming unit does not need to be further conditioned in a water-gas shift reactor; the sole carbon dioxide capture process is sufficient to meet the requirements for the downstream methanol production. No significant differences in gas composition were observed moving from the PET to tyre-based pellets, but penalties were noted for the latter concerning tar and particulate generation. © 2014 Elsevier Ltd. All rights reserved.","author":[{"dropping-particle":"","family":"Brachi","given":"Paola","non-dropping-particle":"","parse-names":false,"suffix":""},{"dropping-particle":"","family":"Chirone","given":"Riccardo","non-dropping-particle":"","parse-names":false,"suffix":""},{"dropping-particle":"","family":"Miccio","given":"Francesco","non-dropping-particle":"","parse-names":false,"suffix":""},{"dropping-particle":"","family":"Miccio","given":"Michele","non-dropping-particle":"","parse-names":false,"suffix":""},{"dropping-particle":"","family":"Picarelli","given":"Antonio","non-dropping-particle":"","parse-names":false,"suffix":""},{"dropping-particle":"","family":"Ruoppolo","given":"Giovanna","non-dropping-particle":"","parse-names":false,"suffix":""}],"container-title":"Fuel","id":"ITEM-2","issued":{"date-parts":[["2014","7","15"]]},"page":"88-98","publisher":"Elsevier","title":"Fluidized bed co-gasification of biomass and polymeric wastes for a flexible end-use of the syngas: Focus on bio-methanol","type":"article-journal","volume":"128"},"uris":["http://www.mendeley.com/documents/?uuid=bdbec582-87eb-33c9-9d08-7486460a8a84"]},{"id":"ITEM-3","itemData":{"DOI":"10.1016/j.wasman.2017.07.044","ISSN":"18792456","abstract":"This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w:instrText>
      </w:r>
      <w:r w:rsidRPr="00F67810">
        <w:rPr>
          <w:lang w:val="it-IT"/>
        </w:rPr>
        <w:instrText xml:space="preserve">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Management","id":"ITEM-3","issued":{"date-parts":[["2017","11","1"]]},"page":"24-58","publisher":"Elsevier Ltd","title":"Mechanical and chemical recycling of solid plastic waste","type":"article-journal","volume":"69"},"uris":["http://www.mendeley.com/documents/?uuid=878abd51-814e-43d7-a3df-51e7eb2e5f00"]}],"mendeley":{"formattedCitation":"(Brachi et al., 2014; De-León Almaraz &amp; Azzaro-Pantel, 2017; Ragaert et al., 2017)","plainTextFormattedCitation":"(Brachi et al., 2014; De-León Almaraz &amp; Azzaro-Pantel, 2017; Ragaert et al., 2017)","previouslyFormattedCitation":"(Brachi et al., 2014; De-León Almaraz &amp; Azzaro-Pantel, 2017; Ragaert et al., 2017)"},"properties":{"noteIndex":0},"schema":"https://github.com/citation-style-language/schema/raw/master/csl-citation.json"}</w:instrText>
      </w:r>
      <w:r w:rsidRPr="00E10B6E">
        <w:fldChar w:fldCharType="separate"/>
      </w:r>
      <w:r w:rsidRPr="00F67810">
        <w:rPr>
          <w:i w:val="0"/>
          <w:iCs w:val="0"/>
          <w:noProof/>
          <w:lang w:val="it-IT"/>
        </w:rPr>
        <w:t>(Brachi et al., 2014; De-León Almaraz &amp; Azzaro-Pantel, 2017; Ragaert et al., 2017)</w:t>
      </w:r>
      <w:r w:rsidRPr="00E10B6E">
        <w:fldChar w:fldCharType="end"/>
      </w:r>
      <w:r w:rsidRPr="00F67810">
        <w:rPr>
          <w:lang w:val="it-IT"/>
        </w:rPr>
        <w:t>.</w:t>
      </w:r>
      <w:bookmarkEnd w:id="73"/>
    </w:p>
    <w:p w14:paraId="1638C010" w14:textId="295E0AC1" w:rsidR="007F7463" w:rsidRPr="00E10B6E" w:rsidRDefault="007F7463" w:rsidP="007F7463">
      <w:pPr>
        <w:jc w:val="both"/>
      </w:pPr>
      <w:r w:rsidRPr="00E10B6E">
        <w:t>Methanol (CH</w:t>
      </w:r>
      <w:r w:rsidRPr="00E10B6E">
        <w:rPr>
          <w:vertAlign w:val="subscript"/>
        </w:rPr>
        <w:t>3</w:t>
      </w:r>
      <w:r w:rsidRPr="00E10B6E">
        <w:t xml:space="preserve">OH) is the simplest chemical in the alcohol category and it can be used as </w:t>
      </w:r>
      <w:r w:rsidR="00F52340" w:rsidRPr="00E10B6E">
        <w:t xml:space="preserve">a </w:t>
      </w:r>
      <w:r w:rsidRPr="00E10B6E">
        <w:t xml:space="preserve">precursor to other chemicals, or as fuel for transportation and energy production </w:t>
      </w:r>
      <w:r w:rsidRPr="00E10B6E">
        <w:fldChar w:fldCharType="begin" w:fldLock="1"/>
      </w:r>
      <w:r w:rsidRPr="00E10B6E">
        <w:instrText>ADDIN CSL_CITATION {"citationItems":[{"id":"ITEM-1","itemData":{"DOI":"10.1016/j.rser.2014.02.024","ISSN":"13640321","abstract":"The depletion of the fossil fuel supply and the environmental pollution caused by fossil fuel combustion have become major worldwide problems. Biomass is a renewable resource that has the potential to replace fossil fuels. One of the valuable biomass products is bio-methanol, which can be used to generate electricity and power for portable applications. This paper discusses the potential of bio-methanol as a renewable resource taking into account the world demand, economic assessment, power density and possible applications. It therefore presents the unique properties of bio-methanol as a potential energy resource. It also discusses the various types of biomass that can be obtained from waste products and the different processes that have been developed for the production of bio-methanol fIn addition, it discusses the current problems facing bio-methanol production and the further technological improvements that are needed to support the future energy requirements. Overall, the yield of bio-methanol depends on the type of process used and the associated kinetic parameters of the conversion process. Catalysts have been used in the thermo-chemical and bio-chemical conversion of carbon dioxide into bio-methanol. Several advanced methods have been recently introduced to enhance the production of methanol, but further research is required before these can be used for large-scale bio-methanol production. © 2014 Elsevier Ltd.","author":[{"dropping-particle":"","family":"Shamsul","given":"N. S.","non-dropping-particle":"","parse-names":false,"suffix":""},{"dropping-particle":"","family":"Kamarudin","given":"S. K.","non-dropping-particle":"","parse-names":false,"suffix":""},{"dropping-particle":"","family":"Rahman","given":"N. A.","non-dropping-particle":"","parse-names":false,"suffix":""},{"dropping-particle":"","family":"Kofli","given":"N. T.","non-dropping-particle":"","parse-names":false,"suffix":""}],"container-title":"Renewable and Sustainable Energy Reviews","id":"ITEM-1","issued":{"date-parts":[["2014","5","1"]]},"page":"578-588","publisher":"Elsevier Ltd","title":"An overview on the production of bio-methanol as potential renewable energy","type":"article","volume":"33"},"uris":["http://www.mendeley.com/documents/?uuid=c9ce0eab-7549-3456-be28-ec951509ae43"]}],"mendeley":{"formattedCitation":"(Shamsul et al., 2014)","plainTextFormattedCitation":"(Shamsul et al., 2014)","previouslyFormattedCitation":"(Shamsul et al., 2014)"},"properties":{"noteIndex":0},"schema":"https://github.com/citation-style-language/schema/raw/master/csl-citation.json"}</w:instrText>
      </w:r>
      <w:r w:rsidRPr="00E10B6E">
        <w:fldChar w:fldCharType="separate"/>
      </w:r>
      <w:r w:rsidRPr="00E10B6E">
        <w:rPr>
          <w:noProof/>
        </w:rPr>
        <w:t>(Shamsul et al., 2014)</w:t>
      </w:r>
      <w:r w:rsidRPr="00E10B6E">
        <w:fldChar w:fldCharType="end"/>
      </w:r>
      <w:r w:rsidRPr="00E10B6E">
        <w:t xml:space="preserve">. Methanol-To-Olefins (MTO) is a well-known conversion process, whose chemical reactions have been studied for more than two decades </w:t>
      </w:r>
      <w:r w:rsidRPr="00E10B6E">
        <w:fldChar w:fldCharType="begin" w:fldLock="1"/>
      </w:r>
      <w:r w:rsidRPr="00E10B6E">
        <w:instrText>ADDIN CSL_CITATION {"citationItems":[{"id":"ITEM-1","itemData":{"abstract":"Current efforts to mitigate climate change use renewable resources and\nreduce waste, drive the development of new processes. In this study we\nexamine the technologies for conversion of biomass to conventional\npolymers such as polyolefins. Such process routes, based on gasification\nand syngas production, are potentially technically feasible, since all process\nunits are currently either commercially available or in the pilot plant phase.\nIn the study their economic and environmental feasibility are evaluated.\nWe evaluate the environmental attractiveness of this emerging technology\nusing life cycle assessment (LCA) methodology. Economic evaluation is\nperformed by combining and adapting existing financial data which could\nbe further on being coupled with the LCA model. The expected out-comes\nof the study are the environmental and economic assessments as such, but\nalso a contribution to the on-going efforts to integrate LCA with economic\ntools. We also expect to contribute to methodology development through the\ncollection and documentation of experience from environmental\nassessments of new, emerging technologies. ","author":[{"dropping-particle":"","family":"Nouri","given":"Selim","non-dropping-particle":"","parse-names":false,"suffix":""},{"dropping-particle":"","family":"Tillman","given":"Anne-Marie","non-dropping-particle":"","parse-names":false,"suffix":""}],"id":"ITEM-1","issued":{"date-parts":[["2005"]]},"publisher-place":"Göteborg, Sweden","title":"Evaluating synthesis gas based biomass to plastics (BTP) technologies","type":"report"},"uris":["http://www.mendeley.com/documents/?uuid=6e897f85-afa9-34a7-9e8a-09ee10b6958d"]}],"mendeley":{"formattedCitation":"(Nouri &amp; Tillman, 2005)","plainTextFormattedCitation":"(Nouri &amp; Tillman, 2005)","previouslyFormattedCitation":"(Nouri &amp; Tillman, 2005)"},"properties":{"noteIndex":0},"schema":"https://github.com/citation-style-language/schema/raw/master/csl-citation.json"}</w:instrText>
      </w:r>
      <w:r w:rsidRPr="00E10B6E">
        <w:fldChar w:fldCharType="separate"/>
      </w:r>
      <w:r w:rsidRPr="00E10B6E">
        <w:rPr>
          <w:noProof/>
        </w:rPr>
        <w:t>(Nouri &amp; Tillman, 2005)</w:t>
      </w:r>
      <w:r w:rsidRPr="00E10B6E">
        <w:fldChar w:fldCharType="end"/>
      </w:r>
      <w:r w:rsidRPr="00E10B6E">
        <w:t xml:space="preserve">. As seen in </w:t>
      </w:r>
      <w:r w:rsidRPr="00E10B6E">
        <w:fldChar w:fldCharType="begin"/>
      </w:r>
      <w:r w:rsidRPr="00E10B6E">
        <w:instrText xml:space="preserve"> REF _Ref46348949 \h </w:instrText>
      </w:r>
      <w:r w:rsidRPr="00E10B6E">
        <w:fldChar w:fldCharType="separate"/>
      </w:r>
      <w:r w:rsidR="00983F73" w:rsidRPr="00E10B6E">
        <w:t xml:space="preserve">Figure </w:t>
      </w:r>
      <w:r w:rsidR="00983F73">
        <w:rPr>
          <w:noProof/>
        </w:rPr>
        <w:t>31</w:t>
      </w:r>
      <w:r w:rsidRPr="00E10B6E">
        <w:fldChar w:fldCharType="end"/>
      </w:r>
      <w:r w:rsidRPr="00E10B6E">
        <w:t xml:space="preserve">, the bio-methanol faces a catalytic conversion in a fluidised-bed reactor at 350°C and 30 atm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 xml:space="preserve">, often </w:t>
      </w:r>
      <w:r w:rsidRPr="00E10B6E">
        <w:lastRenderedPageBreak/>
        <w:t xml:space="preserve">coupled with a catalyst regenerator. The resulting gaseous product is sent to a purification unit to separate the olefins, with a final yield of 49-55% for ethylene and 25-33% for propylene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noProof/>
        </w:rPr>
        <w:t>(Xiang et al., 2015)</w:t>
      </w:r>
      <w:r w:rsidRPr="00E10B6E">
        <w:fldChar w:fldCharType="end"/>
      </w:r>
    </w:p>
    <w:p w14:paraId="1A2CED64" w14:textId="77777777" w:rsidR="007F7463" w:rsidRPr="00E10B6E" w:rsidRDefault="007F7463" w:rsidP="007F7463">
      <w:pPr>
        <w:keepNext/>
        <w:jc w:val="both"/>
      </w:pPr>
      <w:r w:rsidRPr="00E10B6E">
        <w:rPr>
          <w:noProof/>
        </w:rPr>
        <w:drawing>
          <wp:inline distT="0" distB="0" distL="0" distR="0" wp14:anchorId="045577B2" wp14:editId="67CFF8EE">
            <wp:extent cx="5760000" cy="1808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b="-3972"/>
                    <a:stretch/>
                  </pic:blipFill>
                  <pic:spPr bwMode="auto">
                    <a:xfrm>
                      <a:off x="0" y="0"/>
                      <a:ext cx="5760000" cy="1808990"/>
                    </a:xfrm>
                    <a:prstGeom prst="rect">
                      <a:avLst/>
                    </a:prstGeom>
                    <a:noFill/>
                    <a:ln>
                      <a:noFill/>
                    </a:ln>
                    <a:extLst>
                      <a:ext uri="{53640926-AAD7-44D8-BBD7-CCE9431645EC}">
                        <a14:shadowObscured xmlns:a14="http://schemas.microsoft.com/office/drawing/2010/main"/>
                      </a:ext>
                    </a:extLst>
                  </pic:spPr>
                </pic:pic>
              </a:graphicData>
            </a:graphic>
          </wp:inline>
        </w:drawing>
      </w:r>
    </w:p>
    <w:p w14:paraId="489BD2DD" w14:textId="42968C61" w:rsidR="007F7463" w:rsidRPr="00E10B6E" w:rsidRDefault="007F7463" w:rsidP="007F7463">
      <w:pPr>
        <w:pStyle w:val="Caption"/>
        <w:jc w:val="both"/>
      </w:pPr>
      <w:bookmarkStart w:id="74" w:name="_Ref46348949"/>
      <w:r w:rsidRPr="00E10B6E">
        <w:t xml:space="preserve">Figure </w:t>
      </w:r>
      <w:r w:rsidR="00722F9A">
        <w:fldChar w:fldCharType="begin"/>
      </w:r>
      <w:r w:rsidR="00722F9A">
        <w:instrText xml:space="preserve"> SEQ Figure \* ARABIC </w:instrText>
      </w:r>
      <w:r w:rsidR="00722F9A">
        <w:fldChar w:fldCharType="separate"/>
      </w:r>
      <w:r w:rsidR="00983F73">
        <w:rPr>
          <w:noProof/>
        </w:rPr>
        <w:t>31</w:t>
      </w:r>
      <w:r w:rsidR="00722F9A">
        <w:rPr>
          <w:noProof/>
        </w:rPr>
        <w:fldChar w:fldCharType="end"/>
      </w:r>
      <w:bookmarkEnd w:id="74"/>
      <w:r w:rsidRPr="00E10B6E">
        <w:t xml:space="preserve">: Methanol-to-olefins (MTO) process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i w:val="0"/>
          <w:noProof/>
        </w:rPr>
        <w:t>(Xiang et al., 2015)</w:t>
      </w:r>
      <w:r w:rsidRPr="00E10B6E">
        <w:fldChar w:fldCharType="end"/>
      </w:r>
      <w:r w:rsidRPr="00E10B6E">
        <w:t>.</w:t>
      </w:r>
    </w:p>
    <w:p w14:paraId="1CF53F26" w14:textId="01F03244" w:rsidR="007F7463" w:rsidRPr="00E10B6E" w:rsidRDefault="007F7463" w:rsidP="007F7463">
      <w:pPr>
        <w:jc w:val="both"/>
      </w:pPr>
      <w:r w:rsidRPr="00E10B6E">
        <w:t xml:space="preserve">Overall, the production of 1 kg of light olefins requires the input of 4 kg of biomass feedstock and 8 MJ of energy, which is used mainly for the gasification process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noProof/>
        </w:rPr>
        <w:t>(Xiang et al., 2015)</w:t>
      </w:r>
      <w:r w:rsidRPr="00E10B6E">
        <w:fldChar w:fldCharType="end"/>
      </w:r>
      <w:r w:rsidRPr="00E10B6E">
        <w:t xml:space="preserve">. In comparison, the production of ethylene and propylene from naphtha cracking consumes around 16 MJ of primary energy </w:t>
      </w:r>
      <w:r w:rsidRPr="00E10B6E">
        <w:fldChar w:fldCharType="begin" w:fldLock="1"/>
      </w:r>
      <w:r w:rsidRPr="00E10B6E">
        <w:instrText>ADDIN CSL_CITATION {"citationItems":[{"id":"ITEM-1","itemData":{"author":[{"dropping-particle":"","family":"PlasticsEurope","given":"","non-dropping-particle":"","parse-names":false,"suffix":""}],"id":"ITEM-1","issued":{"date-parts":[["2012"]]},"number-of-pages":"51","publisher-place":"Brussels","title":"Ecoprofiles and Environmental Product Declarations of the European Plastics Manufacturers. Ethylene, Propylene, Butadiene, Pyrolysis Gasoline, Ethylene Oxide (EO), Ethylene Glycols (MEG, DEG, TEG).","type":"report"},"uris":["http://www.mendeley.com/documents/?uuid=1f0a9e73-e1e8-40ec-bb98-97ba3815e1eb"]}],"mendeley":{"formattedCitation":"(PlasticsEurope, 2012)","plainTextFormattedCitation":"(PlasticsEurope, 2012)","previouslyFormattedCitation":"(PlasticsEurope, 2012)"},"properties":{"noteIndex":0},"schema":"https://github.com/citation-style-language/schema/raw/master/csl-citation.json"}</w:instrText>
      </w:r>
      <w:r w:rsidRPr="00E10B6E">
        <w:fldChar w:fldCharType="separate"/>
      </w:r>
      <w:r w:rsidRPr="00E10B6E">
        <w:rPr>
          <w:noProof/>
        </w:rPr>
        <w:t>(PlasticsEurope, 2012)</w:t>
      </w:r>
      <w:r w:rsidRPr="00E10B6E">
        <w:fldChar w:fldCharType="end"/>
      </w:r>
      <w:r w:rsidRPr="00E10B6E">
        <w:t xml:space="preserve">, so it could be assumed that the carbon emissions of bio-based ethylene are also halved compared to fossil-based ethylene. Although gasification and MTO conversion follow a production route that is quite different from the fermentation and dehydration of bio-ethanol, the production of bio-polyolefins using thermochemical and biochemical process seem to have very comparable economic and environmental impacts </w:t>
      </w:r>
      <w:r w:rsidRPr="00E10B6E">
        <w:fldChar w:fldCharType="begin" w:fldLock="1"/>
      </w:r>
      <w:r w:rsidRPr="00E10B6E">
        <w:instrText>ADDIN CSL_CITATION {"citationItems":[{"id":"ITEM-1","itemData":{"DOI":"10.1007/s10570-009-9317-x","ISSN":"09690239","abstract":"With the world's focus on rapidly deploying second generation biofuels technologies, there exists today a good deal of interest in how yields, economics, and environmental impacts of the various conversion processes of lignocellulosic biomass to transportation fuels compare. Although there is a good deal of information regarding these conversion processes, this information is typically very difficult to use on a comparison basis because different underlying assumptions, such as feedstock costs, plant size, co-product credits or assumed state of technology, have been utilized. In this study, a rigorous comparison of different biomass to transportation fuels conversion processes was performed with standard underlying economic and environmental assumptions so that exact comparisons can be made. This study looked at promising second-generation conversion processes utilizing biochemical and thermochemical gasification technologies on both a current and an achievable state of technology in 2012. The fundamental finding of this study is that although the biochemical and thermochemical processes to ethanol analyzed have their individual strengths and weaknesses, the two processes have very comparable yields, economics, and environmental impacts. Hence, this study concludes that based on this analysis there is not a distinct economic or environmental impact difference between biochemical and thermochemical gasification processes for second generation ethanol production. © Springer Science+Business Media B.V. 2009.","author":[{"dropping-particle":"","family":"Foust","given":"Thomas D.","non-dropping-particle":"","parse-names":false,"suffix":""},{"dropping-particle":"","family":"Aden","given":"Andy","non-dropping-particle":"","parse-names":false,"suffix":""},{"dropping-particle":"","family":"Dutta","given":"Abhijit","non-dropping-particle":"","parse-names":false,"suffix":""},{"dropping-particle":"","family":"Phillips","given":"Steven","non-dropping-particle":"","parse-names":false,"suffix":""}],"container-title":"Cellulose","id":"ITEM-1","issue":"4","issued":{"date-parts":[["2009"]]},"page":"547-565","title":"An economic and environmental comparison of a biochemical and a thermochemical lignocellulosic ethanol conversion processes","type":"article-journal","volume":"16"},"uris":["http://www.mendeley.com/documents/?uuid=e07f9aa7-7fcd-3cd1-a468-634819a2e45f"]}],"mendeley":{"formattedCitation":"(Foust et al., 2009)","plainTextFormattedCitation":"(Foust et al., 2009)","previouslyFormattedCitation":"(Foust et al., 2009)"},"properties":{"noteIndex":0},"schema":"https://github.com/citation-style-language/schema/raw/master/csl-citation.json"}</w:instrText>
      </w:r>
      <w:r w:rsidRPr="00E10B6E">
        <w:fldChar w:fldCharType="separate"/>
      </w:r>
      <w:r w:rsidRPr="00E10B6E">
        <w:rPr>
          <w:noProof/>
        </w:rPr>
        <w:t>(Foust et al., 2009)</w:t>
      </w:r>
      <w:r w:rsidRPr="00E10B6E">
        <w:fldChar w:fldCharType="end"/>
      </w:r>
      <w:r w:rsidRPr="00E10B6E">
        <w:t xml:space="preserve">. Considering that they require two different types of biomass feedstock, they complement well each other, and both have the potential to make a positive contribution </w:t>
      </w:r>
      <w:r w:rsidR="00F52340" w:rsidRPr="00E10B6E">
        <w:t>to</w:t>
      </w:r>
      <w:r w:rsidRPr="00E10B6E">
        <w:t xml:space="preserve"> the Dutch decarbonization strategy.</w:t>
      </w:r>
    </w:p>
    <w:p w14:paraId="61F4D4F7" w14:textId="495A47A7" w:rsidR="007F7463" w:rsidRPr="00E10B6E" w:rsidRDefault="007F7463" w:rsidP="00914619">
      <w:pPr>
        <w:pStyle w:val="Heading3"/>
      </w:pPr>
      <w:bookmarkStart w:id="75" w:name="_Toc54274806"/>
      <w:r w:rsidRPr="00E10B6E">
        <w:t xml:space="preserve">4.4.3 </w:t>
      </w:r>
      <w:r w:rsidR="0061518F" w:rsidRPr="00E10B6E">
        <w:t>Techno-economic indicators and current projects on</w:t>
      </w:r>
      <w:r w:rsidR="00160B51" w:rsidRPr="00E10B6E">
        <w:t xml:space="preserve"> bio-based </w:t>
      </w:r>
      <w:r w:rsidRPr="00E10B6E">
        <w:t>polyolefins</w:t>
      </w:r>
      <w:bookmarkEnd w:id="75"/>
    </w:p>
    <w:p w14:paraId="027A1296" w14:textId="15E272D2" w:rsidR="0061518F" w:rsidRPr="00E10B6E" w:rsidRDefault="0061518F" w:rsidP="0061518F">
      <w:pPr>
        <w:spacing w:after="200" w:line="276" w:lineRule="auto"/>
        <w:jc w:val="both"/>
      </w:pPr>
      <w:r w:rsidRPr="00E10B6E">
        <w:t xml:space="preserve">Using data from </w:t>
      </w:r>
      <w:r w:rsidRPr="00E10B6E">
        <w:fldChar w:fldCharType="begin" w:fldLock="1"/>
      </w:r>
      <w:r w:rsidRPr="00E10B6E">
        <w:instrText>ADDIN CSL_CITATION {"citationItems":[{"id":"ITEM-1","itemData":{"DOI":"10.1002/bbb.2069","ISSN":"1932-104X","abstract":"The urgency with which the world economy needs to be decarbonized could lead to the emergence of regions with the capacity to produce renewable feedstock such as biomass. The competitiveness of these regions could result from their ability to produce high value-added chemicals at the lowest cost. The biomass embodied in a chemical product could reduce carbon emissions, leading to net CO2 removal. The aim of this study was to test the hypothesis that bio-ethylene could make the Brazilian chemical industry more competitive. This would be achieved by applying the revenues from carbon credits associated with using ethanol and sugarcane bagasse as feedstocks for bio-ethylene production. Three production routes were compared according to their estimated cost of production in Brazil under a simplified life-cycle analysis: sugar-cane-derived ethanol to ethylene (with and without CO2 capture and storage – BECCS); bio-methanol to olefin; and conventional steam cracking of naphtha. When associated with the production of long-lasting materials, the ethanol-to-ethylene with BECCS route achieved the lower CO2 break-even price (US$75/t CO2), followed by ethanol to ethylene without BECCS (US$82/t CO2) and bio-methanol to ethylene (US$106/t CO2). Our findings highlight the advantage for the Brazilian chemical industry of implementing a national or, even better, a global carbon-pricing instrument. © 2019 Society of Chemical Industry and John Wiley &amp; Sons, Ltd.","author":[{"dropping-particle":"","family":"Oliveira","given":"Camilla C.N.","non-dropping-particle":"","parse-names":false,"suffix":""},{"dropping-particle":"","family":"Rochedo","given":"Pedro R.R.","non-dropping-particle":"","parse-names":false,"suffix":""},{"dropping-particle":"","family":"Bhardwaj","given":"Rajat","non-dropping-particle":"","parse-names":false,"suffix":""},{"dropping-particle":"","family":"Worrell","given":"Ernst","non-dropping-particle":"","parse-names":false,"suffix":""},{"dropping-particle":"","family":"Szklo","given":"Alexandre","non-dropping-particle":"","parse-names":false,"suffix":""}],"container-title":"Biofuels, Bioproducts and Biorefining","id":"ITEM-1","issue":"2","issued":{"date-parts":[["2020","3","9"]]},"page":"286-300","publisher":"John Wiley and Sons Ltd","title":"Bio</w:instrText>
      </w:r>
      <w:r w:rsidRPr="00E10B6E">
        <w:rPr>
          <w:rFonts w:ascii="Cambria Math" w:hAnsi="Cambria Math" w:cs="Cambria Math"/>
        </w:rPr>
        <w:instrText>‐</w:instrText>
      </w:r>
      <w:r w:rsidRPr="00E10B6E">
        <w:instrText>ethylene from sugarcane as a competitiveness strategy for the Brazilian chemical industry","type":"article-journal","volume":"14"},"uris":["http://www.mendeley.com/documents/?uuid=a0b0a4f3-402a-342a-87c9-3f4d35afebef"]}],"mendeley":{"formattedCitation":"(Oliveira et al., 2020)","plainTextFormattedCitation":"(Oliveira et al., 2020)","previouslyFormattedCitation":"(Oliveira et al., 2020)"},"properties":{"noteIndex":0},"schema":"https://github.com/citation-style-language/schema/raw/master/csl-citation.json"}</w:instrText>
      </w:r>
      <w:r w:rsidRPr="00E10B6E">
        <w:fldChar w:fldCharType="separate"/>
      </w:r>
      <w:r w:rsidRPr="00E10B6E">
        <w:rPr>
          <w:noProof/>
        </w:rPr>
        <w:t>(Oliveira et al., 2020)</w:t>
      </w:r>
      <w:r w:rsidRPr="00E10B6E">
        <w:fldChar w:fldCharType="end"/>
      </w:r>
      <w:r w:rsidRPr="00E10B6E">
        <w:t xml:space="preserve"> adjusted for the European market, </w:t>
      </w:r>
      <w:r w:rsidRPr="00E10B6E">
        <w:fldChar w:fldCharType="begin"/>
      </w:r>
      <w:r w:rsidRPr="00E10B6E">
        <w:instrText xml:space="preserve"> REF _Ref46355243 \h </w:instrText>
      </w:r>
      <w:r w:rsidRPr="00E10B6E">
        <w:fldChar w:fldCharType="separate"/>
      </w:r>
      <w:r w:rsidR="00983F73" w:rsidRPr="00E10B6E">
        <w:t xml:space="preserve">Table </w:t>
      </w:r>
      <w:r w:rsidR="00983F73">
        <w:rPr>
          <w:noProof/>
        </w:rPr>
        <w:t>11</w:t>
      </w:r>
      <w:r w:rsidRPr="00E10B6E">
        <w:fldChar w:fldCharType="end"/>
      </w:r>
      <w:r w:rsidRPr="00E10B6E">
        <w:t xml:space="preserve"> presents a comparison between the standard production of naphtha-based ethylene using steam crackers, the production of sugar-based bio-ethylene through fermentation</w:t>
      </w:r>
      <w:r w:rsidR="007F5BE3" w:rsidRPr="00E10B6E">
        <w:t xml:space="preserve"> of sugar beets</w:t>
      </w:r>
      <w:r w:rsidRPr="00E10B6E">
        <w:t>, and the production of methanol-based ethylene from the gasification of biowaste. As the production of bio-based ethylene is more expensive than when using naphtha crackers, a price on carbon emissions is necessary to make the process convenient. It is assumed that 40% of the PE gets recycled at the end of its life, thus keeping the carbon sequestered from the atmosphere (in the Netherlands 32% of the plastics is already recycled, and the share will most likely increase in the next years thanks to improvements in mechanical and chemical recycling processes). In addition, the “</w:t>
      </w:r>
      <w:r w:rsidRPr="00E10B6E">
        <w:rPr>
          <w:i/>
          <w:iCs/>
        </w:rPr>
        <w:t>cheap feedstock</w:t>
      </w:r>
      <w:r w:rsidRPr="00E10B6E">
        <w:t xml:space="preserve">” case is made using the price of Brazilian ethanol, which is roughly 50% cheaper than the European one </w:t>
      </w:r>
      <w:r w:rsidRPr="00E10B6E">
        <w:fldChar w:fldCharType="begin" w:fldLock="1"/>
      </w:r>
      <w:r w:rsidRPr="00E10B6E">
        <w:instrText>ADDIN CSL_CITATION {"citationItems":[{"id":"ITEM-1","itemData":{"URL":"https://www.globalpetrolprices.com/ethanol_prices/","accessed":{"date-parts":[["2020","7","17"]]},"author":[{"dropping-particle":"","family":"GlobalPetrolPrices","given":"","non-dropping-particle":"","parse-names":false,"suffix":""}],"id":"ITEM-1","issued":{"date-parts":[["2020"]]},"title":"Ethanol prices around the world","type":"webpage"},"uris":["http://www.mendeley.com/documents/?uuid=93089f1f-0238-3994-9d4f-81044dd1ccb7"]}],"mendeley":{"formattedCitation":"(GlobalPetrolPrices, 2020)","plainTextFormattedCitation":"(GlobalPetrolPrices, 2020)","previouslyFormattedCitation":"(GlobalPetrolPrices, 2020)"},"properties":{"noteIndex":0},"schema":"https://github.com/citation-style-language/schema/raw/master/csl-citation.json"}</w:instrText>
      </w:r>
      <w:r w:rsidRPr="00E10B6E">
        <w:fldChar w:fldCharType="separate"/>
      </w:r>
      <w:r w:rsidRPr="00E10B6E">
        <w:rPr>
          <w:noProof/>
        </w:rPr>
        <w:t>(GlobalPetrolPrices, 2020)</w:t>
      </w:r>
      <w:r w:rsidRPr="00E10B6E">
        <w:fldChar w:fldCharType="end"/>
      </w:r>
      <w:r w:rsidRPr="00E10B6E">
        <w:t>.</w:t>
      </w:r>
    </w:p>
    <w:p w14:paraId="2027B280" w14:textId="3542B79B" w:rsidR="0061518F" w:rsidRPr="00E10B6E" w:rsidRDefault="0061518F" w:rsidP="0061518F">
      <w:pPr>
        <w:pStyle w:val="Caption"/>
        <w:keepNext/>
        <w:jc w:val="both"/>
      </w:pPr>
      <w:bookmarkStart w:id="76" w:name="_Ref46355243"/>
      <w:r w:rsidRPr="00E10B6E">
        <w:lastRenderedPageBreak/>
        <w:t xml:space="preserve">Table </w:t>
      </w:r>
      <w:r w:rsidR="00722F9A">
        <w:fldChar w:fldCharType="begin"/>
      </w:r>
      <w:r w:rsidR="00722F9A">
        <w:instrText xml:space="preserve"> SEQ</w:instrText>
      </w:r>
      <w:r w:rsidR="00722F9A">
        <w:instrText xml:space="preserve"> Table \* ARABIC </w:instrText>
      </w:r>
      <w:r w:rsidR="00722F9A">
        <w:fldChar w:fldCharType="separate"/>
      </w:r>
      <w:r w:rsidR="00983F73">
        <w:rPr>
          <w:noProof/>
        </w:rPr>
        <w:t>11</w:t>
      </w:r>
      <w:r w:rsidR="00722F9A">
        <w:rPr>
          <w:noProof/>
        </w:rPr>
        <w:fldChar w:fldCharType="end"/>
      </w:r>
      <w:bookmarkEnd w:id="76"/>
      <w:r w:rsidRPr="00E10B6E">
        <w:t xml:space="preserve">: Economic indicators and break-even carbon price necessary to make the production of bio-ethylene as economically convenient as its naphtha-based counterpart. Based on data from </w:t>
      </w:r>
      <w:r w:rsidRPr="00E10B6E">
        <w:fldChar w:fldCharType="begin" w:fldLock="1"/>
      </w:r>
      <w:r w:rsidRPr="00E10B6E">
        <w:instrText>ADDIN CSL_CITATION {"citationItems":[{"id":"ITEM-1","itemData":{"DOI":"10.1002/bbb.2069","ISSN":"1932-104X","abstract":"The urgency with which the world economy needs to be decarbonized could lead to the emergence of regions with the capacity to produce renewable feedstock such as biomass. The competitiveness of these regions could result from their ability to produce high value-added chemicals at the lowest cost. The biomass embodied in a chemical product could reduce carbon emissions, leading to net CO2 removal. The aim of this study was to test the hypothesis that bio-ethylene could make the Brazilian chemical industry more competitive. This would be achieved by applying the revenues from carbon credits associated with using ethanol and sugarcane bagasse as feedstocks for bio-ethylene production. Three production routes were compared according to their estimated cost of production in Brazil under a simplified life-cycle analysis: sugar-cane-derived ethanol to ethylene (with and without CO2 capture and storage – BECCS); bio-methanol to olefin; and conventional steam cracking of naphtha. When associated with the production of long-lasting materials, the ethanol-to-ethylene with BECCS route achieved the lower CO2 break-even price (US$75/t CO2), followed by ethanol to ethylene without BECCS (US$82/t CO2) and bio-methanol to ethylene (US$106/t CO2). Our findings highlight the advantage for the Brazilian chemical industry of implementing a national or, even better, a global carbon-pricing instrument. © 2019 Society of Chemical Industry and John Wiley &amp; Sons, Ltd.","author":[{"dropping-particle":"","family":"Oliveira","given":"Camilla C.N.","non-dropping-particle":"","parse-names":false,"suffix":""},{"dropping-particle":"","family":"Rochedo","given":"Pedro R.R.","non-dropping-particle":"","parse-names":false,"suffix":""},{"dropping-particle":"","family":"Bhardwaj","given":"Rajat","non-dropping-particle":"","parse-names":false,"suffix":""},{"dropping-particle":"","family":"Worrell","given":"Ernst","non-dropping-particle":"","parse-names":false,"suffix":""},{"dropping-particle":"","family":"Szklo","given":"Alexandre","non-dropping-particle":"","parse-names":false,"suffix":""}],"container-title":"Biofuels, Bioproducts and Biorefining","id":"ITEM-1","issue":"2","issued":{"date-parts":[["2020","3","9"]]},"page":"286-300","publisher":"John Wiley and Sons Ltd","title":"Bio</w:instrText>
      </w:r>
      <w:r w:rsidRPr="00E10B6E">
        <w:rPr>
          <w:rFonts w:ascii="Cambria Math" w:hAnsi="Cambria Math" w:cs="Cambria Math"/>
        </w:rPr>
        <w:instrText>‐</w:instrText>
      </w:r>
      <w:r w:rsidRPr="00E10B6E">
        <w:instrText>ethylene from sugarcane as a competitiveness strategy for the Brazilian chemical industry","type":"article-journal","volume":"14"},"uris":["http://www.mendeley.com/documents/?uuid=a0b0a4f3-402a-342a-87c9-3f4d35afebef"]}],"mendeley":{"formattedCitation":"(Oliveira et al., 2020)","plainTextFormattedCitation":"(Oliveira et al., 2020)","previouslyFormattedCitation":"(Oliveira et al., 2020)"},"properties":{"noteIndex":0},"schema":"https://github.com/citation-style-language/schema/raw/master/csl-citation.json"}</w:instrText>
      </w:r>
      <w:r w:rsidRPr="00E10B6E">
        <w:fldChar w:fldCharType="separate"/>
      </w:r>
      <w:r w:rsidRPr="00E10B6E">
        <w:rPr>
          <w:i w:val="0"/>
          <w:noProof/>
        </w:rPr>
        <w:t>(Oliveira et al., 2020)</w:t>
      </w:r>
      <w:r w:rsidRPr="00E10B6E">
        <w:fldChar w:fldCharType="end"/>
      </w:r>
      <w:r w:rsidRPr="00E10B6E">
        <w:t xml:space="preserve"> adjusted for the European market (More information in Appendix A). </w:t>
      </w:r>
    </w:p>
    <w:tbl>
      <w:tblPr>
        <w:tblStyle w:val="TableGrid"/>
        <w:tblW w:w="9072" w:type="dxa"/>
        <w:tblLook w:val="04A0" w:firstRow="1" w:lastRow="0" w:firstColumn="1" w:lastColumn="0" w:noHBand="0" w:noVBand="1"/>
      </w:tblPr>
      <w:tblGrid>
        <w:gridCol w:w="2268"/>
        <w:gridCol w:w="2268"/>
        <w:gridCol w:w="2268"/>
        <w:gridCol w:w="2268"/>
      </w:tblGrid>
      <w:tr w:rsidR="00795428" w:rsidRPr="00E10B6E" w14:paraId="15C9AD91" w14:textId="77777777" w:rsidTr="002F202D">
        <w:trPr>
          <w:trHeight w:val="567"/>
        </w:trPr>
        <w:tc>
          <w:tcPr>
            <w:tcW w:w="2268" w:type="dxa"/>
            <w:shd w:val="clear" w:color="auto" w:fill="4472C4" w:themeFill="accent1"/>
            <w:vAlign w:val="center"/>
          </w:tcPr>
          <w:p w14:paraId="5FE6AA48" w14:textId="6ADB43BD" w:rsidR="00795428" w:rsidRPr="00E10B6E" w:rsidRDefault="00795428" w:rsidP="006A53E1">
            <w:pPr>
              <w:keepNext/>
              <w:keepLines/>
              <w:spacing w:line="276" w:lineRule="auto"/>
              <w:jc w:val="center"/>
              <w:rPr>
                <w:b/>
                <w:bCs/>
                <w:color w:val="FFFFFF" w:themeColor="background1"/>
              </w:rPr>
            </w:pPr>
            <w:r w:rsidRPr="00E10B6E">
              <w:rPr>
                <w:b/>
                <w:bCs/>
                <w:color w:val="FFFFFF" w:themeColor="background1"/>
              </w:rPr>
              <w:t>Indicator</w:t>
            </w:r>
          </w:p>
        </w:tc>
        <w:tc>
          <w:tcPr>
            <w:tcW w:w="2268" w:type="dxa"/>
            <w:shd w:val="clear" w:color="auto" w:fill="4472C4" w:themeFill="accent1"/>
            <w:vAlign w:val="center"/>
          </w:tcPr>
          <w:p w14:paraId="2F1F7056" w14:textId="3A66FED5" w:rsidR="00795428" w:rsidRPr="00E10B6E" w:rsidRDefault="00795428" w:rsidP="006A53E1">
            <w:pPr>
              <w:keepNext/>
              <w:keepLines/>
              <w:spacing w:line="276" w:lineRule="auto"/>
              <w:jc w:val="center"/>
              <w:rPr>
                <w:b/>
                <w:bCs/>
                <w:color w:val="FFFFFF" w:themeColor="background1"/>
              </w:rPr>
            </w:pPr>
            <w:r w:rsidRPr="00E10B6E">
              <w:rPr>
                <w:b/>
                <w:bCs/>
                <w:color w:val="FFFFFF" w:themeColor="background1"/>
              </w:rPr>
              <w:t>Naphtha-based olefins</w:t>
            </w:r>
          </w:p>
        </w:tc>
        <w:tc>
          <w:tcPr>
            <w:tcW w:w="2268" w:type="dxa"/>
            <w:shd w:val="clear" w:color="auto" w:fill="4472C4" w:themeFill="accent1"/>
            <w:vAlign w:val="center"/>
          </w:tcPr>
          <w:p w14:paraId="64256776" w14:textId="664760EF" w:rsidR="00795428" w:rsidRPr="00E10B6E" w:rsidRDefault="00795428" w:rsidP="006A53E1">
            <w:pPr>
              <w:keepNext/>
              <w:keepLines/>
              <w:spacing w:line="276" w:lineRule="auto"/>
              <w:jc w:val="center"/>
              <w:rPr>
                <w:b/>
                <w:bCs/>
                <w:color w:val="FFFFFF" w:themeColor="background1"/>
              </w:rPr>
            </w:pPr>
            <w:r w:rsidRPr="00E10B6E">
              <w:rPr>
                <w:b/>
                <w:bCs/>
                <w:color w:val="FFFFFF" w:themeColor="background1"/>
              </w:rPr>
              <w:t>Sugar-based olefins</w:t>
            </w:r>
          </w:p>
        </w:tc>
        <w:tc>
          <w:tcPr>
            <w:tcW w:w="2268" w:type="dxa"/>
            <w:shd w:val="clear" w:color="auto" w:fill="4472C4" w:themeFill="accent1"/>
            <w:vAlign w:val="center"/>
          </w:tcPr>
          <w:p w14:paraId="09FEFA01" w14:textId="7C71C7AE" w:rsidR="00795428" w:rsidRPr="00E10B6E" w:rsidRDefault="00795428" w:rsidP="006A53E1">
            <w:pPr>
              <w:keepNext/>
              <w:keepLines/>
              <w:spacing w:line="276" w:lineRule="auto"/>
              <w:jc w:val="center"/>
              <w:rPr>
                <w:b/>
                <w:bCs/>
                <w:color w:val="FFFFFF" w:themeColor="background1"/>
              </w:rPr>
            </w:pPr>
            <w:r w:rsidRPr="00E10B6E">
              <w:rPr>
                <w:b/>
                <w:bCs/>
                <w:color w:val="FFFFFF" w:themeColor="background1"/>
              </w:rPr>
              <w:t>Biowaste-based olefins</w:t>
            </w:r>
          </w:p>
        </w:tc>
      </w:tr>
      <w:tr w:rsidR="0061518F" w:rsidRPr="00E10B6E" w14:paraId="4D915A0A" w14:textId="77777777" w:rsidTr="00C84855">
        <w:trPr>
          <w:trHeight w:val="567"/>
        </w:trPr>
        <w:tc>
          <w:tcPr>
            <w:tcW w:w="2268" w:type="dxa"/>
            <w:vAlign w:val="center"/>
          </w:tcPr>
          <w:p w14:paraId="22FCFA79" w14:textId="456E7171" w:rsidR="0061518F" w:rsidRPr="00E10B6E" w:rsidRDefault="0061518F" w:rsidP="006A53E1">
            <w:pPr>
              <w:keepNext/>
              <w:keepLines/>
              <w:spacing w:line="276" w:lineRule="auto"/>
              <w:jc w:val="center"/>
            </w:pPr>
            <w:r w:rsidRPr="00E10B6E">
              <w:t xml:space="preserve">Levelized costs </w:t>
            </w:r>
            <w:r w:rsidR="00C6182C" w:rsidRPr="00E10B6E">
              <w:br/>
            </w:r>
            <w:r w:rsidRPr="00E10B6E">
              <w:t>(€</w:t>
            </w:r>
            <w:r w:rsidRPr="00E10B6E">
              <w:rPr>
                <w:vertAlign w:val="subscript"/>
              </w:rPr>
              <w:t>2017</w:t>
            </w:r>
            <w:r w:rsidRPr="00E10B6E">
              <w:t xml:space="preserve">/t </w:t>
            </w:r>
            <w:r w:rsidR="006914A3" w:rsidRPr="00E10B6E">
              <w:t>olefins</w:t>
            </w:r>
            <w:r w:rsidRPr="00E10B6E">
              <w:t>)</w:t>
            </w:r>
          </w:p>
        </w:tc>
        <w:tc>
          <w:tcPr>
            <w:tcW w:w="2268" w:type="dxa"/>
            <w:vAlign w:val="center"/>
          </w:tcPr>
          <w:p w14:paraId="5E21B9A4" w14:textId="77777777" w:rsidR="0061518F" w:rsidRPr="00E10B6E" w:rsidRDefault="0061518F" w:rsidP="006A53E1">
            <w:pPr>
              <w:keepNext/>
              <w:keepLines/>
              <w:spacing w:line="276" w:lineRule="auto"/>
              <w:jc w:val="right"/>
            </w:pPr>
            <w:r w:rsidRPr="00E10B6E">
              <w:t>1,070.80</w:t>
            </w:r>
          </w:p>
        </w:tc>
        <w:tc>
          <w:tcPr>
            <w:tcW w:w="2268" w:type="dxa"/>
            <w:vAlign w:val="center"/>
          </w:tcPr>
          <w:p w14:paraId="4EDB9F92" w14:textId="77777777" w:rsidR="0061518F" w:rsidRPr="00E10B6E" w:rsidRDefault="0061518F" w:rsidP="006A53E1">
            <w:pPr>
              <w:keepNext/>
              <w:keepLines/>
              <w:spacing w:line="276" w:lineRule="auto"/>
              <w:jc w:val="right"/>
            </w:pPr>
            <w:r w:rsidRPr="00E10B6E">
              <w:t>1,672.57</w:t>
            </w:r>
          </w:p>
        </w:tc>
        <w:tc>
          <w:tcPr>
            <w:tcW w:w="2268" w:type="dxa"/>
            <w:vAlign w:val="center"/>
          </w:tcPr>
          <w:p w14:paraId="5A857975" w14:textId="77777777" w:rsidR="0061518F" w:rsidRPr="00E10B6E" w:rsidRDefault="0061518F" w:rsidP="006A53E1">
            <w:pPr>
              <w:keepNext/>
              <w:keepLines/>
              <w:spacing w:line="276" w:lineRule="auto"/>
              <w:jc w:val="right"/>
            </w:pPr>
            <w:r w:rsidRPr="00E10B6E">
              <w:t>1,792.04</w:t>
            </w:r>
          </w:p>
        </w:tc>
      </w:tr>
      <w:tr w:rsidR="0061518F" w:rsidRPr="00E10B6E" w14:paraId="4D3FDA2E" w14:textId="77777777" w:rsidTr="00C84855">
        <w:trPr>
          <w:trHeight w:val="567"/>
        </w:trPr>
        <w:tc>
          <w:tcPr>
            <w:tcW w:w="2268" w:type="dxa"/>
            <w:vAlign w:val="center"/>
          </w:tcPr>
          <w:p w14:paraId="5C3817FC" w14:textId="45755416" w:rsidR="0061518F" w:rsidRPr="00E10B6E" w:rsidRDefault="0061518F" w:rsidP="006A53E1">
            <w:pPr>
              <w:keepNext/>
              <w:keepLines/>
              <w:spacing w:line="276" w:lineRule="auto"/>
              <w:jc w:val="center"/>
              <w:rPr>
                <w:i/>
                <w:iCs/>
              </w:rPr>
            </w:pPr>
            <w:r w:rsidRPr="00E10B6E">
              <w:t xml:space="preserve">GHG </w:t>
            </w:r>
            <w:r w:rsidR="00C6182C" w:rsidRPr="00E10B6E">
              <w:t>best-case</w:t>
            </w:r>
            <w:r w:rsidR="00C6182C" w:rsidRPr="00E10B6E">
              <w:br/>
            </w:r>
            <w:r w:rsidRPr="00E10B6E">
              <w:t>(tCO</w:t>
            </w:r>
            <w:r w:rsidRPr="00E10B6E">
              <w:rPr>
                <w:vertAlign w:val="subscript"/>
              </w:rPr>
              <w:t>2</w:t>
            </w:r>
            <w:r w:rsidRPr="00E10B6E">
              <w:t xml:space="preserve">-eq/t </w:t>
            </w:r>
            <w:r w:rsidR="006914A3" w:rsidRPr="00E10B6E">
              <w:t>olefins</w:t>
            </w:r>
            <w:r w:rsidRPr="00E10B6E">
              <w:t>)</w:t>
            </w:r>
          </w:p>
        </w:tc>
        <w:tc>
          <w:tcPr>
            <w:tcW w:w="2268" w:type="dxa"/>
            <w:vAlign w:val="center"/>
          </w:tcPr>
          <w:p w14:paraId="6EFCFD07" w14:textId="77777777" w:rsidR="0061518F" w:rsidRPr="00E10B6E" w:rsidRDefault="0061518F" w:rsidP="006A53E1">
            <w:pPr>
              <w:keepNext/>
              <w:keepLines/>
              <w:spacing w:line="276" w:lineRule="auto"/>
              <w:jc w:val="right"/>
            </w:pPr>
            <w:r w:rsidRPr="00E10B6E">
              <w:t>1.02</w:t>
            </w:r>
          </w:p>
        </w:tc>
        <w:tc>
          <w:tcPr>
            <w:tcW w:w="2268" w:type="dxa"/>
            <w:vAlign w:val="center"/>
          </w:tcPr>
          <w:p w14:paraId="7A83F79D" w14:textId="34DEEC59" w:rsidR="0061518F" w:rsidRPr="00E10B6E" w:rsidRDefault="0061518F" w:rsidP="006A53E1">
            <w:pPr>
              <w:keepNext/>
              <w:keepLines/>
              <w:spacing w:line="276" w:lineRule="auto"/>
              <w:jc w:val="right"/>
            </w:pPr>
            <w:r w:rsidRPr="00E10B6E">
              <w:t>-</w:t>
            </w:r>
            <w:r w:rsidR="00C84855" w:rsidRPr="00E10B6E">
              <w:t>2.97</w:t>
            </w:r>
          </w:p>
        </w:tc>
        <w:tc>
          <w:tcPr>
            <w:tcW w:w="2268" w:type="dxa"/>
            <w:vAlign w:val="center"/>
          </w:tcPr>
          <w:p w14:paraId="33BF4ED4" w14:textId="7A5826B5" w:rsidR="0061518F" w:rsidRPr="00E10B6E" w:rsidRDefault="0061518F" w:rsidP="006A53E1">
            <w:pPr>
              <w:keepNext/>
              <w:keepLines/>
              <w:spacing w:line="276" w:lineRule="auto"/>
              <w:jc w:val="right"/>
            </w:pPr>
            <w:r w:rsidRPr="00E10B6E">
              <w:t>-</w:t>
            </w:r>
            <w:r w:rsidR="00C84855" w:rsidRPr="00E10B6E">
              <w:t>2.72</w:t>
            </w:r>
          </w:p>
        </w:tc>
      </w:tr>
      <w:tr w:rsidR="0061518F" w:rsidRPr="00E10B6E" w14:paraId="33076D0F" w14:textId="77777777" w:rsidTr="00C84855">
        <w:trPr>
          <w:trHeight w:val="567"/>
        </w:trPr>
        <w:tc>
          <w:tcPr>
            <w:tcW w:w="2268" w:type="dxa"/>
            <w:vAlign w:val="center"/>
          </w:tcPr>
          <w:p w14:paraId="25A1F546" w14:textId="627ED7C8" w:rsidR="0061518F" w:rsidRPr="00E10B6E" w:rsidRDefault="0061518F" w:rsidP="006A53E1">
            <w:pPr>
              <w:keepNext/>
              <w:keepLines/>
              <w:spacing w:line="276" w:lineRule="auto"/>
              <w:jc w:val="center"/>
              <w:rPr>
                <w:i/>
                <w:iCs/>
              </w:rPr>
            </w:pPr>
            <w:r w:rsidRPr="00E10B6E">
              <w:t>Break-even carbon price (€/ tCO</w:t>
            </w:r>
            <w:r w:rsidRPr="00E10B6E">
              <w:rPr>
                <w:vertAlign w:val="subscript"/>
              </w:rPr>
              <w:t>2</w:t>
            </w:r>
            <w:r w:rsidR="006914A3" w:rsidRPr="00E10B6E">
              <w:t>-eq</w:t>
            </w:r>
            <w:r w:rsidRPr="00E10B6E">
              <w:t>)</w:t>
            </w:r>
          </w:p>
        </w:tc>
        <w:tc>
          <w:tcPr>
            <w:tcW w:w="2268" w:type="dxa"/>
            <w:vAlign w:val="center"/>
          </w:tcPr>
          <w:p w14:paraId="514B3ABF" w14:textId="3A25E1A0" w:rsidR="0061518F" w:rsidRPr="00E10B6E" w:rsidRDefault="002B241F" w:rsidP="006A53E1">
            <w:pPr>
              <w:keepNext/>
              <w:keepLines/>
              <w:spacing w:line="276" w:lineRule="auto"/>
              <w:jc w:val="right"/>
            </w:pPr>
            <w:r w:rsidRPr="00E10B6E">
              <w:t>0</w:t>
            </w:r>
          </w:p>
        </w:tc>
        <w:tc>
          <w:tcPr>
            <w:tcW w:w="2268" w:type="dxa"/>
            <w:vAlign w:val="center"/>
          </w:tcPr>
          <w:p w14:paraId="4E1993B1" w14:textId="01601DDB" w:rsidR="0061518F" w:rsidRPr="00E10B6E" w:rsidRDefault="00A45709" w:rsidP="006A53E1">
            <w:pPr>
              <w:keepNext/>
              <w:keepLines/>
              <w:spacing w:line="276" w:lineRule="auto"/>
              <w:jc w:val="right"/>
            </w:pPr>
            <w:r w:rsidRPr="00E10B6E">
              <w:t>150.82</w:t>
            </w:r>
          </w:p>
        </w:tc>
        <w:tc>
          <w:tcPr>
            <w:tcW w:w="2268" w:type="dxa"/>
            <w:vAlign w:val="center"/>
          </w:tcPr>
          <w:p w14:paraId="4643D321" w14:textId="7189161B" w:rsidR="0061518F" w:rsidRPr="00E10B6E" w:rsidRDefault="00A45709" w:rsidP="006A53E1">
            <w:pPr>
              <w:keepNext/>
              <w:keepLines/>
              <w:spacing w:line="276" w:lineRule="auto"/>
              <w:jc w:val="right"/>
            </w:pPr>
            <w:r w:rsidRPr="00E10B6E">
              <w:t>192.84</w:t>
            </w:r>
          </w:p>
        </w:tc>
      </w:tr>
      <w:tr w:rsidR="00C84855" w:rsidRPr="00E10B6E" w14:paraId="15F7F258" w14:textId="77777777" w:rsidTr="00C84855">
        <w:trPr>
          <w:trHeight w:val="567"/>
        </w:trPr>
        <w:tc>
          <w:tcPr>
            <w:tcW w:w="2268" w:type="dxa"/>
            <w:vAlign w:val="center"/>
          </w:tcPr>
          <w:p w14:paraId="6A97140F" w14:textId="0ECB5D96" w:rsidR="00C84855" w:rsidRPr="00E10B6E" w:rsidRDefault="00C84855" w:rsidP="006A53E1">
            <w:pPr>
              <w:keepNext/>
              <w:keepLines/>
              <w:spacing w:line="276" w:lineRule="auto"/>
              <w:jc w:val="center"/>
            </w:pPr>
            <w:r w:rsidRPr="00E10B6E">
              <w:t xml:space="preserve">GHG 40%-case </w:t>
            </w:r>
            <w:r w:rsidRPr="00E10B6E">
              <w:br/>
              <w:t>(tCO</w:t>
            </w:r>
            <w:r w:rsidRPr="00E10B6E">
              <w:rPr>
                <w:vertAlign w:val="subscript"/>
              </w:rPr>
              <w:t>2</w:t>
            </w:r>
            <w:r w:rsidRPr="00E10B6E">
              <w:t>-eq/t olefins)</w:t>
            </w:r>
          </w:p>
        </w:tc>
        <w:tc>
          <w:tcPr>
            <w:tcW w:w="2268" w:type="dxa"/>
            <w:vAlign w:val="center"/>
          </w:tcPr>
          <w:p w14:paraId="40E96AB3" w14:textId="053DE728" w:rsidR="00C84855" w:rsidRPr="00E10B6E" w:rsidRDefault="00C84855" w:rsidP="006A53E1">
            <w:pPr>
              <w:keepNext/>
              <w:keepLines/>
              <w:spacing w:line="276" w:lineRule="auto"/>
              <w:jc w:val="right"/>
            </w:pPr>
            <w:r w:rsidRPr="00E10B6E">
              <w:t>1.02</w:t>
            </w:r>
          </w:p>
        </w:tc>
        <w:tc>
          <w:tcPr>
            <w:tcW w:w="2268" w:type="dxa"/>
            <w:vAlign w:val="center"/>
          </w:tcPr>
          <w:p w14:paraId="55AF3A68" w14:textId="32D994D7" w:rsidR="00C84855" w:rsidRPr="00E10B6E" w:rsidRDefault="00C84855" w:rsidP="006A53E1">
            <w:pPr>
              <w:keepNext/>
              <w:keepLines/>
              <w:spacing w:line="276" w:lineRule="auto"/>
              <w:jc w:val="right"/>
            </w:pPr>
            <w:r w:rsidRPr="00E10B6E">
              <w:t>-1.09</w:t>
            </w:r>
          </w:p>
        </w:tc>
        <w:tc>
          <w:tcPr>
            <w:tcW w:w="2268" w:type="dxa"/>
            <w:vAlign w:val="center"/>
          </w:tcPr>
          <w:p w14:paraId="3E607868" w14:textId="602FD57E" w:rsidR="00C84855" w:rsidRPr="00E10B6E" w:rsidRDefault="00C84855" w:rsidP="006A53E1">
            <w:pPr>
              <w:keepNext/>
              <w:keepLines/>
              <w:spacing w:line="276" w:lineRule="auto"/>
              <w:jc w:val="right"/>
            </w:pPr>
            <w:r w:rsidRPr="00E10B6E">
              <w:t>-0.84</w:t>
            </w:r>
          </w:p>
        </w:tc>
      </w:tr>
      <w:tr w:rsidR="00A45709" w:rsidRPr="00E10B6E" w14:paraId="5776FC85" w14:textId="77777777" w:rsidTr="00C84855">
        <w:trPr>
          <w:trHeight w:val="567"/>
        </w:trPr>
        <w:tc>
          <w:tcPr>
            <w:tcW w:w="2268" w:type="dxa"/>
            <w:vAlign w:val="center"/>
          </w:tcPr>
          <w:p w14:paraId="444B5D0D" w14:textId="3500FF93" w:rsidR="00A45709" w:rsidRPr="00E10B6E" w:rsidRDefault="00A45709" w:rsidP="006A53E1">
            <w:pPr>
              <w:keepLines/>
              <w:spacing w:line="276" w:lineRule="auto"/>
              <w:jc w:val="center"/>
            </w:pPr>
            <w:r w:rsidRPr="00E10B6E">
              <w:t>Break-even carbon price (€/ tCO</w:t>
            </w:r>
            <w:r w:rsidRPr="00E10B6E">
              <w:rPr>
                <w:vertAlign w:val="subscript"/>
              </w:rPr>
              <w:t>2</w:t>
            </w:r>
            <w:r w:rsidRPr="00E10B6E">
              <w:t>-eq)</w:t>
            </w:r>
          </w:p>
        </w:tc>
        <w:tc>
          <w:tcPr>
            <w:tcW w:w="2268" w:type="dxa"/>
            <w:vAlign w:val="center"/>
          </w:tcPr>
          <w:p w14:paraId="1A3DA347" w14:textId="6E969031" w:rsidR="00A45709" w:rsidRPr="00E10B6E" w:rsidRDefault="002B241F" w:rsidP="006A53E1">
            <w:pPr>
              <w:keepLines/>
              <w:spacing w:line="276" w:lineRule="auto"/>
              <w:jc w:val="right"/>
            </w:pPr>
            <w:r w:rsidRPr="00E10B6E">
              <w:t>0</w:t>
            </w:r>
          </w:p>
        </w:tc>
        <w:tc>
          <w:tcPr>
            <w:tcW w:w="2268" w:type="dxa"/>
            <w:vAlign w:val="center"/>
          </w:tcPr>
          <w:p w14:paraId="49AD8F51" w14:textId="374DD3EE" w:rsidR="00A45709" w:rsidRPr="00E10B6E" w:rsidRDefault="00A45709" w:rsidP="006A53E1">
            <w:pPr>
              <w:keepLines/>
              <w:spacing w:line="276" w:lineRule="auto"/>
              <w:jc w:val="right"/>
            </w:pPr>
            <w:r w:rsidRPr="00E10B6E">
              <w:t>285.74</w:t>
            </w:r>
          </w:p>
        </w:tc>
        <w:tc>
          <w:tcPr>
            <w:tcW w:w="2268" w:type="dxa"/>
            <w:vAlign w:val="center"/>
          </w:tcPr>
          <w:p w14:paraId="225FFCEE" w14:textId="3FC8235C" w:rsidR="00A45709" w:rsidRPr="00E10B6E" w:rsidRDefault="00A45709" w:rsidP="006A53E1">
            <w:pPr>
              <w:keepLines/>
              <w:spacing w:line="276" w:lineRule="auto"/>
              <w:jc w:val="right"/>
            </w:pPr>
            <w:r w:rsidRPr="00E10B6E">
              <w:t>388.60</w:t>
            </w:r>
          </w:p>
        </w:tc>
      </w:tr>
    </w:tbl>
    <w:p w14:paraId="3617875D" w14:textId="77777777" w:rsidR="006A53E1" w:rsidRPr="00E10B6E" w:rsidRDefault="006A53E1" w:rsidP="0061518F"/>
    <w:p w14:paraId="089AF428" w14:textId="3FB0C63D" w:rsidR="007F7463" w:rsidRPr="00E10B6E" w:rsidRDefault="0061518F" w:rsidP="0061518F">
      <w:r w:rsidRPr="00E10B6E">
        <w:t xml:space="preserve">To summarise, the production of bio-PE and bio-PP from ethanol or methanol is certainly one of the most promising options to decarbonise the Dutch plastic sector. The implementation of a large-scale supply chain for bio-based polymers, however, would require a joint effort from both companies and governments. From a technological and logistical point of view, the conversion technology for lignocellulosic materials must improve, and the production of sucrose or starchy crops needs to be expanded without competing with food production </w:t>
      </w:r>
      <w:r w:rsidRPr="00E10B6E">
        <w:fldChar w:fldCharType="begin" w:fldLock="1"/>
      </w:r>
      <w:r w:rsidRPr="00E10B6E">
        <w:instrText>ADDIN CSL_CITATION {"citationItems":[{"id":"ITEM-1","itemData":{"author":[{"dropping-particle":"","family":"Broeren","given":"Martijn","non-dropping-particle":"","parse-names":false,"suffix":""}],"id":"ITEM-1","issued":{"date-parts":[["2013","1"]]},"title":"IEA-ETSAP and IRENA - Technology Policy Brief","type":"report"},"uris":["http://www.mendeley.com/documents/?uuid=1f80096e-3764-3bde-9c4e-e593fc1c7d70"]}],"mendeley":{"formattedCitation":"(Broeren, 2013)","plainTextFormattedCitation":"(Broeren, 2013)","previouslyFormattedCitation":"(Broeren, 2013)"},"properties":{"noteIndex":0},"schema":"https://github.com/citation-style-language/schema/raw/master/csl-citation.json"}</w:instrText>
      </w:r>
      <w:r w:rsidRPr="00E10B6E">
        <w:fldChar w:fldCharType="separate"/>
      </w:r>
      <w:r w:rsidRPr="00E10B6E">
        <w:rPr>
          <w:noProof/>
        </w:rPr>
        <w:t>(Broeren, 2013)</w:t>
      </w:r>
      <w:r w:rsidRPr="00E10B6E">
        <w:fldChar w:fldCharType="end"/>
      </w:r>
      <w:r w:rsidRPr="00E10B6E">
        <w:t xml:space="preserve">. On the other hand, European and Dutch policies also need to change to increasing the tax for carbon emissions and removing subsidies to fossil fuels, which are equal to almost 40 billion euros </w:t>
      </w:r>
      <w:r w:rsidRPr="00E10B6E">
        <w:fldChar w:fldCharType="begin" w:fldLock="1"/>
      </w:r>
      <w:r w:rsidRPr="00E10B6E">
        <w:instrText>ADDIN CSL_CITATION {"citationItems":[{"id":"ITEM-1","itemData":{"abstract":"This paper provides an overview of fossil fuel subsidies globally and in the EU, as well as a summary of key components of successful reform efforts and why reform can be difficult to achieve for governments.","author":[{"dropping-particle":"","family":"Hayer","given":"Sarabjeet","non-dropping-particle":"","parse-names":false,"suffix":""}],"id":"ITEM-1","issued":{"date-parts":[["2017"]]},"title":"Fossil Fuel Subsidies","type":"report"},"uris":["http://www.mendeley.com/documents/?uuid=409d6a5e-f0f5-3c9d-b680-79434ed33d09"]}],"mendeley":{"formattedCitation":"(Hayer, 2017)","plainTextFormattedCitation":"(Hayer, 2017)","previouslyFormattedCitation":"(Hayer, 2017)"},"properties":{"noteIndex":0},"schema":"https://github.com/citation-style-language/schema/raw/master/csl-citation.json"}</w:instrText>
      </w:r>
      <w:r w:rsidRPr="00E10B6E">
        <w:fldChar w:fldCharType="separate"/>
      </w:r>
      <w:r w:rsidRPr="00E10B6E">
        <w:rPr>
          <w:noProof/>
        </w:rPr>
        <w:t>(Hayer, 2017)</w:t>
      </w:r>
      <w:r w:rsidRPr="00E10B6E">
        <w:fldChar w:fldCharType="end"/>
      </w:r>
      <w:r w:rsidRPr="00E10B6E">
        <w:t xml:space="preserve">. Other measures beneficial for bio-plastics would include the incentive schemes and the removal of tariffs on imported bio-ethanol </w:t>
      </w:r>
      <w:r w:rsidRPr="00E10B6E">
        <w:fldChar w:fldCharType="begin" w:fldLock="1"/>
      </w:r>
      <w:r w:rsidRPr="00E10B6E">
        <w:instrText>ADDIN CSL_CITATION {"citationItems":[{"id":"ITEM-1","itemData":{"author":[{"dropping-particle":"","family":"IRENA","given":"","non-dropping-particle":"","parse-names":false,"suffix":""}],"id":"ITEM-1","issued":{"date-parts":[["2013"]]},"title":"Production of Bio-ethylene. Technology Brief.","type":"report"},"uris":["http://www.mendeley.com/documents/?uuid=fe29e202-0258-3360-957c-25fbe978d5c2"]}],"mendeley":{"formattedCitation":"(IRENA, 2013)","plainTextFormattedCitation":"(IRENA, 2013)","previouslyFormattedCitation":"(IRENA, 2013)"},"properties":{"noteIndex":0},"schema":"https://github.com/citation-style-language/schema/raw/master/csl-citation.json"}</w:instrText>
      </w:r>
      <w:r w:rsidRPr="00E10B6E">
        <w:fldChar w:fldCharType="separate"/>
      </w:r>
      <w:r w:rsidRPr="00E10B6E">
        <w:rPr>
          <w:noProof/>
        </w:rPr>
        <w:t>(IRENA, 2013)</w:t>
      </w:r>
      <w:r w:rsidRPr="00E10B6E">
        <w:fldChar w:fldCharType="end"/>
      </w:r>
      <w:r w:rsidRPr="00E10B6E">
        <w:t>. The combination of all these measures could make bio-based PE and PP as convenient as their fossil-based counterparts, facilitating the development of sustainable production facilities by the chemical companies and the achievement of the national and European decarbonisation targets.</w:t>
      </w:r>
    </w:p>
    <w:p w14:paraId="4FE6835B" w14:textId="22A1DAA1" w:rsidR="00F103E1" w:rsidRPr="00E10B6E" w:rsidRDefault="001F0312" w:rsidP="00F103E1">
      <w:pPr>
        <w:jc w:val="both"/>
      </w:pPr>
      <w:r w:rsidRPr="00E10B6E">
        <w:t>There are many b</w:t>
      </w:r>
      <w:r w:rsidR="002B241F" w:rsidRPr="00E10B6E">
        <w:t xml:space="preserve">io-based polyolefins </w:t>
      </w:r>
      <w:r w:rsidRPr="00E10B6E">
        <w:t>projects in development in the Netherlands, such as</w:t>
      </w:r>
      <w:r w:rsidR="00F103E1" w:rsidRPr="00E10B6E">
        <w:t>:</w:t>
      </w:r>
    </w:p>
    <w:p w14:paraId="08DBFC63" w14:textId="06B9C9DF" w:rsidR="00F103E1" w:rsidRPr="00E10B6E" w:rsidRDefault="00F103E1" w:rsidP="00F103E1">
      <w:pPr>
        <w:pStyle w:val="ListParagraph"/>
        <w:numPr>
          <w:ilvl w:val="0"/>
          <w:numId w:val="18"/>
        </w:numPr>
        <w:spacing w:after="240" w:line="260" w:lineRule="atLeast"/>
        <w:jc w:val="both"/>
      </w:pPr>
      <w:r w:rsidRPr="00E10B6E">
        <w:t xml:space="preserve">The Chemelot Industrial Park has developed many bio-based chemistry processes, including the production of polymers from lignin (i.e. woody) biomass </w:t>
      </w:r>
      <w:r w:rsidRPr="00E10B6E">
        <w:fldChar w:fldCharType="begin" w:fldLock="1"/>
      </w:r>
      <w:r w:rsidRPr="00E10B6E">
        <w:instrText>ADDIN CSL_CITATION {"citationItems":[{"id":"ITEM-1","itemData":{"URL":"https://www.brightlands.com/en/brightlands-chemelot-campus/sustainable-processes/biobased-processes","accessed":{"date-parts":[["2020","7","9"]]},"author":[{"dropping-particle":"","family":"Brightlands","given":"","non-dropping-particle":"","parse-names":false,"suffix":""}],"id":"ITEM-1","issued":{"date-parts":[["2020"]]},"title":"Biobased process - The fight against climate change","type":"webpage"},"uris":["http://www.mendeley.com/documents/?uuid=a761879e-f097-3b98-95b9-d536152d6d94"]}],"mendeley":{"formattedCitation":"(Brightlands, 2020)","plainTextFormattedCitation":"(Brightlands, 2020)","previouslyFormattedCitation":"(Brightlands, 2020)"},"properties":{"noteIndex":0},"schema":"https://github.com/citation-style-language/schema/raw/master/csl-citation.json"}</w:instrText>
      </w:r>
      <w:r w:rsidRPr="00E10B6E">
        <w:fldChar w:fldCharType="separate"/>
      </w:r>
      <w:r w:rsidRPr="00E10B6E">
        <w:rPr>
          <w:noProof/>
        </w:rPr>
        <w:t>(Brightlands, 2020)</w:t>
      </w:r>
      <w:r w:rsidRPr="00E10B6E">
        <w:fldChar w:fldCharType="end"/>
      </w:r>
      <w:r w:rsidRPr="00E10B6E">
        <w:t>. The production of bioplastics from biomass and bio-waste is an important part of Chemelot</w:t>
      </w:r>
      <w:r w:rsidR="00F52340" w:rsidRPr="00E10B6E">
        <w:t>’s</w:t>
      </w:r>
      <w:r w:rsidRPr="00E10B6E">
        <w:t xml:space="preserve"> decarbonisation strategy for 2050 </w:t>
      </w:r>
      <w:r w:rsidRPr="00E10B6E">
        <w:fldChar w:fldCharType="begin" w:fldLock="1"/>
      </w:r>
      <w:r w:rsidRPr="00E10B6E">
        <w:instrText>ADDIN CSL_CITATION {"citationItems":[{"id":"ITEM-1","itemData":{"URL":"https://www.chemelot.nl/news/chemelot-climate-neutral-by-2050","accessed":{"date-parts":[["2020","7","24"]]},"author":[{"dropping-particle":"","family":"Chemelot","given":"","non-dropping-particle":"","parse-names":false,"suffix":""}],"id":"ITEM-1","issued":{"date-parts":[["2020"]]},"title":"Chemelot climate neutral by 2050","type":"webpage"},"uris":["http://www.mendeley.com/documents/?uuid=a64ac2fc-cc6b-36ed-a8c6-1e1a0bf47aa4"]}],"mendeley":{"formattedCitation":"(Chemelot, 2020)","plainTextFormattedCitation":"(Chemelot, 2020)","previouslyFormattedCitation":"(Chemelot, 2020)"},"properties":{"noteIndex":0},"schema":"https://github.com/citation-style-language/schema/raw/master/csl-citation.json"}</w:instrText>
      </w:r>
      <w:r w:rsidRPr="00E10B6E">
        <w:fldChar w:fldCharType="separate"/>
      </w:r>
      <w:r w:rsidRPr="00E10B6E">
        <w:rPr>
          <w:noProof/>
        </w:rPr>
        <w:t>(Chemelot, 2020)</w:t>
      </w:r>
      <w:r w:rsidRPr="00E10B6E">
        <w:fldChar w:fldCharType="end"/>
      </w:r>
      <w:r w:rsidRPr="00E10B6E">
        <w:t>.</w:t>
      </w:r>
    </w:p>
    <w:p w14:paraId="6CB7DC08" w14:textId="20821DF2" w:rsidR="00F103E1" w:rsidRPr="00E10B6E" w:rsidRDefault="00F103E1" w:rsidP="00F103E1">
      <w:pPr>
        <w:pStyle w:val="ListParagraph"/>
        <w:numPr>
          <w:ilvl w:val="0"/>
          <w:numId w:val="18"/>
        </w:numPr>
        <w:spacing w:after="240" w:line="260" w:lineRule="atLeast"/>
        <w:jc w:val="both"/>
      </w:pPr>
      <w:r w:rsidRPr="00E10B6E">
        <w:t>Dow Terneuzen announced a partnership with the Finnish biorefinery UPM, which produces renewable naphtha from residues of paper pulp production. The feedstock is called BioVerno and can be used by Dow Terneuzen to produce bio-based LDPE, potentially cutting in half the emissions of CO</w:t>
      </w:r>
      <w:r w:rsidRPr="00E10B6E">
        <w:rPr>
          <w:vertAlign w:val="subscript"/>
        </w:rPr>
        <w:t>2</w:t>
      </w:r>
      <w:r w:rsidRPr="00E10B6E">
        <w:t xml:space="preserve"> compared to the standard fossil-based process </w:t>
      </w:r>
      <w:r w:rsidRPr="00E10B6E">
        <w:fldChar w:fldCharType="begin" w:fldLock="1"/>
      </w:r>
      <w:r w:rsidR="00DA070D" w:rsidRPr="00E10B6E">
        <w:instrText>ADDIN CSL_CITATION {"citationItems":[{"id":"ITEM-1","itemData":{"URL":"https://corporate.dow.com/en-us/news/press-releases/dow-and-upm-partner-to-produce-plastics-made-with-renewable-feedstock.html","accessed":{"date-parts":[["2020","7","5"]]},"author":[{"dropping-particle":"","family":"Dow","given":"","non-dropping-particle":"","parse-names":false,"suffix":""}],"id":"ITEM-1","issued":{"date-parts":[["2019"]]},"title":"Dow and UPM partner to produce plastics made with renewable feedstock","type":"webpage"},"uris":["http://www.mendeley.com/documents/?uuid=1353c65f-bbbe-3915-95da-0ead16075d6b"]}],"mendeley":{"formattedCitation":"(Dow, 2019a)","plainTextFormattedCitation":"(Dow, 2019a)","previouslyFormattedCitation":"(Dow, 2019a)"},"properties":{"noteIndex":0},"schema":"https://github.com/citation-style-language/schema/raw/master/csl-citation.json"}</w:instrText>
      </w:r>
      <w:r w:rsidRPr="00E10B6E">
        <w:fldChar w:fldCharType="separate"/>
      </w:r>
      <w:r w:rsidR="00C95321" w:rsidRPr="00E10B6E">
        <w:rPr>
          <w:noProof/>
        </w:rPr>
        <w:t>(Dow, 2019a)</w:t>
      </w:r>
      <w:r w:rsidRPr="00E10B6E">
        <w:fldChar w:fldCharType="end"/>
      </w:r>
      <w:r w:rsidRPr="00E10B6E">
        <w:t xml:space="preserve">. The production of bio-ethanol from lignocellulosic materials is made more difficult because the lignin molecules create a barrier around the cellulose, thus making </w:t>
      </w:r>
      <w:r w:rsidR="00F52340" w:rsidRPr="00E10B6E">
        <w:t xml:space="preserve">it </w:t>
      </w:r>
      <w:r w:rsidRPr="00E10B6E">
        <w:t xml:space="preserve">necessary to pre-treat the feedstock with a physicochemical process. The cellulose is then hydrolysed into simple sugars, and finally fermented and distilled just like the bio-ethanol obtained from sugarcane and sugar beet </w:t>
      </w:r>
      <w:r w:rsidRPr="00E10B6E">
        <w:fldChar w:fldCharType="begin" w:fldLock="1"/>
      </w:r>
      <w:r w:rsidRPr="00E10B6E">
        <w:instrText>ADDIN CSL_CITATION {"citationItems":[{"id":"ITEM-1","itemData":{"DOI":"10.1002/cben.201600025","ISSN":"21969744","abstract":"Manufacturing of bioethylene via dehydration of bioethanol is an alternative to the fossil-based ethylene production and decreases the environmental consequences for this chemical commodity. A few industrial plants that utilize 1st generation bioethanol for the bioethylene production already exist, although not functioning without subsidiaries. However, there is still no process producing ethylene from 2nd generation bioethanol. This study is divided into two parts. Different ethanol and ethylene production methods, the process specifications and current technologies are briefly discussed in the first part. In the second part, a techno-economic analysis of a bioethylene plant was performed using Aspen plus and Aspen Process Economic Analyzer, where different qualities of ethanol were considered. The results show that i purities in the ethanol feed have no significant effect on the quality of the produced polymer-grade bioethylene. The capacity of the ethylene storage tank significantly affects the capital costs of the process.","author":[{"dropping-particle":"","family":"Mohsenzadeh","given":"Abas","non-dropping-particle":"","parse-names":false,"suffix":""},{"dropping-particle":"","family":"Zamani","given":"Akram","non-dropping-particle":"","parse-names":false,"suffix":""},{"dropping-particle":"","family":"Taherzadeh","given":"Mohammad J.","non-dropping-particle":"","parse-names":false,"suffix":""}],"container-title":"ChemBioEng Reviews","id":"ITEM-1","issue":"2","issued":{"date-parts":[["2017","4","1"]]},"page":"75-91","publisher":"Wiley","title":"Bioethylene Production from Ethanol: A Review and Techno-economical Evaluation","type":"article-journal","volume":"4"},"uris":["http://www.mendeley.com/documents/?uuid=df04302d-2045-3bed-8fd6-26b6fe69f416"]}],"mendeley":{"formattedCitation":"(Mohsenzadeh et al., 2017)","plainTextFormattedCitation":"(Mohsenzadeh et al., 2017)","previouslyFormattedCitation":"(Mohsenzadeh et al., 2017)"},"properties":{"noteIndex":0},"schema":"https://github.com/citation-style-language/schema/raw/master/csl-citation.json"}</w:instrText>
      </w:r>
      <w:r w:rsidRPr="00E10B6E">
        <w:fldChar w:fldCharType="separate"/>
      </w:r>
      <w:r w:rsidRPr="00E10B6E">
        <w:rPr>
          <w:noProof/>
        </w:rPr>
        <w:t>(Mohsenzadeh et al., 2017)</w:t>
      </w:r>
      <w:r w:rsidRPr="00E10B6E">
        <w:fldChar w:fldCharType="end"/>
      </w:r>
      <w:r w:rsidRPr="00E10B6E">
        <w:t>.</w:t>
      </w:r>
    </w:p>
    <w:p w14:paraId="445A778C" w14:textId="6AB38E15" w:rsidR="00F103E1" w:rsidRPr="00E10B6E" w:rsidRDefault="00F103E1" w:rsidP="00F103E1">
      <w:pPr>
        <w:pStyle w:val="ListParagraph"/>
        <w:numPr>
          <w:ilvl w:val="0"/>
          <w:numId w:val="18"/>
        </w:numPr>
        <w:spacing w:after="240" w:line="260" w:lineRule="atLeast"/>
        <w:ind w:left="714" w:hanging="357"/>
        <w:jc w:val="both"/>
      </w:pPr>
      <w:r w:rsidRPr="00E10B6E">
        <w:t xml:space="preserve">Borealis announced a cooperation with the Finnish company Neste, which produces renewable propane from a mix of residue oils and other fat waste streams. The propane will be produced in Neste’s facilities in the Rotterdam Port industrial cluster, and then </w:t>
      </w:r>
      <w:r w:rsidRPr="00E10B6E">
        <w:lastRenderedPageBreak/>
        <w:t xml:space="preserve">dehydrogenated into propylene in Borealis’ Belgian plant of Beringen, where it will be used for the polymerisation of bio-based PP </w:t>
      </w:r>
      <w:r w:rsidRPr="00E10B6E">
        <w:fldChar w:fldCharType="begin" w:fldLock="1"/>
      </w:r>
      <w:r w:rsidRPr="00E10B6E">
        <w:instrText>ADDIN CSL_CITATION {"citationItems":[{"id":"ITEM-1","itemData":{"URL":"https://www.bioplasticsmagazine.com/en/news/meldungen/20191016Borealis-to-start-Bio-PP-production-before-end-2019.php","accessed":{"date-parts":[["2020","7","5"]]},"author":[{"dropping-particle":"","family":"BioPlastic Magazine","given":"","non-dropping-particle":"","parse-names":false,"suffix":""}],"id":"ITEM-1","issued":{"date-parts":[["2019"]]},"title":"Borealis to start Bio-PP production before end 2019","type":"webpage"},"uris":["http://www.mendeley.com/documents/?uuid=d2803427-f428-3645-ab50-fc84b72b4a8d"]}],"mendeley":{"formattedCitation":"(BioPlastic Magazine, 2019)","plainTextFormattedCitation":"(BioPlastic Magazine, 2019)","previouslyFormattedCitation":"(BioPlastic Magazine, 2019)"},"properties":{"noteIndex":0},"schema":"https://github.com/citation-style-language/schema/raw/master/csl-citation.json"}</w:instrText>
      </w:r>
      <w:r w:rsidRPr="00E10B6E">
        <w:fldChar w:fldCharType="separate"/>
      </w:r>
      <w:r w:rsidRPr="00E10B6E">
        <w:rPr>
          <w:noProof/>
        </w:rPr>
        <w:t>(BioPlastic Magazine, 2019)</w:t>
      </w:r>
      <w:r w:rsidRPr="00E10B6E">
        <w:fldChar w:fldCharType="end"/>
      </w:r>
      <w:r w:rsidRPr="00E10B6E">
        <w:t xml:space="preserve">. The production of bio-propanol uses Neste’s proprietary technology NEXBTL to process animal fat waste, used cooking oil (UCO), and other fat residues (e.g. from palm oil production), but the company is also looking for ways to use plastic waste as feedstock </w:t>
      </w:r>
      <w:r w:rsidRPr="00E10B6E">
        <w:fldChar w:fldCharType="begin" w:fldLock="1"/>
      </w:r>
      <w:r w:rsidRPr="00E10B6E">
        <w:instrText>ADDIN CSL_CITATION {"citationItems":[{"id":"ITEM-1","itemData":{"URL":"https://www.neste.com/companies/products/raw-materials/future-raw-materials","accessed":{"date-parts":[["2020","7","6"]]},"author":[{"dropping-particle":"","family":"Neste","given":"","non-dropping-particle":"","parse-names":false,"suffix":""}],"id":"ITEM-1","issued":{"date-parts":[["2020"]]},"title":"Future raw materials | Neste","type":"webpage"},"uris":["http://www.mendeley.com/documents/?uuid=9e4f3b20-8654-3b63-b3cc-afb69c4908a1"]}],"mendeley":{"formattedCitation":"(Neste, 2020)","plainTextFormattedCitation":"(Neste, 2020)","previouslyFormattedCitation":"(Neste, 2020)"},"properties":{"noteIndex":0},"schema":"https://github.com/citation-style-language/schema/raw/master/csl-citation.json"}</w:instrText>
      </w:r>
      <w:r w:rsidRPr="00E10B6E">
        <w:fldChar w:fldCharType="separate"/>
      </w:r>
      <w:r w:rsidRPr="00E10B6E">
        <w:rPr>
          <w:noProof/>
        </w:rPr>
        <w:t>(Neste, 2020)</w:t>
      </w:r>
      <w:r w:rsidRPr="00E10B6E">
        <w:fldChar w:fldCharType="end"/>
      </w:r>
      <w:r w:rsidRPr="00E10B6E">
        <w:t>.</w:t>
      </w:r>
    </w:p>
    <w:p w14:paraId="7767D25B" w14:textId="3AC38DA7" w:rsidR="007F7463" w:rsidRPr="00E10B6E" w:rsidRDefault="00F103E1" w:rsidP="00F103E1">
      <w:pPr>
        <w:pStyle w:val="ListParagraph"/>
        <w:numPr>
          <w:ilvl w:val="0"/>
          <w:numId w:val="18"/>
        </w:numPr>
        <w:spacing w:after="240" w:line="260" w:lineRule="atLeast"/>
        <w:ind w:left="714" w:hanging="357"/>
        <w:jc w:val="both"/>
      </w:pPr>
      <w:r w:rsidRPr="00E10B6E">
        <w:t xml:space="preserve">SABIC announced its intention to create a co-continuous blend of PE and thermoplastic starch to obtain a packaging film resistant against both oxygen and water. The inclusion of the bio-polymer, produced from potatoes, improves the carbon balance of the plastics and is especially suited for printable multilayer films. The company also announced its plan to produce bio-PE and bio-PP with bio-based feedstock produced from waste oils and other biomass not in competition with the food chain </w:t>
      </w:r>
      <w:r w:rsidRPr="00E10B6E">
        <w:fldChar w:fldCharType="begin" w:fldLock="1"/>
      </w:r>
      <w:r w:rsidRPr="00E10B6E">
        <w:instrText>ADDIN CSL_CITATION {"citationItems":[{"id":"ITEM-1","itemData":{"abstract":"SABIC is committed to the packaging industry by continuously innovating new materials and developing technology expertise to support our customers with industry's changing requirements and help them achieve their sustainability goals. As one of the leading material supplier in the packaging industry, our dedicated global packaging team works closely with our customers to help them with differentiated applications. In that respect, several sustainability initiatives were conducted within SABIC with (i) reducing materials' weight (ii) using renewable (non-fossil based) feedstocks and (iii) chemical recycling of plastic waste which will be shown in this presentation. For instance, by turning mixed waste plastic into an oil, we can make new plastics for packaging without using fossil fuels and thus contribute for a better circular economy. Finally, two examples will be shown where synergy can be obtained from the combine use of biobased materials (starch and lignin) with fossil-based polyolefins.","author":[{"dropping-particle":"","family":"Vachon","given":"Jérôme","non-dropping-particle":"","parse-names":false,"suffix":""}],"id":"ITEM-1","issued":{"date-parts":[["2019"]]},"title":"Sustainability initiatives within SABIC with examples of use of bio-based materials for polyolefins","type":"report"},"uris":["http://www.mendeley.com/documents/?uuid=028c6b7c-277e-3041-8ae2-b87c471cf75f"]}],"mendeley":{"formattedCitation":"(Vachon, 2019)","plainTextFormattedCitation":"(Vachon, 2019)","previouslyFormattedCitation":"(Vachon, 2019)"},"properties":{"noteIndex":0},"schema":"https://github.com/citation-style-language/schema/raw/master/csl-citation.json"}</w:instrText>
      </w:r>
      <w:r w:rsidRPr="00E10B6E">
        <w:fldChar w:fldCharType="separate"/>
      </w:r>
      <w:r w:rsidRPr="00E10B6E">
        <w:rPr>
          <w:noProof/>
        </w:rPr>
        <w:t>(Vachon, 2019)</w:t>
      </w:r>
      <w:r w:rsidRPr="00E10B6E">
        <w:fldChar w:fldCharType="end"/>
      </w:r>
      <w:r w:rsidRPr="00E10B6E">
        <w:t xml:space="preserve">. </w:t>
      </w:r>
    </w:p>
    <w:p w14:paraId="7AA51455" w14:textId="3F22EC8E" w:rsidR="006C508C" w:rsidRPr="00E10B6E" w:rsidRDefault="006C508C" w:rsidP="00914619">
      <w:pPr>
        <w:pStyle w:val="Heading3"/>
      </w:pPr>
      <w:bookmarkStart w:id="77" w:name="_Toc54274807"/>
      <w:r w:rsidRPr="00E10B6E">
        <w:t>4.4.</w:t>
      </w:r>
      <w:r w:rsidR="00966ADC" w:rsidRPr="00E10B6E">
        <w:t>4</w:t>
      </w:r>
      <w:r w:rsidRPr="00E10B6E">
        <w:t xml:space="preserve"> Mechanically-recycled polyolefins</w:t>
      </w:r>
      <w:bookmarkEnd w:id="77"/>
    </w:p>
    <w:p w14:paraId="6C258FE4" w14:textId="74585027" w:rsidR="0008380B" w:rsidRPr="00E10B6E" w:rsidRDefault="0008380B" w:rsidP="0008380B">
      <w:pPr>
        <w:jc w:val="both"/>
      </w:pPr>
      <w:r w:rsidRPr="00E10B6E">
        <w:t xml:space="preserve">As seen in </w:t>
      </w:r>
      <w:r w:rsidRPr="00E10B6E">
        <w:fldChar w:fldCharType="begin"/>
      </w:r>
      <w:r w:rsidRPr="00E10B6E">
        <w:instrText xml:space="preserve"> REF _Ref46182784 \h </w:instrText>
      </w:r>
      <w:r w:rsidRPr="00E10B6E">
        <w:fldChar w:fldCharType="separate"/>
      </w:r>
      <w:r w:rsidR="00983F73" w:rsidRPr="00E10B6E">
        <w:t xml:space="preserve">Figure </w:t>
      </w:r>
      <w:r w:rsidR="00983F73">
        <w:rPr>
          <w:noProof/>
        </w:rPr>
        <w:t>32</w:t>
      </w:r>
      <w:r w:rsidRPr="00E10B6E">
        <w:fldChar w:fldCharType="end"/>
      </w:r>
      <w:r w:rsidRPr="00E10B6E">
        <w:t>, the main technological processes for the end-of-life management of the post-consumer plastic waste are mechanical recycling, feedstock recycling (also called chemical recycling), incineration (possibly with energy recovery), and landfill. After a brief description of mechanical recycling technologies, this section will focus on innovative chemical recycling process able to increase the share of recycled plastic waste.</w:t>
      </w:r>
    </w:p>
    <w:p w14:paraId="780E08D3" w14:textId="77777777" w:rsidR="0008380B" w:rsidRPr="00E10B6E" w:rsidRDefault="0008380B" w:rsidP="0008380B">
      <w:pPr>
        <w:keepNext/>
        <w:jc w:val="both"/>
      </w:pPr>
      <w:r w:rsidRPr="00E10B6E">
        <w:rPr>
          <w:noProof/>
        </w:rPr>
        <w:drawing>
          <wp:inline distT="0" distB="0" distL="0" distR="0" wp14:anchorId="3128483F" wp14:editId="6BE0D859">
            <wp:extent cx="5759450" cy="2905125"/>
            <wp:effectExtent l="0" t="0" r="0" b="952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D756F2D" w14:textId="1535D3DC" w:rsidR="0008380B" w:rsidRPr="00E10B6E" w:rsidRDefault="0008380B" w:rsidP="0008380B">
      <w:pPr>
        <w:pStyle w:val="Caption"/>
        <w:jc w:val="both"/>
      </w:pPr>
      <w:bookmarkStart w:id="78" w:name="_Ref46182784"/>
      <w:r w:rsidRPr="00E10B6E">
        <w:t xml:space="preserve">Figure </w:t>
      </w:r>
      <w:r w:rsidR="00722F9A">
        <w:fldChar w:fldCharType="begin"/>
      </w:r>
      <w:r w:rsidR="00722F9A">
        <w:instrText xml:space="preserve"> SEQ Figure \* ARABIC </w:instrText>
      </w:r>
      <w:r w:rsidR="00722F9A">
        <w:fldChar w:fldCharType="separate"/>
      </w:r>
      <w:r w:rsidR="00983F73">
        <w:rPr>
          <w:noProof/>
        </w:rPr>
        <w:t>32</w:t>
      </w:r>
      <w:r w:rsidR="00722F9A">
        <w:rPr>
          <w:noProof/>
        </w:rPr>
        <w:fldChar w:fldCharType="end"/>
      </w:r>
      <w:bookmarkEnd w:id="78"/>
      <w:r w:rsidRPr="00E10B6E">
        <w:t xml:space="preserve">: Possible treatments for plastic waste, in order of priority from highest (mechanical recycling) to lowest (landfill). Made with information from </w:t>
      </w:r>
      <w:r w:rsidRPr="00E10B6E">
        <w:fldChar w:fldCharType="begin" w:fldLock="1"/>
      </w:r>
      <w:r w:rsidRPr="00E10B6E">
        <w:instrText>ADDIN CSL_CITATION {"citationItems":[{"id":"ITEM-1","itemData":{"DOI":"10.1016/j.resconrec.2013.12.012","ISSN":"09213449","abstract":"The management of the plastic fraction is one of the most debated issues in the discussion on integrated municipal solid waste systems. Both material and energy recovery can be performed on such a waste stream, and different separate collection schemes can be implemented. The aim of the paper is to contribute to the debate, based on the analysis of different plastic waste recovery routes. Five scenarios were defined and modelled with a life cycle assessment approach using the EASEWASTE model. In the baseline scenario (P0) the plastic is treated as residual waste and routed partly to incineration with energy recovery and partly to mechanical biological treatment. A range of potential improvements in plastic management is introduced in the other four scenarios (P1-P4). P1 includes a source separation of clean plastic fractions for material recycling, whereas P2 a source separation of mixed plastic fraction for mechanical upgrading and separation into specific polymer types, with the residual plastic fraction being down-cycled and used for \"wood items\". In P3 a mixed plastic fraction is source separated together with metals in a \"dry bin\". In P4 plastic is mechanically separated from residual waste prior to incineration. A sensitivity analysis on the marginal energy was carried out. Scenarios were modelled as a first step assuming that marginal electricity and heat were based on coal and on a mix of fuels and then, in the sensitivity analysis, the marginal energy was based on natural gas. The study confirmed the difficulty to clearly identify an optimal strategy for plastic waste management. In fact none of the examined scenarios emerged univocally as the best option for all impact categories. When moving from the P0 treatment strategy to the other scenarios, substantial improvements can be obtained for \"Global Warming\". For the other impact categories, results are affected by the assumption about the substituted marginal energy. Nevertheless, irrespective of the assumptions on marginal energy, scenario P4, which implies the highest quantities of specific polymer types sent to recycling, resulted the best option in most impact categories. © 2014 Elsevier B.V.","author":[{"dropping-particle":"","family":"Rigamonti","given":"L.","non-dropping-particle":"","parse-names":false,"suffix":""},{"dropping-particle":"","family":"Grosso","given":"M.","non-dropping-particle":"","parse-names":false,"suffix":""},{"dropping-particle":"","family":"Møller","given":"J.","non-dropping-particle":"","parse-names":false,"suffix":""},{"dropping-particle":"","family":"Martinez Sanchez","given":"V.","non-dropping-particle":"","parse-names":false,"suffix":""},{"dropping-particle":"","family":"Magnani","given":"S.","non-dropping-particle":"","parse-names":false,"suffix":""},{"dropping-particle":"","family":"Christensen","given":"T. H.","non-dropping-particle":"","parse-names":false,"suffix":""}],"container-title":"Resources, Conservation and Recycling","id":"ITEM-1","issued":{"date-parts":[["2014","4","1"]]},"page":"42-53","publisher":"Elsevier","title":"Environmental evaluation of plastic waste management scenarios","type":"article-journal","volume":"85"},"uris":["http://www.mendeley.com/documents/?uuid=5c07b785-b7a0-3386-8026-adf1fe0b191e"]},{"id":"ITEM-2","itemData":{"DOI":"10.1016/j.jenvman.2017.03.084","ISSN":"03014797","PMID":"28384612","abstract":"Plastic plays an important role in our daily lives due to its versatility, light weight and low production cost. Plastics became essential in many sectors such as construction, medical, engineering applications, automotive, aerospace, etc. In addition, economic growth and development also increased our demand and dependency on plastics which leads to its accumulation in landfills imposing risk on human health, animals and cause environmental pollution problems such as ground water contamination, sanitary related issues, etc. Hence, a sustainable and an efficient plastic waste treatment is essential to avoid such issues. Pyrolysis is a thermo-chemical plastic waste treatment technique which can solve such pollution problems, as well as, recover valuable energy and products such as oil and gas. Pyrolysis of plastic solid waste (PSW) has gained importance due to having better advantages towards environmental pollution and reduction of carbon footprint of plastic products by minimizing the emissions of carbon monoxide and carbon dioxide compared to combustion and gasification. This paper presents the existing techniques of pyrolysis, the parameters which affect the products yield and selectivity and identify major research gaps in this technology. The influence of different catalysts on the process as well as review and comparative assessment of pyrolysis with other thermal and catalytic plastic treatment methods, is also presented.","author":[{"dropping-particle":"","family":"Al-Salem","given":"S.M.","non-dropping-particle":"","parse-names":false,"suffix":""},{"dropping-particle":"","family":"Antelava","given":"A.","non-dropping-particle":"","parse-names":false,"suffix":""},{"dropping-particle":"","family":"Constantinou","given":"A.","non-dropping-particle":"","parse-names":false,"suffix":""},{"dropping-particle":"","family":"Manos","given":"G.","non-dropping-particle":"","parse-names":false,"suffix":""},{"dropping-particle":"","family":"Dutta","given":"A.","non-dropping-particle":"","parse-names":false,"suffix":""}],"container-title":"Journal of Environmental Management","id":"ITEM-2","issued":{"date-parts":[["2017","7","15"]]},"page":"177-198","publisher":"Academic Press","title":"A review on thermal and catalytic pyrolysis of plastic solid waste (PSW)","type":"article-journal","volume":"197"},"uris":["http://www.mendeley.com/documents/?uuid=d114f4d5-ca83-3bd5-b5d7-150062986101"]}],"mendeley":{"formattedCitation":"(Al-Salem et al., 2017; Rigamonti et al., 2014)","plainTextFormattedCitation":"(Al-Salem et al., 2017; Rigamonti et al., 2014)","previouslyFormattedCitation":"(Al-Salem et al., 2017; Rigamonti et al., 2014)"},"properties":{"noteIndex":0},"schema":"https://github.com/citation-style-language/schema/raw/master/csl-citation.json"}</w:instrText>
      </w:r>
      <w:r w:rsidRPr="00E10B6E">
        <w:fldChar w:fldCharType="separate"/>
      </w:r>
      <w:r w:rsidRPr="00E10B6E">
        <w:rPr>
          <w:i w:val="0"/>
          <w:noProof/>
        </w:rPr>
        <w:t>(Al-Salem et al., 2017; Rigamonti et al., 2014)</w:t>
      </w:r>
      <w:r w:rsidRPr="00E10B6E">
        <w:fldChar w:fldCharType="end"/>
      </w:r>
      <w:r w:rsidRPr="00E10B6E">
        <w:t>.</w:t>
      </w:r>
    </w:p>
    <w:p w14:paraId="2D36FA2C" w14:textId="027C5199" w:rsidR="0008380B" w:rsidRPr="00E10B6E" w:rsidRDefault="0008380B" w:rsidP="0008380B">
      <w:pPr>
        <w:jc w:val="both"/>
      </w:pPr>
      <w:r w:rsidRPr="00E10B6E">
        <w:t>Mechanical and chemical/feedstock recycling are the two only options that allow for the recovery of the material and its re-inclusion in the circular economy cycle and are thus the prefer</w:t>
      </w:r>
      <w:r w:rsidR="00F52340" w:rsidRPr="00E10B6E">
        <w:t>red</w:t>
      </w:r>
      <w:r w:rsidRPr="00E10B6E">
        <w:t xml:space="preserve"> technologies for the treatment of plastic waste. Moreover, other options such as incineration and landfill have a significantly higher environmental impact </w:t>
      </w:r>
      <w:r w:rsidRPr="00E10B6E">
        <w:fldChar w:fldCharType="begin" w:fldLock="1"/>
      </w:r>
      <w:r w:rsidRPr="00E10B6E">
        <w:instrText>ADDIN CSL_CITATION {"citationItems":[{"id":"ITEM-1","itemData":{"DOI":"10.1016/j.resconrec.2013.12.012","ISSN":"09213449","abstract":"The management of the plastic fraction is one of the most debated issues in the discussion on integrated municipal solid waste systems. Both material and energy recovery can be performed on such a waste stream, and different separate collection schemes can be implemented. The aim of the paper is to contribute to the debate, based on the analysis of different plastic waste recovery routes. Five scenarios were defined and modelled with a life cycle assessment approach using the EASEWASTE model. In the baseline scenario (P0) the plastic is treated as residual waste and routed partly to incineration with energy recovery and partly to mechanical biological treatment. A range of potential improvements in plastic management is introduced in the other four scenarios (P1-P4). P1 includes a source separation of clean plastic fractions for material recycling, whereas P2 a source separation of mixed plastic fraction for mechanical upgrading and separation into specific polymer types, with the residual plastic fraction being down-cycled and used for \"wood items\". In P3 a mixed plastic fraction is source separated together with metals in a \"dry bin\". In P4 plastic is mechanically separated from residual waste prior to incineration. A sensitivity analysis on the marginal energy was carried out. Scenarios were modelled as a first step assuming that marginal electricity and heat were based on coal and on a mix of fuels and then, in the sensitivity analysis, the marginal energy was based on natural gas. The study confirmed the difficulty to clearly identify an optimal strategy for plastic waste management. In fact none of the examined scenarios emerged univocally as the best option for all impact categories. When moving from the P0 treatment strategy to the other scenarios, substantial improvements can be obtained for \"Global Warming\". For the other impact categories, results are affected by the assumption about the substituted marginal energy. Nevertheless, irrespective of the assumptions on marginal energy, scenario P4, which implies the highest quantities of specific polymer types sent to recycling, resulted the best option in most impact categories. © 2014 Elsevier B.V.","author":[{"dropping-particle":"","family":"Rigamonti","given":"L.","non-dropping-particle":"","parse-names":false,"suffix":""},{"dropping-particle":"","family":"Grosso","given":"M.","non-dropping-particle":"","parse-names":false,"suffix":""},{"dropping-particle":"","family":"Møller","given":"J.","non-dropping-particle":"","parse-names":false,"suffix":""},{"dropping-particle":"","family":"Martinez Sanchez","given":"V.","non-dropping-particle":"","parse-names":false,"suffix":""},{"dropping-particle":"","family":"Magnani","given":"S.","non-dropping-particle":"","parse-names":false,"suffix":""},{"dropping-particle":"","family":"Christensen","given":"T. H.","non-dropping-particle":"","parse-names":false,"suffix":""}],"container-title":"Resources, Conservation and Recycling","id":"ITEM-1","issued":{"date-parts":[["2014","4","1"]]},"page":"42-53","publisher":"Elsevier","title":"Environmental evaluation of plastic waste management scenarios","type":"article-journal","volume":"85"},"uris":["http://www.mendeley.com/documents/?uuid=5c07b785-b7a0-3386-8026-adf1fe0b191e"]},{"id":"ITEM-2","itemData":{"DOI":"10.1016/j.resconrec.2010.09.014","ISSN":"09213449","abstract":"A number of life cycle assessment (LCA) studies have been undertaken within the last 15 years comparing end-of-life treatment options for post-consumer plastic waste, including techniques such as: mechanical recycling, feedstock recycling, incineration with energy recovery and landfilling. These have attempted to support decisions in the formulation of waste management strategies and policies. In light of the introduction of life cycle thinking into European waste policies, specifically in relation to the waste hierarchy, a literature review of publically available LCA studies evaluating alternative end-of-life treatment options for plastic waste has been conducted. This has been done in order to: establish if a consensus exists as to the environmentally preferable treatment option for plastic waste; identify the methodological considerations and assumptions that have led to these conclusions; and determine the legitimacy of applying the waste hierarchy to the plastic waste stream. The majority of the LCA studies concluded that, when single polymer plastic waste fractions with little organic contamination are recycled and replace virgin plastic at a ratio of close to 1:1, recycling is generally the environmentally preferred treatment option when compared to municipal solid waste incineration. It has been found that assumptions relating to the virgin material substitution ratio and level of organic contamination can have a significant influence upon the results of these studies. Although a limited number of studies addressed feedstock recycling, feedstock recycling and the use of plastic waste as a solid recovered fuel in cement kilns were preferred to municipal solid waste incineration. Landfilling of plastic waste compared to municipal solid waste incineration proved to be the least preferred option for all impact categories except for global warming potential. Due to the uncertainty surrounding some assumptions in the studies, it cannot be said with confidence that the waste hierarchy should be applied to plastic waste management as a general rule. © 2010 Elsevier B.V. All rights reserved.","author":[{"dropping-particle":"","family":"Lazarevic","given":"David","non-dropping-particle":"","parse-names":false,"suffix":""},{"dropping-particle":"","family":"Aoustin","given":"Emmanuelle","non-dropping-particle":"","parse-names":false,"suffix":""},{"dropping-particle":"","family":"Buclet","given":"Nicolas","non-dropping-particle":"","parse-names":false,"suffix":""},{"dropping-particle":"","family":"Brandt","given":"Nils","non-dropping-particle":"","parse-names":false,"suffix":""}],"container-title":"Resources, Conservation and Recycling","id":"ITEM-2","issue":"2","issued":{"date-parts":[["2010","12","1"]]},"page":"246-259","publisher":"Elsevier","title":"Plastic waste management in the context of a European recycling society: Comparing results and uncertainties in a life cycle perspective","type":"article-journal","volume":"55"},"uris":["http://www.mendeley.com/documents/?uuid=32193355-8ae8-35c3-b3e1-d5c656acf2c7"]}],"mendeley":{"formattedCitation":"(Lazarevic et al., 2010; Rigamonti et al., 2014)","plainTextFormattedCitation":"(Lazarevic et al., 2010; Rigamonti et al., 2014)","previouslyFormattedCitation":"(Lazarevic et al., 2010; Rigamonti et al., 2014)"},"properties":{"noteIndex":0},"schema":"https://github.com/citation-style-language/schema/raw/master/csl-citation.json"}</w:instrText>
      </w:r>
      <w:r w:rsidRPr="00E10B6E">
        <w:fldChar w:fldCharType="separate"/>
      </w:r>
      <w:r w:rsidRPr="00E10B6E">
        <w:rPr>
          <w:noProof/>
        </w:rPr>
        <w:t>(Lazarevic et al., 2010; Rigamonti et al., 2014)</w:t>
      </w:r>
      <w:r w:rsidRPr="00E10B6E">
        <w:fldChar w:fldCharType="end"/>
      </w:r>
      <w:r w:rsidRPr="00E10B6E">
        <w:t>. In the Netherlands</w:t>
      </w:r>
      <w:r w:rsidR="00F52340" w:rsidRPr="00E10B6E">
        <w:t>,</w:t>
      </w:r>
      <w:r w:rsidRPr="00E10B6E">
        <w:t xml:space="preserve"> the annual demand for plastics is equal to 2.2 million tons, and around 32% of the post-consumer plastic waste is mechanically recycled, while the remaining part is incinerated in energy recovery plants </w:t>
      </w:r>
      <w:r w:rsidRPr="00E10B6E">
        <w:fldChar w:fldCharType="begin" w:fldLock="1"/>
      </w:r>
      <w:r w:rsidRPr="00E10B6E">
        <w:instrText>ADDIN CSL_CITATION {"citationItems":[{"id":"ITEM-1","itemData":{"author":[{"dropping-particle":"","family":"PlasticsEurope","given":"","non-dropping-particle":"","parse-names":false,"suffix":""}],"id":"ITEM-1","issued":{"date-parts":[["2019"]]},"publisher-place":"Brussels","title":"Plastics-the Facts 2019 An analysis of European plastics production, demand and waste data","type":"report"},"uris":["http://www.mendeley.com/documents/?uuid=5db93e70-d060-4d2e-be3c-92bb9cbb2557"]}],"mendeley":{"formattedCitation":"(PlasticsEurope, 2019)","plainTextFormattedCitation":"(PlasticsEurope, 2019)","previouslyFormattedCitation":"(PlasticsEurope, 2019)"},"properties":{"noteIndex":0},"schema":"https://github.com/citation-style-language/schema/raw/master/csl-citation.json"}</w:instrText>
      </w:r>
      <w:r w:rsidRPr="00E10B6E">
        <w:fldChar w:fldCharType="separate"/>
      </w:r>
      <w:r w:rsidRPr="00E10B6E">
        <w:rPr>
          <w:noProof/>
        </w:rPr>
        <w:t>(PlasticsEurope, 2019)</w:t>
      </w:r>
      <w:r w:rsidRPr="00E10B6E">
        <w:fldChar w:fldCharType="end"/>
      </w:r>
      <w:r w:rsidRPr="00E10B6E">
        <w:t xml:space="preserve">. </w:t>
      </w:r>
    </w:p>
    <w:p w14:paraId="38283995" w14:textId="3D0E8125" w:rsidR="00891C92" w:rsidRPr="00E10B6E" w:rsidRDefault="00891C92" w:rsidP="00891C92">
      <w:pPr>
        <w:jc w:val="both"/>
      </w:pPr>
      <w:r w:rsidRPr="00E10B6E">
        <w:t>Mechanical recycling is the most common method for the material recovery of plastic waste, although it requires the waste to be sorted and divided in</w:t>
      </w:r>
      <w:r w:rsidR="00F52340" w:rsidRPr="00E10B6E">
        <w:t>to</w:t>
      </w:r>
      <w:r w:rsidRPr="00E10B6E">
        <w:t xml:space="preserve"> single-polymer plastic</w:t>
      </w:r>
      <w:r w:rsidR="00F52340" w:rsidRPr="00E10B6E">
        <w:t xml:space="preserve"> streams</w:t>
      </w:r>
      <w:r w:rsidRPr="00E10B6E">
        <w:t xml:space="preserve"> </w:t>
      </w:r>
      <w:r w:rsidRPr="00E10B6E">
        <w:fldChar w:fldCharType="begin" w:fldLock="1"/>
      </w:r>
      <w:r w:rsidRPr="00E10B6E">
        <w:instrText>ADDIN CSL_CITATION {"citationItems":[{"id":"ITEM-1","itemData":{"DOI":"10.1016/j.wasman.2009.06.004","ISSN":"0956053X","abstract":"Plastic solid waste (PSW) presents challenges and opportunities to societies regardless of their sustainability awareness and technological advances. In this paper, recent progress in the recycling and recovery of PSW is reviewed. A special emphasis is paid on waste generated from polyolefinic sources, which makes up a great percentage of our daily single-life cycle plastic products. The four routes of PSW treatment are detailed and discussed covering primary (re-extrusion), secondary (mechanical), tertiary (chemical) and quaternary (energy recovery) schemes and technologies. Primary recycling, which involves the re-introduction of clean scrap of single polymer to the extrusion cycle in order to produce products of the similar material, is commonly applied in the processing line itself but rarely applied among recyclers, as recycling materials rarely possess the required quality. The various waste products, consisting of either end-of-life or production (scrap) waste, are the feedstock of secondary techniques, thereby generally reduced in size to a more desirable shape and form, such as pellets, flakes or powders, depending on the source, shape and usability. Tertiary treatment schemes have contributed greatly to the recycling status of PSW in recent years. Advanced thermo-chemical treatment methods cover a wide range of technologies and produce either fuels or petrochemical feedstock. Nowadays, non-catalytic thermal cracking (thermolysis) is receiving renewed attention, due to the fact of added value on a crude oil barrel and its very valuable yielded products. But a fact remains that advanced thermo-chemical recycling of PSW (namely polyolefins) still lacks the proper design and kinetic background to target certain desired products and/or chemicals. Energy recovery was found to be an attainable solution to PSW in general and municipal solid waste (MSW) in particular. The amount of energy produced in kilns and reactors applied in this route is sufficiently investigated up to the point of operation, but not in terms of integration with either petrochemical or converting plants. Although primary and secondary recycling schemes are well established and widely applied, it is concluded that many of the PSW tertiary and quaternary treatment schemes appear to be robust and worthy of additional investigation. © 2009 Elsevier Ltd.","author":[{"dropping-particle":"","family":"Al-Salem","given":"S. M.","non-dropping-particle":"","parse-names":false,"suffix":""},{"dropping-particle":"","family":"Lettieri","given":"P.","non-dropping-particle":"","parse-names":false,"suffix":""},{"dropping-particle":"","family":"Baeyens","given":"J.","non-dropping-particle":"","parse-names":false,"suffix":""}],"container-title":"Waste Management","id":"ITEM-1","issue":"10","issued":{"date-parts":[["2009","10","1"]]},"page":"2625-2643","publisher":"Pergamon","title":"Recycling and recovery routes of plastic solid waste (PSW): A review","type":"article-journal","volume":"29"},"uris":["http://www.mendeley.com/documents/?uuid=33c784ce-90cf-3633-9e77-1c4ed25e53c9"]}],"mendeley":{"formattedCitation":"(Al-Salem et al., 2009)","plainTextFormattedCitation":"(Al-Salem et al., 2009)","previouslyFormattedCitation":"(Al-Salem et al., 2009)"},"properties":{"noteIndex":0},"schema":"https://github.com/citation-style-language/schema/raw/master/csl-citation.json"}</w:instrText>
      </w:r>
      <w:r w:rsidRPr="00E10B6E">
        <w:fldChar w:fldCharType="separate"/>
      </w:r>
      <w:r w:rsidRPr="00E10B6E">
        <w:rPr>
          <w:noProof/>
        </w:rPr>
        <w:t>(Al-Salem et al., 2009)</w:t>
      </w:r>
      <w:r w:rsidRPr="00E10B6E">
        <w:fldChar w:fldCharType="end"/>
      </w:r>
      <w:r w:rsidRPr="00E10B6E">
        <w:t xml:space="preserve">. As seen in </w:t>
      </w:r>
      <w:r w:rsidRPr="00E10B6E">
        <w:fldChar w:fldCharType="begin"/>
      </w:r>
      <w:r w:rsidRPr="00E10B6E">
        <w:instrText xml:space="preserve"> REF _Ref46306648 \h </w:instrText>
      </w:r>
      <w:r w:rsidRPr="00E10B6E">
        <w:fldChar w:fldCharType="separate"/>
      </w:r>
      <w:r w:rsidR="00983F73" w:rsidRPr="00E10B6E">
        <w:t xml:space="preserve">Figure </w:t>
      </w:r>
      <w:r w:rsidR="00983F73">
        <w:rPr>
          <w:noProof/>
        </w:rPr>
        <w:t>33</w:t>
      </w:r>
      <w:r w:rsidRPr="00E10B6E">
        <w:fldChar w:fldCharType="end"/>
      </w:r>
      <w:r w:rsidRPr="00E10B6E">
        <w:t xml:space="preserve">, after the collection of the plastic waste the process starts with the separation of the plastic products based on chemical composition, density, colour, size and shape. The </w:t>
      </w:r>
      <w:r w:rsidRPr="00E10B6E">
        <w:lastRenderedPageBreak/>
        <w:t>waste is then washed to remove contamination (often organic, e.g. food waste, or chemical, e.g. glue and labels), gr</w:t>
      </w:r>
      <w:r w:rsidR="00F52340" w:rsidRPr="00E10B6E">
        <w:t>oun</w:t>
      </w:r>
      <w:r w:rsidRPr="00E10B6E">
        <w:t xml:space="preserve">d into flakes, and finally milled and compounded into pellets and granules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waste","type":"article-journal","volume":"69"},"uris":["http://www.mendeley.com/documents/?uuid=878abd51-814e-43d7-a3df-51e7eb2e5f00"]},{"id":"ITEM-2","itemData":{"DOI":"10.1016/j.compositesb.2016.09.013","ISSN":"13598368","abstract":"Plastic solid waste (PSW) of polymers (like: high density polyethylene (HDPE), low density polyethylene (LDPE), Nylon etc.) is creating new challenges, which in today's scenario are major research concerns. A sharp rise has been observed in production of different products based on different plastic material. This huge increase in plastic commodities also increases the waste generation thus creating new challenges. Some researchers have reported work in the field of PSW management with different recycling methods. This paper compiles the different research work done by researchers in this field of recycling and progress in recovery and management of PSW by different methods (i.e. Primary, secondary, tertiary and quaternary) along with the various identification/separation techniques. Further, this paper reviews the effect on properties of virgin and recycled HDPE/LDPE/Nylon PSW with different reinforcements like sand, natural fibre, hemp fibre, metal powder etc.","author":[{"dropping-particle":"","family":"Singh","given":"Narinder","non-dropping-particle":"","parse-names":false,"suffix":""},{"dropping-particle":"","family":"Hui","given":"David","non-dropping-particle":"","parse-names":false,"suffix":""},{"dropping-particle":"","family":"Singh","given":"Rupinder","non-dropping-particle":"","parse-names":false,"suffix":""},{"dropping-particle":"","family":"Ahuja","given":"I. P.S.","non-dropping-particle":"","parse-names":false,"suffix":""},{"dropping-particle":"","family":"Feo","given":"Luciano","non-dropping-particle":"","parse-names":false,"suffix":""},{"dropping-particle":"","family":"Fraternali","given":"Fernando","non-dropping-particle":"","parse-names":false,"suffix":""}],"container-title":"Composites Part B: Engineering","id":"ITEM-2","issued":{"date-parts":[["2017","4","15"]]},"page":"409-422","publisher":"Elsevier Ltd","title":"Recycling of plastic solid waste: A state of art review and future applications","type":"article-journal","volume":"115"},"uris":["http://www.mendeley.com/documents/?uuid=ec45f439-5ee8-3eb2-b3fd-ed5cc2d0f5f5"]}],"mendeley":{"formattedCitation":"(Ragaert et al., 2017; Singh et al., 2017)","plainTextFormattedCitation":"(Ragaert et al., 2017; Singh et al., 2017)","previouslyFormattedCitation":"(Ragaert et al., 2017; Singh et al., 2017)"},"properties":{"noteIndex":0},"schema":"https://github.com/citation-style-language/schema/raw/master/csl-citation.json"}</w:instrText>
      </w:r>
      <w:r w:rsidRPr="00E10B6E">
        <w:fldChar w:fldCharType="separate"/>
      </w:r>
      <w:r w:rsidRPr="00E10B6E">
        <w:rPr>
          <w:noProof/>
        </w:rPr>
        <w:t>(Ragaert et al., 2017; Singh et al., 2017)</w:t>
      </w:r>
      <w:r w:rsidRPr="00E10B6E">
        <w:fldChar w:fldCharType="end"/>
      </w:r>
      <w:r w:rsidRPr="00E10B6E">
        <w:t>.</w:t>
      </w:r>
    </w:p>
    <w:p w14:paraId="7A35D4BA" w14:textId="77777777" w:rsidR="00891C92" w:rsidRPr="00E10B6E" w:rsidRDefault="00891C92" w:rsidP="00891C92">
      <w:pPr>
        <w:keepNext/>
      </w:pPr>
      <w:r w:rsidRPr="00E10B6E">
        <w:rPr>
          <w:noProof/>
        </w:rPr>
        <w:drawing>
          <wp:inline distT="0" distB="0" distL="0" distR="0" wp14:anchorId="1250E3FF" wp14:editId="1378C33C">
            <wp:extent cx="5760000" cy="2065865"/>
            <wp:effectExtent l="0" t="0" r="0" b="0"/>
            <wp:docPr id="19994441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2065865"/>
                    </a:xfrm>
                    <a:prstGeom prst="rect">
                      <a:avLst/>
                    </a:prstGeom>
                  </pic:spPr>
                </pic:pic>
              </a:graphicData>
            </a:graphic>
          </wp:inline>
        </w:drawing>
      </w:r>
    </w:p>
    <w:p w14:paraId="7E2EEE56" w14:textId="73346439" w:rsidR="00891C92" w:rsidRPr="00F67810" w:rsidRDefault="00891C92" w:rsidP="00891C92">
      <w:pPr>
        <w:pStyle w:val="Caption"/>
        <w:rPr>
          <w:lang w:val="it-IT"/>
        </w:rPr>
      </w:pPr>
      <w:bookmarkStart w:id="79" w:name="_Ref46306648"/>
      <w:r w:rsidRPr="00E10B6E">
        <w:t xml:space="preserve">Figure </w:t>
      </w:r>
      <w:r w:rsidR="00722F9A">
        <w:fldChar w:fldCharType="begin"/>
      </w:r>
      <w:r w:rsidR="00722F9A">
        <w:instrText xml:space="preserve"> SEQ Figure \* ARABIC </w:instrText>
      </w:r>
      <w:r w:rsidR="00722F9A">
        <w:fldChar w:fldCharType="separate"/>
      </w:r>
      <w:r w:rsidR="00983F73">
        <w:rPr>
          <w:noProof/>
        </w:rPr>
        <w:t>33</w:t>
      </w:r>
      <w:r w:rsidR="00722F9A">
        <w:rPr>
          <w:noProof/>
        </w:rPr>
        <w:fldChar w:fldCharType="end"/>
      </w:r>
      <w:bookmarkEnd w:id="79"/>
      <w:r w:rsidRPr="00E10B6E">
        <w:t xml:space="preserve">: Mechanical recycling process. Made with information from </w:t>
      </w:r>
      <w:r w:rsidRPr="00E10B6E">
        <w:fldChar w:fldCharType="begin" w:fldLock="1"/>
      </w:r>
      <w:r w:rsidRPr="00E10B6E">
        <w:instrText xml:space="preserve">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waste","type":"article-journal","volume":"69"},"uris":["http://www.mendeley.com/documents/?uuid=878abd51-814e-43d7-a3df-51e7eb2e5f00"]},{"id":"ITEM-2","itemData":{"DOI":"10.1016/j.compositesb.2016.09.013","ISSN":"13598368","abstract":"Plastic solid waste (PSW) of polymers (like: high density polyethylene (HDPE), low density polyethylene (LDPE), Nylon etc.) is creating new challenges, which in today's scenario are major research concerns. A sharp rise has been observed in production of different products based on different plastic material. This huge increase in plastic commodities also increases the waste generation thus creating new challenges. Some researchers have reported work in the field of PSW management with different recycling methods. This paper compiles the different research work done by researchers in this field of recycling and progress in recovery and management of PSW by different methods (i.e. Primary, secondary, tertiary and quaternary) along with the various identification/separation techniques. Further, this paper reviews the effect on properties of virgin and recycled HDPE/LDPE/Nylon PSW with different reinforcements like sand, natural fibre, hemp fibre, metal powder etc.","author":[{"dropping-particle":"","family":"Singh","given":"Narinder","non-dropping-particle":"","parse-names":false,"suffix":""},{"dropping-particle":"","family":"Hui","given":"David","non-dropping-particle":"","parse-names":false,"suffix":""},{"dropping-particle":"","family":"Singh","given":"Rupinder","non-dropping-particle":"","parse-names":false,"suffix":""},{"dropping-particle":"","family":"Ahuja","given":"I. P.S.","non-dropping-particle":"","parse-names":false,"suffix":""},{"dropping-particle":"","family":"Feo","given":"Luciano","non-dropping-particle":"","parse-names":false,"suffix":""},{"dropping-particle":"","family":"Fraternali","given":"Fernando","non-dropping-particle":"","parse-names":false,"suffix":""}],"container-title":"Composites Part B: Engineering","id":"ITEM-2","issued":{"date-parts":[["2017","4","15"]]},"page":"409-422","publisher":"Elsevier Ltd","title":"Recycling of plastic solid waste: A state of art review and future applications","type":"article-journal","volume":"115"},"uris":["http://www.mendeley.com/documents/?uuid=ec45f439-5ee8-3eb2-b3fd-ed5cc2d0f5f5"]},{"id":"ITEM-3","itemData":{"DOI":"10.1016/j.wasman.2009.06.004","ISSN":"0956053X","abstract":"Plastic solid waste (PSW) presents challenges and opportunities to societies regardless of their sustainability awareness and technological advances. In this paper, recent progress in the recycling and recovery of PSW is reviewed. A special emphasis is paid on waste generated from polyolefinic sources, which makes up a great percentage of our daily single-life cycle plastic products. The four routes of PSW treatment are detailed and discussed covering primary (re-extrusion), secondary (mechanical), tertiary (chemical) and quaternary (energy recovery) schemes and technologies. Primary recycling, which involves the re-introduction of clean scrap of single polymer to the extrusion cycle in order to produce products of the similar material, is commonly applied in the processing line itself but rarely applied among recyclers, as recycling materials rarely possess the required quality. The various waste products, consisting of either end-of-life or production (scrap) waste, are the feedstock of secondary techniques, thereby generally reduced in size to a more desirable shape and form, such as pellets, flakes or powders, depending on the source, shape and usability. Tertiary treatment schemes have contributed greatly to the recycling status of PSW in recent years. Advanced thermo-chemical treatment methods cover a wide range of technologies and produce either fuels or petrochemical feedstock. Nowadays, non-catalytic thermal cracking (thermolysis) is receiving renewed attention, due to the fact of added value on a crude oil barrel and its very valuable yielded products. But a fact remains that advanced thermo-chemical recycling of PSW (namely polyolefins) still lacks the proper design and kinetic background to target certain desired products and/or chemicals. Energy recovery was found to be an attainable solution to PSW in general and municipal solid waste (MSW) in particular. The amount of energy produced in kilns and reactors applied in this route is sufficiently investigated </w:instrText>
      </w:r>
      <w:r w:rsidRPr="00F67810">
        <w:rPr>
          <w:lang w:val="it-IT"/>
        </w:rPr>
        <w:instrText>up to the point of operation, but not in terms of integration with either petrochemical or converting plants. Although primary and secondary recycling schemes are well established and widely applied, it is concluded that many of the PSW tertiary and quaternary treatment schemes appear to be robust and worthy of additional investigation. © 2009 Elsevier Ltd.","author":[{"dropping-particle":"","family":"Al-Salem","given":"S. M.","non-dropping-particle":"","parse-names":false,"suffix":""},{"dropping-particle":"","family":"Lettieri","given":"P.","non-dropping-particle":"","parse-names":false,"suffix":""},{"dropping-particle":"","family":"Baeyens","given":"J.","non-dropping-particle":"","parse-names":false,"suffix":""}],"container-title":"Waste Management","id":"ITEM-3","issue":"10","issued":{"date-parts":[["2009","10","1"]]},"page":"2625-2643","publisher":"Pergamon","title":"Recycling and recovery routes of plastic solid waste (PSW): A review","type":"article-journal","volume":"29"},"uris":["http://www.mendeley.com/documents/?uuid=33c784ce-90cf-3633-9e77-1c4ed25e53c9"]}],"mendeley":{"formattedCitation":"(Al-Salem et al., 2009; Ragaert et al., 2017; Singh et al., 2017)","plainTextFormattedCitation":"(Al-Salem et al., 2009; Ragaert et al., 2017; Singh et al., 2017)","previouslyFormattedCitation":"(Al-Salem et al., 2009; Ragaert et al., 2017; Singh et al., 2017)"},"properties":{"noteIndex":0},"schema":"https://github.com/citation-style-language/schema/raw/master/csl-citation.json"}</w:instrText>
      </w:r>
      <w:r w:rsidRPr="00E10B6E">
        <w:fldChar w:fldCharType="separate"/>
      </w:r>
      <w:r w:rsidRPr="00F67810">
        <w:rPr>
          <w:i w:val="0"/>
          <w:noProof/>
          <w:lang w:val="it-IT"/>
        </w:rPr>
        <w:t>(Al-Salem et al., 2009; Ragaert et al., 2017; Singh et al., 2017)</w:t>
      </w:r>
      <w:r w:rsidRPr="00E10B6E">
        <w:fldChar w:fldCharType="end"/>
      </w:r>
      <w:r w:rsidRPr="00F67810">
        <w:rPr>
          <w:lang w:val="it-IT"/>
        </w:rPr>
        <w:t>.</w:t>
      </w:r>
    </w:p>
    <w:p w14:paraId="697A425D" w14:textId="77777777" w:rsidR="00891C92" w:rsidRPr="00E10B6E" w:rsidRDefault="00891C92" w:rsidP="00891C92">
      <w:pPr>
        <w:spacing w:after="200" w:line="276" w:lineRule="auto"/>
        <w:jc w:val="both"/>
      </w:pPr>
      <w:r w:rsidRPr="00E10B6E">
        <w:t xml:space="preserve">Sorting and separating the different polymers are the most delicate steps of the mechanical recycling process, and can be done by a combination of FT-NIR (Fourier Transform Near Infrared), optical colour recognition, a ballistic separator, float-sink techniques, and manual sorting by trained operators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 xml:space="preserve">. Other possible sorting methods are triboelectric, X-rays, and high-speed separation </w:t>
      </w:r>
      <w:r w:rsidRPr="00E10B6E">
        <w:fldChar w:fldCharType="begin" w:fldLock="1"/>
      </w:r>
      <w:r w:rsidRPr="00E10B6E">
        <w:instrText>ADDIN CSL_CITATION {"citationItems":[{"id":"ITEM-1","itemData":{"DOI":"10.1016/j.wasman.2009.06.004","ISSN":"0956053X","abstract":"Plastic solid waste (PSW) presents challenges and opportunities to societies regardless of their sustainability awareness and technological advances. In this paper, recent progress in the recycling and recovery of PSW is reviewed. A special emphasis is paid on waste generated from polyolefinic sources, which makes up a great percentage of our daily single-life cycle plastic products. The four routes of PSW treatment are detailed and discussed covering primary (re-extrusion), secondary (mechanical), tertiary (chemical) and quaternary (energy recovery) schemes and technologies. Primary recycling, which involves the re-introduction of clean scrap of single polymer to the extrusion cycle in order to produce products of the similar material, is commonly applied in the processing line itself but rarely applied among recyclers, as recycling materials rarely possess the required quality. The various waste products, consisting of either end-of-life or production (scrap) waste, are the feedstock of secondary techniques, thereby generally reduced in size to a more desirable shape and form, such as pellets, flakes or powders, depending on the source, shape and usability. Tertiary treatment schemes have contributed greatly to the recycling status of PSW in recent years. Advanced thermo-chemical treatment methods cover a wide range of technologies and produce either fuels or petrochemical feedstock. Nowadays, non-catalytic thermal cracking (thermolysis) is receiving renewed attention, due to the fact of added value on a crude oil barrel and its very valuable yielded products. But a fact remains that advanced thermo-chemical recycling of PSW (namely polyolefins) still lacks the proper design and kinetic background to target certain desired products and/or chemicals. Energy recovery was found to be an attainable solution to PSW in general and municipal solid waste (MSW) in particular. The amount of energy produced in kilns and reactors applied in this route is sufficiently investigated up to the point of operation, but not in terms of integration with either petrochemical or converting plants. Although primary and secondary recycling schemes are well established and widely applied, it is concluded that many of the PSW tertiary and quaternary treatment schemes appear to be robust and worthy of additional investigation. © 2009 Elsevier Ltd.","author":[{"dropping-particle":"","family":"Al-Salem","given":"S. M.","non-dropping-particle":"","parse-names":false,"suffix":""},{"dropping-particle":"","family":"Lettieri","given":"P.","non-dropping-particle":"","parse-names":false,"suffix":""},{"dropping-particle":"","family":"Baeyens","given":"J.","non-dropping-particle":"","parse-names":false,"suffix":""}],"container-title":"Waste Management","id":"ITEM-1","issue":"10","issued":{"date-parts":[["2009","10","1"]]},"page":"2625-2643","publisher":"Pergamon","title":"Recycling and recovery routes of plastic solid waste (PSW): A review","type":"article-journal","volume":"29"},"uris":["http://www.mendeley.com/documents/?uuid=33c784ce-90cf-3633-9e77-1c4ed25e53c9"]}],"mendeley":{"formattedCitation":"(Al-Salem et al., 2009)","plainTextFormattedCitation":"(Al-Salem et al., 2009)","previouslyFormattedCitation":"(Al-Salem et al., 2009)"},"properties":{"noteIndex":0},"schema":"https://github.com/citation-style-language/schema/raw/master/csl-citation.json"}</w:instrText>
      </w:r>
      <w:r w:rsidRPr="00E10B6E">
        <w:fldChar w:fldCharType="separate"/>
      </w:r>
      <w:r w:rsidRPr="00E10B6E">
        <w:rPr>
          <w:noProof/>
        </w:rPr>
        <w:t>(Al-Salem et al., 2009)</w:t>
      </w:r>
      <w:r w:rsidRPr="00E10B6E">
        <w:fldChar w:fldCharType="end"/>
      </w:r>
      <w:r w:rsidRPr="00E10B6E">
        <w:t>. The carbon footprint of mechanical recycling has been measured to be equal to -0.5 kg of CO</w:t>
      </w:r>
      <w:r w:rsidRPr="00E10B6E">
        <w:rPr>
          <w:vertAlign w:val="subscript"/>
        </w:rPr>
        <w:t>2</w:t>
      </w:r>
      <w:r w:rsidRPr="00E10B6E">
        <w:t xml:space="preserve">-eq/kg input waste, compared to the production of virgin plastics for naphtha crackers </w:t>
      </w:r>
      <w:r w:rsidRPr="00E10B6E">
        <w:fldChar w:fldCharType="begin" w:fldLock="1"/>
      </w:r>
      <w:r w:rsidRPr="00E10B6E">
        <w:instrText>ADDIN CSL_CITATION {"citationItems":[{"id":"ITEM-1","itemData":{"author":[{"dropping-particle":"","family":"CE Delft","given":"","non-dropping-particle":"","parse-names":false,"suffix":""}],"id":"ITEM-1","issued":{"date-parts":[["2019"]]},"title":"Exploratory study on chemical recycling. Update 2019 - CE Delft","type":"report"},"uris":["http://www.mendeley.com/documents/?uuid=6a20eec2-242f-3cf8-ac31-580e6957f196"]}],"mendeley":{"formattedCitation":"(CE Delft, 2019)","plainTextFormattedCitation":"(CE Delft, 2019)","previouslyFormattedCitation":"(CE Delft, 2019)"},"properties":{"noteIndex":0},"schema":"https://github.com/citation-style-language/schema/raw/master/csl-citation.json"}</w:instrText>
      </w:r>
      <w:r w:rsidRPr="00E10B6E">
        <w:fldChar w:fldCharType="separate"/>
      </w:r>
      <w:r w:rsidRPr="00E10B6E">
        <w:rPr>
          <w:noProof/>
        </w:rPr>
        <w:t>(CE Delft, 2019)</w:t>
      </w:r>
      <w:r w:rsidRPr="00E10B6E">
        <w:fldChar w:fldCharType="end"/>
      </w:r>
      <w:r w:rsidRPr="00E10B6E">
        <w:t xml:space="preserve">. From a life cycle perspective, mechanical recycling is thus the preferred option to manage plastic waste, provided that the plastic stream is well defined, there is little organic contamination and the substitution ratio with virgin plastics is close to 1:1. For hard-to-recycle plastic waste, feedstock recycling becomes the preferable option </w:t>
      </w:r>
      <w:r w:rsidRPr="00E10B6E">
        <w:fldChar w:fldCharType="begin" w:fldLock="1"/>
      </w:r>
      <w:r w:rsidRPr="00E10B6E">
        <w:instrText>ADDIN CSL_CITATION {"citationItems":[{"id":"ITEM-1","itemData":{"DOI":"10.1016/j.resconrec.2010.09.014","ISSN":"09213449","abstract":"A number of life cycle assessment (LCA) studies have been undertaken within the last 15 years comparing end-of-life treatment options for post-consumer plastic waste, including techniques such as: mechanical recycling, feedstock recycling, incineration with energy recovery and landfilling. These have attempted to support decisions in the formulation of waste management strategies and policies. In light of the introduction of life cycle thinking into European waste policies, specifically in relation to the waste hierarchy, a literature review of publically available LCA studies evaluating alternative end-of-life treatment options for plastic waste has been conducted. This has been done in order to: establish if a consensus exists as to the environmentally preferable treatment option for plastic waste; identify the methodological considerations and assumptions that have led to these conclusions; and determine the legitimacy of applying the waste hierarchy to the plastic waste stream. The majority of the LCA studies concluded that, when single polymer plastic waste fractions with little organic contamination are recycled and replace virgin plastic at a ratio of close to 1:1, recycling is generally the environmentally preferred treatment option when compared to municipal solid waste incineration. It has been found that assumptions relating to the virgin material substitution ratio and level of organic contamination can have a significant influence upon the results of these studies. Although a limited number of studies addressed feedstock recycling, feedstock recycling and the use of plastic waste as a solid recovered fuel in cement kilns were preferred to municipal solid waste incineration. Landfilling of plastic waste compared to municipal solid waste incineration proved to be the least preferred option for all impact categories except for global warming potential. Due to the uncertainty surrounding some assumptions in the studies, it cannot be said with confidence that the waste hierarchy should be applied to plastic waste management as a general rule. © 2010 Elsevier B.V. All rights reserved.","author":[{"dropping-particle":"","family":"Lazarevic","given":"David","non-dropping-particle":"","parse-names":false,"suffix":""},{"dropping-particle":"","family":"Aoustin","given":"Emmanuelle","non-dropping-particle":"","parse-names":false,"suffix":""},{"dropping-particle":"","family":"Buclet","given":"Nicolas","non-dropping-particle":"","parse-names":false,"suffix":""},{"dropping-particle":"","family":"Brandt","given":"Nils","non-dropping-particle":"","parse-names":false,"suffix":""}],"container-title":"Resources, Conservation and Recycling","id":"ITEM-1","issue":"2","issued":{"date-parts":[["2010","12","1"]]},"page":"246-259","publisher":"Elsevier","title":"Plastic waste management in the context of a European recycling society: Comparing results and uncertainties in a life cycle perspective","type":"article-journal","volume":"55"},"uris":["http://www.mendeley.com/documents/?uuid=32193355-8ae8-35c3-b3e1-d5c656acf2c7"]}],"mendeley":{"formattedCitation":"(Lazarevic et al., 2010)","plainTextFormattedCitation":"(Lazarevic et al., 2010)","previouslyFormattedCitation":"(Lazarevic et al., 2010)"},"properties":{"noteIndex":0},"schema":"https://github.com/citation-style-language/schema/raw/master/csl-citation.json"}</w:instrText>
      </w:r>
      <w:r w:rsidRPr="00E10B6E">
        <w:fldChar w:fldCharType="separate"/>
      </w:r>
      <w:r w:rsidRPr="00E10B6E">
        <w:rPr>
          <w:noProof/>
        </w:rPr>
        <w:t>(Lazarevic et al., 2010)</w:t>
      </w:r>
      <w:r w:rsidRPr="00E10B6E">
        <w:fldChar w:fldCharType="end"/>
      </w:r>
      <w:r w:rsidRPr="00E10B6E">
        <w:t xml:space="preserve">. Another factor that could make chemical recycling a better choice than mechanical recycling is the thermal-mechanical degradation faced by the polymers during the shearing and melting processes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w:t>
      </w:r>
    </w:p>
    <w:p w14:paraId="5C0C3D7B" w14:textId="770A8504" w:rsidR="006C508C" w:rsidRPr="00E10B6E" w:rsidRDefault="006C508C" w:rsidP="00914619">
      <w:pPr>
        <w:pStyle w:val="Heading3"/>
      </w:pPr>
      <w:bookmarkStart w:id="80" w:name="_Toc54274808"/>
      <w:r w:rsidRPr="00E10B6E">
        <w:t>4.4.</w:t>
      </w:r>
      <w:r w:rsidR="00966ADC" w:rsidRPr="00E10B6E">
        <w:t>5</w:t>
      </w:r>
      <w:r w:rsidRPr="00E10B6E">
        <w:t xml:space="preserve"> Dissolution-recycled polyolefins</w:t>
      </w:r>
      <w:bookmarkEnd w:id="80"/>
    </w:p>
    <w:p w14:paraId="4004F2D3" w14:textId="5D383658" w:rsidR="00891C92" w:rsidRPr="00E10B6E" w:rsidRDefault="00891C92" w:rsidP="00891C92">
      <w:pPr>
        <w:jc w:val="both"/>
      </w:pPr>
      <w:r w:rsidRPr="00E10B6E">
        <w:t xml:space="preserve">Solvent-based purification, also known as dissolution, is a chemical recycling process able to recover high-quality polymers and separate them from additives and impurities. Although the method could technically be applied to mixed plastic waste, current setups are only able to handle homogeneous flows of polymers </w:t>
      </w:r>
      <w:r w:rsidRPr="00E10B6E">
        <w:fldChar w:fldCharType="begin" w:fldLock="1"/>
      </w:r>
      <w:r w:rsidRPr="00E10B6E">
        <w:instrText>ADDIN CSL_CITATION {"citationItems":[{"id":"ITEM-1","itemData":{"author":[{"dropping-particle":"","family":"Zero Waste Europe","given":"","non-dropping-particle":"","parse-names":false,"suffix":""}],"id":"ITEM-1","issued":{"date-parts":[["2019","8"]]},"title":"El Dorado of Chemical Recycling State of play and policy challenges","type":"report"},"uris":["http://www.mendeley.com/documents/?uuid=b5e4ebc4-08d3-3068-abe2-428de862b12f"]}],"mendeley":{"formattedCitation":"(Zero Waste Europe, 2019)","plainTextFormattedCitation":"(Zero Waste Europe, 2019)","previouslyFormattedCitation":"(Zero Waste Europe, 2019)"},"properties":{"noteIndex":0},"schema":"https://github.com/citation-style-language/schema/raw/master/csl-citation.json"}</w:instrText>
      </w:r>
      <w:r w:rsidRPr="00E10B6E">
        <w:fldChar w:fldCharType="separate"/>
      </w:r>
      <w:r w:rsidRPr="00E10B6E">
        <w:rPr>
          <w:noProof/>
        </w:rPr>
        <w:t>(Zero Waste Europe, 2019)</w:t>
      </w:r>
      <w:r w:rsidRPr="00E10B6E">
        <w:fldChar w:fldCharType="end"/>
      </w:r>
      <w:r w:rsidRPr="00E10B6E">
        <w:t xml:space="preserve">. When talking about polyolefins, however, an experiment involving the solvent-based purification process of a 50/50 mix of PE and PP has been proved successful, with a recovery rate of 99% for both polymers </w:t>
      </w:r>
      <w:r w:rsidRPr="00E10B6E">
        <w:fldChar w:fldCharType="begin" w:fldLock="1"/>
      </w:r>
      <w:r w:rsidRPr="00E10B6E">
        <w:instrText>ADDIN CSL_CITATION {"citationItems":[{"id":"ITEM-1","itemData":{"DOI":"10.1016/S0921-3449(01)00092-1","ISSN":"09213449","abstract":"In this study, the selective dissolution/precipitation method for polymer mixture separation and recycling is evaluated. The method was successfully applied in a pilot unit designed and developed for the separation of polymer mixtures. Recycled polymers of comparable quality with that of the pre-used ones were recovered. Furthermore, the feasibility study for high-capacity units indicated the applicability of this technique from the economic point of view. © 2001 Elsevier Science B.V. All rights reserved.","author":[{"dropping-particle":"","family":"Pappa","given":"Georgia","non-dropping-particle":"","parse-names":false,"suffix":""},{"dropping-particle":"","family":"Boukouvalas","given":"Christos","non-dropping-particle":"","parse-names":false,"suffix":""},{"dropping-particle":"","family":"Giannaris","given":"Constantinos","non-dropping-particle":"","parse-names":false,"suffix":""},{"dropping-particle":"","family":"Ntaras","given":"Nikos","non-dropping-particle":"","parse-names":false,"suffix":""},{"dropping-particle":"","family":"Zografos","given":"Vassilios","non-dropping-particle":"","parse-names":false,"suffix":""},{"dropping-particle":"","family":"Magoulas","given":"Kostis","non-dropping-particle":"","parse-names":false,"suffix":""},{"dropping-particle":"","family":"Lygeros","given":"Argyrios","non-dropping-particle":"","parse-names":false,"suffix":""},{"dropping-particle":"","family":"Tassios","given":"Dimitrios","non-dropping-particle":"","parse-names":false,"suffix":""}],"container-title":"Resources, Conservation and Recycling","id":"ITEM-1","issue":"1","issued":{"date-parts":[["2001","12","1"]]},"page":"33-44","publisher":"Elsevier","title":"The selective dissolution/precipitation technique for polymer recycling: A pilot unit application","type":"article-journal","volume":"34"},"uris":["http://www.mendeley.com/documents/?uuid=c55abe17-3d52-3b06-9300-f5cba87ff67e"]}],"mendeley":{"formattedCitation":"(Pappa et al., 2001)","plainTextFormattedCitation":"(Pappa et al., 2001)","previouslyFormattedCitation":"(Pappa et al., 2001)"},"properties":{"noteIndex":0},"schema":"https://github.com/citation-style-language/schema/raw/master/csl-citation.json"}</w:instrText>
      </w:r>
      <w:r w:rsidRPr="00E10B6E">
        <w:fldChar w:fldCharType="separate"/>
      </w:r>
      <w:r w:rsidRPr="00E10B6E">
        <w:rPr>
          <w:noProof/>
        </w:rPr>
        <w:t>(Pappa et al., 2001)</w:t>
      </w:r>
      <w:r w:rsidRPr="00E10B6E">
        <w:fldChar w:fldCharType="end"/>
      </w:r>
      <w:r w:rsidRPr="00E10B6E">
        <w:t xml:space="preserve">. If the plastic waste contains a mix of LDPE, HDPE, PP, PS, and PVC, a preliminary separation by floatation in water is necessary to separate the polyolefins from the heavier polymers (PS and PVC) before processing them with solvent-based recycling </w:t>
      </w:r>
      <w:r w:rsidRPr="00E10B6E">
        <w:fldChar w:fldCharType="begin" w:fldLock="1"/>
      </w:r>
      <w:r w:rsidRPr="00E10B6E">
        <w:instrText>ADDIN CSL_CITATION {"citationItems":[{"id":"ITEM-1","itemData":{"DOI":"10.1016/S0921-3449(01)00092-1","ISSN":"09213449","abstract":"In this study, the selective dissolution/precipitation method for polymer mixture separation and recycling is evaluated. The method was successfully applied in a pilot unit designed and developed for the separation of polymer mixtures. Recycled polymers of comparable quality with that of the pre-used ones were recovered. Furthermore, the feasibility study for high-capacity units indicated the applicability of this technique from the economic point of view. © 2001 Elsevier Science B.V. All rights reserved.","author":[{"dropping-particle":"","family":"Pappa","given":"Georgia","non-dropping-particle":"","parse-names":false,"suffix":""},{"dropping-particle":"","family":"Boukouvalas","given":"Christos","non-dropping-particle":"","parse-names":false,"suffix":""},{"dropping-particle":"","family":"Giannaris","given":"Constantinos","non-dropping-particle":"","parse-names":false,"suffix":""},{"dropping-particle":"","family":"Ntaras","given":"Nikos","non-dropping-particle":"","parse-names":false,"suffix":""},{"dropping-particle":"","family":"Zografos","given":"Vassilios","non-dropping-particle":"","parse-names":false,"suffix":""},{"dropping-particle":"","family":"Magoulas","given":"Kostis","non-dropping-particle":"","parse-names":false,"suffix":""},{"dropping-particle":"","family":"Lygeros","given":"Argyrios","non-dropping-particle":"","parse-names":false,"suffix":""},{"dropping-particle":"","family":"Tassios","given":"Dimitrios","non-dropping-particle":"","parse-names":false,"suffix":""}],"container-title":"Resources, Conservation and Recycling","id":"ITEM-1","issue":"1","issued":{"date-parts":[["2001","12","1"]]},"page":"33-44","publisher":"Elsevier","title":"The selective dissolution/precipitation technique for polymer recycling: A pilot unit application","type":"article-journal","volume":"34"},"uris":["http://www.mendeley.com/documents/?uuid=c55abe17-3d52-3b06-9300-f5cba87ff67e"]}],"mendeley":{"formattedCitation":"(Pappa et al., 2001)","plainTextFormattedCitation":"(Pappa et al., 2001)","previouslyFormattedCitation":"(Pappa et al., 2001)"},"properties":{"noteIndex":0},"schema":"https://github.com/citation-style-language/schema/raw/master/csl-citation.json"}</w:instrText>
      </w:r>
      <w:r w:rsidRPr="00E10B6E">
        <w:fldChar w:fldCharType="separate"/>
      </w:r>
      <w:r w:rsidRPr="00E10B6E">
        <w:rPr>
          <w:noProof/>
        </w:rPr>
        <w:t>(Pappa et al., 2001)</w:t>
      </w:r>
      <w:r w:rsidRPr="00E10B6E">
        <w:fldChar w:fldCharType="end"/>
      </w:r>
      <w:r w:rsidRPr="00E10B6E">
        <w:t>.</w:t>
      </w:r>
    </w:p>
    <w:p w14:paraId="18E46AA9" w14:textId="60E2709D" w:rsidR="00891C92" w:rsidRPr="00E10B6E" w:rsidRDefault="00891C92" w:rsidP="00891C92">
      <w:pPr>
        <w:jc w:val="both"/>
      </w:pPr>
      <w:r w:rsidRPr="00E10B6E">
        <w:t xml:space="preserve">As seen in </w:t>
      </w:r>
      <w:r w:rsidRPr="00E10B6E">
        <w:fldChar w:fldCharType="begin"/>
      </w:r>
      <w:r w:rsidRPr="00E10B6E">
        <w:instrText xml:space="preserve"> REF _Ref46180039 \h </w:instrText>
      </w:r>
      <w:r w:rsidRPr="00E10B6E">
        <w:fldChar w:fldCharType="separate"/>
      </w:r>
      <w:r w:rsidR="00983F73" w:rsidRPr="00E10B6E">
        <w:t xml:space="preserve">Figure </w:t>
      </w:r>
      <w:r w:rsidR="00983F73">
        <w:rPr>
          <w:noProof/>
        </w:rPr>
        <w:t>34</w:t>
      </w:r>
      <w:r w:rsidRPr="00E10B6E">
        <w:fldChar w:fldCharType="end"/>
      </w:r>
      <w:r w:rsidRPr="00E10B6E">
        <w:t xml:space="preserve">, the process starts by cutting the polyolefins and cleaning them to remove organic contaminants. The polymers are then dissolved with a solvent (S) and filtrated to remove the unsolved particles (e.g. other polymers or impurities), then precipitated using an anti-solvent (AS), filtered from the A/AS liquid, washed and dried </w:t>
      </w:r>
      <w:r w:rsidRPr="00E10B6E">
        <w:fldChar w:fldCharType="begin" w:fldLock="1"/>
      </w:r>
      <w:r w:rsidRPr="00E10B6E">
        <w:instrText>ADDIN CSL_CITATION {"citationItems":[{"id":"ITEM-1","itemData":{"DOI":"10.1016/S0921-3449(01)00092-1","ISSN":"09213449","abstract":"In this study, the selective dissolution/precipitation method for polymer mixture separation and recycling is evaluated. The method was successfully applied in a pilot unit designed and developed for the separation of polymer mixtures. Recycled polymers of comparable quality with that of the pre-used ones were recovered. Furthermore, the feasibility study for high-capacity units indicated the applicability of this technique from the economic point of view. © 2001 Elsevier Science B.V. All rights reserved.","author":[{"dropping-particle":"","family":"Pappa","given":"Georgia","non-dropping-particle":"","parse-names":false,"suffix":""},{"dropping-particle":"","family":"Boukouvalas","given":"Christos","non-dropping-particle":"","parse-names":false,"suffix":""},{"dropping-particle":"","family":"Giannaris","given":"Constantinos","non-dropping-particle":"","parse-names":false,"suffix":""},{"dropping-particle":"","family":"Ntaras","given":"Nikos","non-dropping-particle":"","parse-names":false,"suffix":""},{"dropping-particle":"","family":"Zografos","given":"Vassilios","non-dropping-particle":"","parse-names":false,"suffix":""},{"dropping-particle":"","family":"Magoulas","given":"Kostis","non-dropping-particle":"","parse-names":false,"suffix":""},{"dropping-particle":"","family":"Lygeros","given":"Argyrios","non-dropping-particle":"","parse-names":false,"suffix":""},{"dropping-particle":"","family":"Tassios","given":"Dimitrios","non-dropping-particle":"","parse-names":false,"suffix":""}],"container-title":"Resources, Conservation and Recycling","id":"ITEM-1","issue":"1","issued":{"date-parts":[["2001","12","1"]]},"page":"33-44","publisher":"Elsevier","title":"The selective dissolution/precipitation technique for polymer recycling: A pilot unit application","type":"article-journal","volume":"34"},"uris":["http://www.mendeley.com/documents/?uuid=c55abe17-3d52-3b06-9300-f5cba87ff67e"]}],"mendeley":{"formattedCitation":"(Pappa et al., 2001)","plainTextFormattedCitation":"(Pappa et al., 2001)","previouslyFormattedCitation":"(Pappa et al., 2001)"},"properties":{"noteIndex":0},"schema":"https://github.com/citation-style-language/schema/raw/master/csl-citation.json"}</w:instrText>
      </w:r>
      <w:r w:rsidRPr="00E10B6E">
        <w:fldChar w:fldCharType="separate"/>
      </w:r>
      <w:r w:rsidRPr="00E10B6E">
        <w:rPr>
          <w:noProof/>
        </w:rPr>
        <w:t>(Pappa et al., 2001)</w:t>
      </w:r>
      <w:r w:rsidRPr="00E10B6E">
        <w:fldChar w:fldCharType="end"/>
      </w:r>
      <w:r w:rsidRPr="00E10B6E">
        <w:t xml:space="preserve">. The solvent and anti-solvent are separated by distillation and reused in the next cycle. For the chemical recycling of PE and PP, the most common </w:t>
      </w:r>
      <w:r w:rsidRPr="00E10B6E">
        <w:lastRenderedPageBreak/>
        <w:t xml:space="preserve">selective solvent is xylene, while propanol, ACE or n-hexane can be used as anti-solvent for the precipitation step </w:t>
      </w:r>
      <w:r w:rsidRPr="00E10B6E">
        <w:fldChar w:fldCharType="begin" w:fldLock="1"/>
      </w:r>
      <w:r w:rsidRPr="00E10B6E">
        <w:instrText>ADDIN CSL_CITATION {"citationItems":[{"id":"ITEM-1","itemData":{"DOI":"10.1016/j.chemosphere.2018.06.095","ISSN":"18791298","abstract":"Since the creation of first man-made plastic, the global production and consumption of plastics have been continuously increasing. However, because plastic materials are durable and very slow to degrade, they become waste with high staying power. The over-consumption, disposal, and littering of plastics result in pollution, thus causing serious environmental consequences. To date, only a fraction of waste plastics is reused and recycled. In fact, recycling plastics remains a great challenge because of technical challenges and relatively insufficient profits, especially in mixed plastics. This review focuses on an environmentally friendly and potentially profitable method for plastics separation and recovery and solvents extraction. It includes the dissolution/reprecipitation method and supercritical fluid extraction, which produce high-quality recovered plastics comparable to virgin materials. These methods are summarized and discussed taking mass-produced plastics (PS, PC, Polyolefins, PET, ABS, and PVC) as examples. To exploit the method, the quality and efficiency of solvent extraction are elaborated. By eliminating these technical challenges, the solvent extraction method is becoming more promising and sustainable for plastic issues and polymer markets.","author":[{"dropping-particle":"","family":"Zhao","given":"Yi Bo","non-dropping-particle":"","parse-names":false,"suffix":""},{"dropping-particle":"","family":"Lv","given":"Xu Dong","non-dropping-particle":"","parse-names":false,"suffix":""},{"dropping-particle":"","family":"Ni","given":"Hong Gang","non-dropping-particle":"","parse-names":false,"suffix":""}],"container-title":"Chemosphere","id":"ITEM-1","issued":{"date-parts":[["2018","10","1"]]},"page":"707-720","publisher":"Elsevier Ltd","title":"Solvent-based separation and recycling of waste plastics: A review","type":"article-journal","volume":"209"},"uris":["http://www.mendeley.com/documents/?uuid=24c95696-efc2-3c38-8f21-2021bfe3ffcf"]}],"mendeley":{"formattedCitation":"(Zhao et al., 2018)","plainTextFormattedCitation":"(Zhao et al., 2018)","previouslyFormattedCitation":"(Zhao et al., 2018)"},"properties":{"noteIndex":0},"schema":"https://github.com/citation-style-language/schema/raw/master/csl-citation.json"}</w:instrText>
      </w:r>
      <w:r w:rsidRPr="00E10B6E">
        <w:fldChar w:fldCharType="separate"/>
      </w:r>
      <w:r w:rsidRPr="00E10B6E">
        <w:rPr>
          <w:noProof/>
        </w:rPr>
        <w:t>(Zhao et al., 2018)</w:t>
      </w:r>
      <w:r w:rsidRPr="00E10B6E">
        <w:fldChar w:fldCharType="end"/>
      </w:r>
      <w:r w:rsidRPr="00E10B6E">
        <w:t>.</w:t>
      </w:r>
    </w:p>
    <w:p w14:paraId="0DDC9F5A" w14:textId="77777777" w:rsidR="00891C92" w:rsidRPr="00E10B6E" w:rsidRDefault="00891C92" w:rsidP="00891C92">
      <w:pPr>
        <w:jc w:val="both"/>
      </w:pPr>
    </w:p>
    <w:p w14:paraId="63D9FDE2" w14:textId="77777777" w:rsidR="00891C92" w:rsidRPr="00E10B6E" w:rsidRDefault="00891C92" w:rsidP="00891C92">
      <w:pPr>
        <w:keepNext/>
        <w:jc w:val="both"/>
      </w:pPr>
      <w:r w:rsidRPr="00E10B6E">
        <w:rPr>
          <w:noProof/>
        </w:rPr>
        <w:drawing>
          <wp:inline distT="0" distB="0" distL="0" distR="0" wp14:anchorId="644E2874" wp14:editId="4F477BB8">
            <wp:extent cx="5760000" cy="20658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b="-3046"/>
                    <a:stretch/>
                  </pic:blipFill>
                  <pic:spPr bwMode="auto">
                    <a:xfrm>
                      <a:off x="0" y="0"/>
                      <a:ext cx="5760000" cy="2065866"/>
                    </a:xfrm>
                    <a:prstGeom prst="rect">
                      <a:avLst/>
                    </a:prstGeom>
                    <a:noFill/>
                    <a:ln>
                      <a:noFill/>
                    </a:ln>
                    <a:extLst>
                      <a:ext uri="{53640926-AAD7-44D8-BBD7-CCE9431645EC}">
                        <a14:shadowObscured xmlns:a14="http://schemas.microsoft.com/office/drawing/2010/main"/>
                      </a:ext>
                    </a:extLst>
                  </pic:spPr>
                </pic:pic>
              </a:graphicData>
            </a:graphic>
          </wp:inline>
        </w:drawing>
      </w:r>
    </w:p>
    <w:p w14:paraId="3CEDBE2A" w14:textId="2C9C1C47" w:rsidR="00891C92" w:rsidRPr="00E10B6E" w:rsidRDefault="00891C92" w:rsidP="00891C92">
      <w:pPr>
        <w:pStyle w:val="Caption"/>
        <w:jc w:val="both"/>
      </w:pPr>
      <w:bookmarkStart w:id="81" w:name="_Ref46180039"/>
      <w:bookmarkStart w:id="82" w:name="_Ref46180033"/>
      <w:r w:rsidRPr="00E10B6E">
        <w:t xml:space="preserve">Figure </w:t>
      </w:r>
      <w:r w:rsidR="00722F9A">
        <w:fldChar w:fldCharType="begin"/>
      </w:r>
      <w:r w:rsidR="00722F9A">
        <w:instrText xml:space="preserve"> SEQ Fig</w:instrText>
      </w:r>
      <w:r w:rsidR="00722F9A">
        <w:instrText xml:space="preserve">ure \* ARABIC </w:instrText>
      </w:r>
      <w:r w:rsidR="00722F9A">
        <w:fldChar w:fldCharType="separate"/>
      </w:r>
      <w:r w:rsidR="00983F73">
        <w:rPr>
          <w:noProof/>
        </w:rPr>
        <w:t>34</w:t>
      </w:r>
      <w:r w:rsidR="00722F9A">
        <w:rPr>
          <w:noProof/>
        </w:rPr>
        <w:fldChar w:fldCharType="end"/>
      </w:r>
      <w:bookmarkEnd w:id="81"/>
      <w:r w:rsidRPr="00E10B6E">
        <w:t>: Solvent-based purification process. Made with information from</w:t>
      </w:r>
      <w:bookmarkEnd w:id="82"/>
      <w:r w:rsidRPr="00E10B6E">
        <w:t xml:space="preserve"> </w:t>
      </w:r>
      <w:r w:rsidRPr="00E10B6E">
        <w:fldChar w:fldCharType="begin" w:fldLock="1"/>
      </w:r>
      <w:r w:rsidRPr="00E10B6E">
        <w:instrText>ADDIN CSL_CITATION {"citationItems":[{"id":"ITEM-1","itemData":{"DOI":"10.1016/j.chemosphere.2018.06.095","ISSN":"18791298","abstract":"Since the creation of first man-made plastic, the global production and consumption of plastics have been continuously increasing. However, because plastic materials are durable and very slow to degrade, they become waste with high staying power. The over-consumption, disposal, and littering of plastics result in pollution, thus causing serious environmental consequences. To date, only a fraction of waste plastics is reused and recycled. In fact, recycling plastics remains a great challenge because of technical challenges and relatively insufficient profits, especially in mixed plastics. This review focuses on an environmentally friendly and potentially profitable method for plastics separation and recovery and solvents extraction. It includes the dissolution/reprecipitation method and supercritical fluid extraction, which produce high-quality recovered plastics comparable to virgin materials. These methods are summarized and discussed taking mass-produced plastics (PS, PC, Polyolefins, PET, ABS, and PVC) as examples. To exploit the method, the quality and efficiency of solvent extraction are elaborated. By eliminating these technical challenges, the solvent extraction method is becoming more promising and sustainable for plastic issues and polymer markets.","author":[{"dropping-particle":"","family":"Zhao","given":"Yi Bo","non-dropping-particle":"","parse-names":false,"suffix":""},{"dropping-particle":"","family":"Lv","given":"Xu Dong","non-dropping-particle":"","parse-names":false,"suffix":""},{"dropping-particle":"","family":"Ni","given":"Hong Gang","non-dropping-particle":"","parse-names":false,"suffix":""}],"container-title":"Chemosphere","id":"ITEM-1","issued":{"date-parts":[["2018","10","1"]]},"page":"707-720","publisher":"Elsevier Ltd","title":"Solvent-based separation and recycling of waste plastics: A review","type":"article-journal","volume":"209"},"uris":["http://www.mendeley.com/documents/?uuid=24c95696-efc2-3c38-8f21-2021bfe3ffcf"]},{"id":"ITEM-2","itemData":{"author":[{"dropping-particle":"","family":"Zero Waste Europe","given":"","non-dropping-particle":"","parse-names":false,"suffix":""}],"id":"ITEM-2","issued":{"date-parts":[["2019","8"]]},"title":"El Dorado of Chemical Recycling State of play and policy challenges","type":"report"},"uris":["http://www.mendeley.com/documents/?uuid=b5e4ebc4-08d3-3068-abe2-428de862b12f"]},{"id":"ITEM-3","itemData":{"DOI":"10.1016/S0921-3449(01)00092-1","ISSN":"09213449","abstract":"In this study, the selective dissolution/precipitation method for polymer mixture separation and recycling is evaluated. The method was successfully applied in a pilot unit designed and developed for the separation of polymer mixtures. Recycled polymers of comparable quality with that of the pre-used ones were recovered. Furthermore, the feasibility study for high-capacity units indicated the applicability of this technique from the economic point of view. © 2001 Elsevier Science B.V. All rights reserved.","author":[{"dropping-particle":"","family":"Pappa","given":"Georgia","non-dropping-particle":"","parse-names":false,"suffix":""},{"dropping-particle":"","family":"Boukouvalas","given":"Christos","non-dropping-particle":"","parse-names":false,"suffix":""},{"dropping-particle":"","family":"Giannaris","given":"Constantinos","non-dropping-particle":"","parse-names":false,"suffix":""},{"dropping-particle":"","family":"Ntaras","given":"Nikos","non-dropping-particle":"","parse-names":false,"suffix":""},{"dropping-particle":"","family":"Zografos","given":"Vassilios","non-dropping-particle":"","parse-names":false,"suffix":""},{"dropping-particle":"","family":"Magoulas","given":"Kostis","non-dropping-particle":"","parse-names":false,"suffix":""},{"dropping-particle":"","family":"Lygeros","given":"Argyrios","non-dropping-particle":"","parse-names":false,"suffix":""},{"dropping-particle":"","family":"Tassios","given":"Dimitrios","non-dropping-particle":"","parse-names":false,"suffix":""}],"container-title":"Resources, Conservation and Recycling","id":"ITEM-3","issue":"1","issued":{"date-parts":[["2001","12","1"]]},"page":"33-44","publisher":"Elsevier","title":"The selective dissolution/precipitation technique for polymer recycling: A pilot unit application","type":"article-journal","volume":"34"},"uris":["http://www.mendeley.com/documents/?uuid=c55abe17-3d52-3b06-9300-f5cba87ff67e"]}],"mendeley":{"formattedCitation":"(Pappa et al., 2001; Zero Waste Europe, 2019; Zhao et al., 2018)","plainTextFormattedCitation":"(Pappa et al., 2001; Zero Waste Europe, 2019; Zhao et al., 2018)","previouslyFormattedCitation":"(Pappa et al., 2001; Zero Waste Europe, 2019; Zhao et al., 2018)"},"properties":{"noteIndex":0},"schema":"https://github.com/citation-style-language/schema/raw/master/csl-citation.json"}</w:instrText>
      </w:r>
      <w:r w:rsidRPr="00E10B6E">
        <w:fldChar w:fldCharType="separate"/>
      </w:r>
      <w:r w:rsidRPr="00E10B6E">
        <w:rPr>
          <w:i w:val="0"/>
          <w:noProof/>
        </w:rPr>
        <w:t>(Pappa et al., 2001; Zero Waste Europe, 2019; Zhao et al., 2018)</w:t>
      </w:r>
      <w:r w:rsidRPr="00E10B6E">
        <w:fldChar w:fldCharType="end"/>
      </w:r>
      <w:r w:rsidRPr="00E10B6E">
        <w:t>.</w:t>
      </w:r>
    </w:p>
    <w:p w14:paraId="07A51CCA" w14:textId="2AEE041D" w:rsidR="00891C92" w:rsidRPr="00E10B6E" w:rsidRDefault="00891C92" w:rsidP="00891C92">
      <w:pPr>
        <w:jc w:val="both"/>
      </w:pPr>
      <w:r w:rsidRPr="00E10B6E">
        <w:t xml:space="preserve">The main advantage of </w:t>
      </w:r>
      <w:r w:rsidR="00164124" w:rsidRPr="00E10B6E">
        <w:t>dissolution recycling</w:t>
      </w:r>
      <w:r w:rsidRPr="00E10B6E">
        <w:t xml:space="preserve"> is that it removes all the additives and unsolvable contaminants, resulting in recycled polymers with properties comparable to virgin products. On the long term, however, the stress generated by the process may affect the quality of the polymers, meaning that solvent-based purification cannot be used as perpetual chemical recycling method </w:t>
      </w:r>
      <w:r w:rsidRPr="00E10B6E">
        <w:fldChar w:fldCharType="begin" w:fldLock="1"/>
      </w:r>
      <w:r w:rsidRPr="00E10B6E">
        <w:instrText>ADDIN CSL_CITATION {"citationItems":[{"id":"ITEM-1","itemData":{"author":[{"dropping-particle":"","family":"Zero Waste Europe","given":"","non-dropping-particle":"","parse-names":false,"suffix":""}],"id":"ITEM-1","issued":{"date-parts":[["2019","8"]]},"title":"El Dorado of Chemical Recycling State of play and policy challenges","type":"report"},"uris":["http://www.mendeley.com/documents/?uuid=b5e4ebc4-08d3-3068-abe2-428de862b12f"]}],"mendeley":{"formattedCitation":"(Zero Waste Europe, 2019)","plainTextFormattedCitation":"(Zero Waste Europe, 2019)","previouslyFormattedCitation":"(Zero Waste Europe, 2019)"},"properties":{"noteIndex":0},"schema":"https://github.com/citation-style-language/schema/raw/master/csl-citation.json"}</w:instrText>
      </w:r>
      <w:r w:rsidRPr="00E10B6E">
        <w:fldChar w:fldCharType="separate"/>
      </w:r>
      <w:r w:rsidRPr="00E10B6E">
        <w:rPr>
          <w:noProof/>
        </w:rPr>
        <w:t>(Zero Waste Europe, 2019)</w:t>
      </w:r>
      <w:r w:rsidRPr="00E10B6E">
        <w:fldChar w:fldCharType="end"/>
      </w:r>
      <w:r w:rsidRPr="00E10B6E">
        <w:t xml:space="preserve">. Other disadvantages are the relatively high technical requirements and costs </w:t>
      </w:r>
      <w:r w:rsidRPr="00E10B6E">
        <w:fldChar w:fldCharType="begin" w:fldLock="1"/>
      </w:r>
      <w:r w:rsidRPr="00E10B6E">
        <w:instrText>ADDIN CSL_CITATION {"citationItems":[{"id":"ITEM-1","itemData":{"DOI":"10.1016/j.chemosphere.2018.06.095","ISSN":"18791298","abstract":"Since the creation of first man-made plastic, the global production and consumption of plastics have been continuously increasing. However, because plastic materials are durable and very slow to degrade, they become waste with high staying power. The over-consumption, disposal, and littering of plastics result in pollution, thus causing serious environmental consequences. To date, only a fraction of waste plastics is reused and recycled. In fact, recycling plastics remains a great challenge because of technical challenges and relatively insufficient profits, especially in mixed plastics. This review focuses on an environmentally friendly and potentially profitable method for plastics separation and recovery and solvents extraction. It includes the dissolution/reprecipitation method and supercritical fluid extraction, which produce high-quality recovered plastics comparable to virgin materials. These methods are summarized and discussed taking mass-produced plastics (PS, PC, Polyolefins, PET, ABS, and PVC) as examples. To exploit the method, the quality and efficiency of solvent extraction are elaborated. By eliminating these technical challenges, the solvent extraction method is becoming more promising and sustainable for plastic issues and polymer markets.","author":[{"dropping-particle":"","family":"Zhao","given":"Yi Bo","non-dropping-particle":"","parse-names":false,"suffix":""},{"dropping-particle":"","family":"Lv","given":"Xu Dong","non-dropping-particle":"","parse-names":false,"suffix":""},{"dropping-particle":"","family":"Ni","given":"Hong Gang","non-dropping-particle":"","parse-names":false,"suffix":""}],"container-title":"Chemosphere","id":"ITEM-1","issued":{"date-parts":[["2018","10","1"]]},"page":"707-720","publisher":"Elsevier Ltd","title":"Solvent-based separation and recycling of waste plastics: A review","type":"article-journal","volume":"209"},"uris":["http://www.mendeley.com/documents/?uuid=24c95696-efc2-3c38-8f21-2021bfe3ffcf"]}],"mendeley":{"formattedCitation":"(Zhao et al., 2018)","plainTextFormattedCitation":"(Zhao et al., 2018)","previouslyFormattedCitation":"(Zhao et al., 2018)"},"properties":{"noteIndex":0},"schema":"https://github.com/citation-style-language/schema/raw/master/csl-citation.json"}</w:instrText>
      </w:r>
      <w:r w:rsidRPr="00E10B6E">
        <w:fldChar w:fldCharType="separate"/>
      </w:r>
      <w:r w:rsidRPr="00E10B6E">
        <w:rPr>
          <w:noProof/>
        </w:rPr>
        <w:t>(Zhao et al., 2018)</w:t>
      </w:r>
      <w:r w:rsidRPr="00E10B6E">
        <w:fldChar w:fldCharType="end"/>
      </w:r>
      <w:r w:rsidRPr="00E10B6E">
        <w:t xml:space="preserve">, so improvements in the process could be necessary to facilitate the deployment of this technology on a national-scale level in the Netherlands. One example of solvent-based PE and PP recycling process at the industrial level is the APK chemical recycling plant, located in Germany and active since 2018 </w:t>
      </w:r>
      <w:r w:rsidRPr="00E10B6E">
        <w:fldChar w:fldCharType="begin" w:fldLock="1"/>
      </w:r>
      <w:r w:rsidRPr="00E10B6E">
        <w:instrText>ADDIN CSL_CITATION {"citationItems":[{"id":"ITEM-1","itemData":{"URL":"https://www.apk-ag.de/en/about-us/history/","accessed":{"date-parts":[["2020","7","21"]]},"author":[{"dropping-particle":"","family":"APK AG","given":"","non-dropping-particle":"","parse-names":false,"suffix":""}],"id":"ITEM-1","issued":{"date-parts":[["2020"]]},"title":"History - APK AG","type":"webpage"},"uris":["http://www.mendeley.com/documents/?uuid=e72be05f-24eb-3ced-8280-989056203401"]}],"mendeley":{"formattedCitation":"(APK AG, 2020)","plainTextFormattedCitation":"(APK AG, 2020)","previouslyFormattedCitation":"(APK AG, 2020)"},"properties":{"noteIndex":0},"schema":"https://github.com/citation-style-language/schema/raw/master/csl-citation.json"}</w:instrText>
      </w:r>
      <w:r w:rsidRPr="00E10B6E">
        <w:fldChar w:fldCharType="separate"/>
      </w:r>
      <w:r w:rsidRPr="00E10B6E">
        <w:rPr>
          <w:noProof/>
        </w:rPr>
        <w:t>(APK AG, 2020)</w:t>
      </w:r>
      <w:r w:rsidRPr="00E10B6E">
        <w:fldChar w:fldCharType="end"/>
      </w:r>
      <w:r w:rsidRPr="00E10B6E">
        <w:t xml:space="preserve">. Outside of Europe, Unilever has co-developed a solvent-based process designed to recycle sachets and since 2018 has been operating a pilot plant in Indonesia with a capacity of 3 ton/day, with the ambition of developing a 30 ton/day commercial plant as soon as possible </w:t>
      </w:r>
      <w:r w:rsidRPr="00E10B6E">
        <w:fldChar w:fldCharType="begin" w:fldLock="1"/>
      </w:r>
      <w:r w:rsidRPr="00E10B6E">
        <w:instrText>ADDIN CSL_CITATION {"citationItems":[{"id":"ITEM-1","itemData":{"URL":"https://www.unilever.co.uk/sustainable-living/waste-and-packaging/","accessed":{"date-parts":[["2020","7","21"]]},"author":[{"dropping-particle":"","family":"Unilever","given":"","non-dropping-particle":"","parse-names":false,"suffix":""}],"id":"ITEM-1","issued":{"date-parts":[["2020"]]},"title":"Waste &amp; packaging | Sustainable Living | Unilever UK &amp; Ireland","type":"webpage"},"uris":["http://www.mendeley.com/documents/?uuid=bf4afb30-9637-32c4-b153-30e23e146828"]}],"mendeley":{"formattedCitation":"(Unilever, 2020)","plainTextFormattedCitation":"(Unilever, 2020)","previouslyFormattedCitation":"(Unilever, 2020)"},"properties":{"noteIndex":0},"schema":"https://github.com/citation-style-language/schema/raw/master/csl-citation.json"}</w:instrText>
      </w:r>
      <w:r w:rsidRPr="00E10B6E">
        <w:fldChar w:fldCharType="separate"/>
      </w:r>
      <w:r w:rsidRPr="00E10B6E">
        <w:rPr>
          <w:noProof/>
        </w:rPr>
        <w:t>(Unilever, 2020)</w:t>
      </w:r>
      <w:r w:rsidRPr="00E10B6E">
        <w:fldChar w:fldCharType="end"/>
      </w:r>
      <w:r w:rsidRPr="00E10B6E">
        <w:t>.</w:t>
      </w:r>
    </w:p>
    <w:p w14:paraId="6F5C6A9C" w14:textId="6831F85E" w:rsidR="006C508C" w:rsidRPr="00E10B6E" w:rsidRDefault="006C508C" w:rsidP="00914619">
      <w:pPr>
        <w:pStyle w:val="Heading3"/>
      </w:pPr>
      <w:bookmarkStart w:id="83" w:name="_Toc54274809"/>
      <w:r w:rsidRPr="00E10B6E">
        <w:t>4.4.</w:t>
      </w:r>
      <w:r w:rsidR="00966ADC" w:rsidRPr="00E10B6E">
        <w:t>6</w:t>
      </w:r>
      <w:r w:rsidRPr="00E10B6E">
        <w:t xml:space="preserve"> Pyrolysis-recycled olefin monomers</w:t>
      </w:r>
      <w:bookmarkEnd w:id="83"/>
    </w:p>
    <w:p w14:paraId="2AA58EC5" w14:textId="3A988E0A" w:rsidR="00580154" w:rsidRPr="00E10B6E" w:rsidRDefault="00580154" w:rsidP="00580154">
      <w:pPr>
        <w:jc w:val="both"/>
      </w:pPr>
      <w:r w:rsidRPr="00E10B6E">
        <w:t xml:space="preserve">Pyrolysis is the thermal conversion process at elevated temperatures in the absence of oxygen that allows the recovery of the monomers from the polymer plastics waste </w:t>
      </w:r>
      <w:r w:rsidRPr="00E10B6E">
        <w:fldChar w:fldCharType="begin" w:fldLock="1"/>
      </w:r>
      <w:r w:rsidRPr="00E10B6E">
        <w:instrText>ADDIN CSL_CITATION {"citationItems":[{"id":"ITEM-1","itemData":{"DOI":"10.2202/1542-6580.1504","ISSN":"15426580","abstract":"In the present investigation, pyrolysis and gasification, two widely used thermochemical processes, are compared as potential chemical recycling methods for MWP and plastic rich MSW in terms of products of high value and their end uses. High temperature pyrolysis results in a wide spectrum of products which also contain monomers of C2-C4 range such as ethylene and 1,3-butadiene. Recovery of monomers from their isomers and other products is difficult and energy-intensive. Gasification breaks solid wastes into simple molecules (mainly CO &amp; H2) which subsequently can be converted to value added liquid chemicals (namely alcohols) by a catalytic synthesis processes. Synthetic alcohol then can be converted to the desired petrochemical precursors. After reviewing different aspects of both pyrolysis and gasification, recycling through gasification is chosen as the preferred route for project SPORT as syngas product can be converted into several key petrochemical products in high yield. Copyright © 2007 The Berkeley Electronic Press. All rights reserved.","author":[{"dropping-particle":"","family":"Ray","given":"Ruby","non-dropping-particle":"","parse-names":false,"suffix":""},{"dropping-particle":"","family":"Thorpe","given":"R. B.","non-dropping-particle":"","parse-names":false,"suffix":""}],"container-title":"International Journal of Chemical Reactor Engineering","id":"ITEM-1","issue":"1","issued":{"date-parts":[["2007","10","26"]]},"publisher":"Walter de Gruyter GmbH","title":"A comparison of gasification with pyrolysis for the recycling of plastic containing wastes","type":"article-journal","volume":"5"},"uris":["http://www.mendeley.com/documents/?uuid=bce7f18e-bc23-3bc4-adaf-ff9f6592dc45"]}],"mendeley":{"formattedCitation":"(Ray &amp; Thorpe, 2007)","plainTextFormattedCitation":"(Ray &amp; Thorpe, 2007)","previouslyFormattedCitation":"(Ray &amp; Thorpe, 2007)"},"properties":{"noteIndex":0},"schema":"https://github.com/citation-style-language/schema/raw/master/csl-citation.json"}</w:instrText>
      </w:r>
      <w:r w:rsidRPr="00E10B6E">
        <w:fldChar w:fldCharType="separate"/>
      </w:r>
      <w:r w:rsidRPr="00E10B6E">
        <w:rPr>
          <w:noProof/>
        </w:rPr>
        <w:t>(Ray &amp; Thorpe, 2007)</w:t>
      </w:r>
      <w:r w:rsidRPr="00E10B6E">
        <w:fldChar w:fldCharType="end"/>
      </w:r>
      <w:r w:rsidRPr="00E10B6E">
        <w:t xml:space="preserve">. Its advantage is that, unlike mechanical recycling, it can handle highly heterogeneous mixtures of plastics, such as the modern multi-layer packaging materials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 xml:space="preserve">. A variety of researchers have demonstrated the feasibility of the pyrolysis of plastic waste composed by a mix of PE, PP and PS </w:t>
      </w:r>
      <w:r w:rsidRPr="00E10B6E">
        <w:fldChar w:fldCharType="begin" w:fldLock="1"/>
      </w:r>
      <w:r w:rsidRPr="00E10B6E">
        <w:instrText>ADDIN CSL_CITATION {"citationItems":[{"id":"ITEM-1","itemData":{"DOI":"10.1016/j.wasman.2011.10.009","ISSN":"0956053X","abstract":"Pyrolysis of plastic waste is an alternative way of plastic recovery and could be a potential solution for the increasing stream of solid waste. The objective of this work was to increase the yield the gaseous olefins (monomers) as feedstock for polymerization process and to test the applicability of a commercial Ziegler-Natta (Z-N): TiCl 4/MgCl 2 for cracking a mixture of polyolefins consisted of 46%wt. of low density polyethylene (LDPE), 30%wt. of high density polyethylene (HDPE) and 24%wt. of polypropylene (PP). Two sets of experiments have been carried out at 500 and 650°C via catalytic pyrolysis (1% of Z-N catalyst) and at 650 and 730°C via only-thermal pyrolysis. These experiments have been conducted in a lab-scale, fluidized quartz-bed reactor of a capacity of 1-3kg/h at Hamburg University. The results revealed a strong influence of temperature and presence of catalyst on the product distribution. The ratios of gas/liquid/solid mass fractions via thermal pyrolysis were: 36.9/48.4/15.7%wt. and 42.4/44.7/13.9%wt. at 650 and 730°C while via catalytic pyrolysis were: 6.5/89.0/4.5%wt. and 54.3/41.9/3.8%wt. at 500 and 650°C, respectively. At 650°C the monomer generation increased by 55% up to 23.6%wt. of total pyrolysis products distribution while the catalyst was added. Obtained yields of olefins were compared with the naphtha steam cracking process and other potentially attractive processes for feedstock generation. The concept of closed cycle material flow for polyolefins has been discussed, showing the potential benefits of feedstock recycling in a plastic waste management. © 2011 Elsevier Ltd.","author":[{"dropping-particle":"","family":"Donaj","given":"Pawel J.","non-dropping-particle":"","parse-names":false,"suffix":""},{"dropping-particle":"","family":"Kaminsky","given":"W.","non-dropping-particle":"","parse-names":false,"suffix":""},{"dropping-particle":"","family":"Buzeto","given":"F.","non-dropping-particle":"","parse-names":false,"suffix":""},{"dropping-particle":"","family":"Yang","given":"W.","non-dropping-particle":"","parse-names":false,"suffix":""}],"container-title":"Waste Management","id":"ITEM-1","issue":"5","issued":{"date-parts":[["2012","5","1"]]},"page":"840-846","publisher":"Pergamon","title":"Pyrolysis of polyolefins for increasing the yield of monomers' recovery","type":"article-journal","volume":"32"},"uris":["http://www.mendeley.com/documents/?uuid=e0b76436-e5e2-484e-af90-044b49ca9b3e"]},{"id":"ITEM-2","itemData":{"DOI":"10.1016/j.jaap.2004.03.001","ISSN":"01652370","abstract":"This paper describes non-catalytic pyrolysis of plastic waste materials. Three types of waste plastics were used in this study: polystyrene (PS), polyethylene (PE) and polypropylene (PP). Under pyrolysis conditions, plastic wastes can be decomposed into three fractions: gas, liquid and solid residue. The liquid products are usually composed of higher boiling point hydrocarbons. In order to obtain useful gasoline-range hydrocarbons from the pyrolytic oil, fractional distillation is preferred for product separation. More valuable chemical raw materials including benzene, toluene and other condensed aromatic hydrocarbons may be obtained by refining the pyrolytic oil. The results showed that waste PS yielded higher liquid, and waste PE and PP yielded higher gaseous products. The dominant pyrolytic liquid product of PS waste was styrene. © 2004 Elsevier B.V. All rights reserved.","author":[{"dropping-particle":"","family":"Demirbas","given":"Ayhan","non-dropping-particle":"","parse-names":false,"suffix":""}],"container-title":"Journal of Analytical and Applied Pyrolysis","id":"ITEM-2","issue":"1","issued":{"date-parts":[["2004","8","1"]]},"page":"97-102","publisher":"Elsevier","title":"Pyrolysis of municipal plastic wastes for recovery of gasoline-range hydrocarbons","type":"article-journal","volume":"72"},"uris":["http://www.mendeley.com/documents/?uuid=85585789-3179-39fb-bde3-51af63be0d0a"]},{"id":"ITEM-3","itemData":{"DOI":"10.1016/0141-3910(96)00087-0","ISSN":"01413910","abstract":"A poly(vinylchloride) (PVC)-poor light fraction separated from mixed plastic waste (MPW) collected from German households by DSD was pyrolyzed in a technical scale fluidized bed reactor to yield aromatic oils and heat-providing gas. The most important target products were benzene, toluene, xylenes and styrene with a total yield of 31.4% by weight (referring to the total organic input). Additionally, pyrolysis gas with a high calorific value of 50 MJ/kg was obtained. Problematic pollutants, such as chloro-organic compounds and heavy metals, were absent or immobilized during the pyrolysis reaction in a matrix of carbon black. © 1996 Elsevier Science Limited.","author":[{"dropping-particle":"","family":"Kaminsky","given":"W.","non-dropping-particle":"","parse-names":false,"suffix":""},{"dropping-particle":"","family":"Schlesselmann","given":"B.","non-dropping-particle":"","parse-names":false,"suffix":""},{"dropping-particle":"","family":"Simon","given":"C. M.","non-dropping-particle":"","parse-names":false,"suffix":""}],"container-title":"Polymer Degradation and Stability","id":"ITEM-3","issue":"2","issued":{"date-parts":[["1996","8","1"]]},"page":"189-197","publisher":"Elsevier Ltd","title":"Thermal degradation of mixed plastic waste to aromatics and gas","type":"article-journal","volume":"53"},"uris":["http://www.mendeley.com/documents/?uuid=372c0ecb-cc63-32e5-b810-3a66c662367d"]}],"mendeley":{"formattedCitation":"(Demirbas, 2004; Donaj et al., 2012; Kaminsky et al., 1996)","plainTextFormattedCitation":"(Demirbas, 2004; Donaj et al., 2012; Kaminsky et al., 1996)","previouslyFormattedCitation":"(Demirbas, 2004; Donaj et al., 2012; Kaminsky et al., 1996)"},"properties":{"noteIndex":0},"schema":"https://github.com/citation-style-language/schema/raw/master/csl-citation.json"}</w:instrText>
      </w:r>
      <w:r w:rsidRPr="00E10B6E">
        <w:fldChar w:fldCharType="separate"/>
      </w:r>
      <w:r w:rsidRPr="00E10B6E">
        <w:rPr>
          <w:noProof/>
        </w:rPr>
        <w:t>(Demirbas, 2004; Donaj et al., 2012; Kaminsky et al., 1996)</w:t>
      </w:r>
      <w:r w:rsidRPr="00E10B6E">
        <w:fldChar w:fldCharType="end"/>
      </w:r>
      <w:r w:rsidRPr="00E10B6E">
        <w:t xml:space="preserve">, although PET and PVC need to be separated and removed to guarantee the quality of the final product </w:t>
      </w:r>
      <w:r w:rsidRPr="00E10B6E">
        <w:fldChar w:fldCharType="begin" w:fldLock="1"/>
      </w:r>
      <w:r w:rsidRPr="00E10B6E">
        <w:instrText>ADDIN CSL_CITATION {"citationItems":[{"id":"ITEM-1","itemData":{"DOI":"10.1016/j.enconman.2016.02.037","ISSN":"01968904","abstract":"The global plastic production increased over years due to the vast applications of plastics in many sectors. The continuous demand of plastics caused the plastic wastes accumulation in the landfill consumed a lot of spaces that contributed to the environmental problem. The rising in plastics demand led to the depletion of petroleum as part of non-renewable fossil fuel since plastics were the petroleum-based material. Some alternatives that have been developed to manage plastic wastes were recycling and energy recovery method. However, there were some drawbacks of the recycling method as it required high labor cost for the separation process and caused water contamination that reduced the process sustainability. Due to these drawbacks, the researchers have diverted their attentions to the energy recovery method to compensate the high energy demand. Through extensive research and technology development, the plastic waste conversion to energy was developed. As petroleum was the main source of plastic manufacturing, the recovery of plastic to liquid oil through pyrolysis process had a great potential since the oil produced had high calorific value comparable with the commercial fuel. This paper reviewed the pyrolysis process for each type of plastics and the main process parameters that influenced the final end product such as oil, gaseous and char. The key parameters that were reviewed in this paper included temperatures, type of reactors, residence time, pressure, catalysts, type of fluidizing gas and its flow rate. In addition, several viewpoints to optimize the liquid oil production for each plastic were also discussed in this paper.","author":[{"dropping-particle":"","family":"Anuar Sharuddin","given":"Shafferina Dayana","non-dropping-particle":"","parse-names":false,"suffix":""},{"dropping-particle":"","family":"Abnisa","given":"Faisal","non-dropping-particle":"","parse-names":false,"suffix":""},{"dropping-particle":"","family":"Wan Daud","given":"Wan Mohd Ashri","non-dropping-particle":"","parse-names":false,"suffix":""},{"dropping-particle":"","family":"Aroua","given":"Mohamed Kheireddine","non-dropping-particle":"","parse-names":false,"suffix":""}],"container-title":"Energy Conversion and Management","id":"ITEM-1","issued":{"date-parts":[["2016","5","1"]]},"page":"308-326","publisher":"Elsevier Ltd","title":"A review on pyrolysis of plastic wastes","type":"article-journal","volume":"115"},"uris":["http://www.mendeley.com/documents/?uuid=16552e08-36f4-33c2-9008-19ae77bcf518"]}],"mendeley":{"formattedCitation":"(Anuar Sharuddin et al., 2016)","plainTextFormattedCitation":"(Anuar Sharuddin et al., 2016)","previouslyFormattedCitation":"(Anuar Sharuddin et al., 2016)"},"properties":{"noteIndex":0},"schema":"https://github.com/citation-style-language/schema/raw/master/csl-citation.json"}</w:instrText>
      </w:r>
      <w:r w:rsidRPr="00E10B6E">
        <w:fldChar w:fldCharType="separate"/>
      </w:r>
      <w:r w:rsidRPr="00E10B6E">
        <w:rPr>
          <w:noProof/>
        </w:rPr>
        <w:t>(Anuar Sharuddin et al., 2016)</w:t>
      </w:r>
      <w:r w:rsidRPr="00E10B6E">
        <w:fldChar w:fldCharType="end"/>
      </w:r>
      <w:r w:rsidRPr="00E10B6E">
        <w:t xml:space="preserve">. The usual pyrolysis product is a hydrocarbon liquid called pyrolysis oil, which can be used as a heavy fuel oil substitute </w:t>
      </w:r>
      <w:r w:rsidRPr="00E10B6E">
        <w:fldChar w:fldCharType="begin" w:fldLock="1"/>
      </w:r>
      <w:r w:rsidRPr="00E10B6E">
        <w:instrText>ADDIN CSL_CITATION {"citationItems":[{"id":"ITEM-1","itemData":{"DOI":"10.1016/j.energy.2018.02.094","ISSN":"03605442","abstract":"Pyrolysis is widely seen as a promising technology for converting plastic waste into a wax/oil product which can be used as a heavy fuel oil substitute or as raw material by the petrochemical industry. A pyrolysis plant with a capacity of 100 kg/h plastic waste is modelled in the process simulation software Aspen HYSYS. The production costs of the pyrolysis fuel product is estimated at £0.87/kg which is 58% higher than current market prices; therefore, a scaling-up analysis is also carried out to determine the plant capacity for which the pyrolysis process is economically feasible. The fuel production costs of the scaled-up cases considered are approximately 2.2–20.8 times lower than the existing market prices of residual fuel oil, indicating their economic feasibility. For the 1000 kg/h and 10,000 kg/h plant capacity cases the facility needs to operate approximately four years and one year respectively, to recover the capital investment, while the 100,000 kg/h case produces revenue and has a positive NPV within year one. A sensitivity analysis is also carried out revealing that the fuel production rate is the most sensitive parameter for the 100 kg/h plant, as well as the scaled-up plants.","author":[{"dropping-particle":"","family":"Fivga","given":"Antzela","non-dropping-particle":"","parse-names":false,"suffix":""},{"dropping-particle":"","family":"Dimitriou","given":"Ioanna","non-dropping-particle":"","parse-names":false,"suffix":""}],"container-title":"Energy","id":"ITEM-1","issued":{"date-parts":[["2018","4","15"]]},"page":"865-874","publisher":"Elsevier Ltd","title":"Pyrolysis of plastic waste for production of heavy fuel substitute: A techno-economic assessment","type":"article-journal","volume":"149"},"uris":["http://www.mendeley.com/documents/?uuid=c64c4e92-c065-39b2-8b98-cd3a80470824"]}],"mendeley":{"formattedCitation":"(Fivga &amp; Dimitriou, 2018)","plainTextFormattedCitation":"(Fivga &amp; Dimitriou, 2018)","previouslyFormattedCitation":"(Fivga &amp; Dimitriou, 2018)"},"properties":{"noteIndex":0},"schema":"https://github.com/citation-style-language/schema/raw/master/csl-citation.json"}</w:instrText>
      </w:r>
      <w:r w:rsidRPr="00E10B6E">
        <w:fldChar w:fldCharType="separate"/>
      </w:r>
      <w:r w:rsidRPr="00E10B6E">
        <w:rPr>
          <w:noProof/>
        </w:rPr>
        <w:t>(Fivga &amp; Dimitriou, 2018)</w:t>
      </w:r>
      <w:r w:rsidRPr="00E10B6E">
        <w:fldChar w:fldCharType="end"/>
      </w:r>
      <w:r w:rsidRPr="00E10B6E">
        <w:t xml:space="preserve">. However, if the process reaches high-temperatures (650-850°C) secondary cracking of the gas phase occurs, resulting in the production of a wide spectrum of smaller hydrocarbons </w:t>
      </w:r>
      <w:r w:rsidRPr="00E10B6E">
        <w:fldChar w:fldCharType="begin" w:fldLock="1"/>
      </w:r>
      <w:r w:rsidRPr="00E10B6E">
        <w:instrText>ADDIN CSL_CITATION {"citationItems":[{"id":"ITEM-1","itemData":{"DOI":"10.2202/1542-6580.1504","ISSN":"15426580","abstract":"In the present investigation, pyrolysis and gasification, two widely used thermochemical processes, are compared as potential chemical recycling methods for MWP and plastic rich MSW in terms of products of high value and their end uses. High temperature pyrolysis results in a wide spectrum of products which also contain monomers of C2-C4 range such as ethylene and 1,3-butadiene. Recovery of monomers from their isomers and other products is difficult and energy-intensive. Gasification breaks solid wastes into simple molecules (mainly CO &amp; H2) which subsequently can be converted to value added liquid chemicals (namely alcohols) by a catalytic synthesis processes. Synthetic alcohol then can be converted to the desired petrochemical precursors. After reviewing different aspects of both pyrolysis and gasification, recycling through gasification is chosen as the preferred route for project SPORT as syngas product can be converted into several key petrochemical products in high yield. Copyright © 2007 The Berkeley Electronic Press. All rights reserved.","author":[{"dropping-particle":"","family":"Ray","given":"Ruby","non-dropping-particle":"","parse-names":false,"suffix":""},{"dropping-particle":"","family":"Thorpe","given":"R. B.","non-dropping-particle":"","parse-names":false,"suffix":""}],"container-title":"International Journal of Chemical Reactor Engineering","id":"ITEM-1","issue":"1","issued":{"date-parts":[["2007","10","26"]]},"publisher":"Walter de Gruyter GmbH","title":"A comparison of gasification with pyrolysis for the recycling of plastic containing wastes","type":"article-journal","volume":"5"},"uris":["http://www.mendeley.com/documents/?uuid=bce7f18e-bc23-3bc4-adaf-ff9f6592dc45"]}],"mendeley":{"formattedCitation":"(Ray &amp; Thorpe, 2007)","plainTextFormattedCitation":"(Ray &amp; Thorpe, 2007)","previouslyFormattedCitation":"(Ray &amp; Thorpe, 2007)"},"properties":{"noteIndex":0},"schema":"https://github.com/citation-style-language/schema/raw/master/csl-citation.json"}</w:instrText>
      </w:r>
      <w:r w:rsidRPr="00E10B6E">
        <w:fldChar w:fldCharType="separate"/>
      </w:r>
      <w:r w:rsidRPr="00E10B6E">
        <w:rPr>
          <w:noProof/>
        </w:rPr>
        <w:t>(Ray &amp; Thorpe, 2007)</w:t>
      </w:r>
      <w:r w:rsidRPr="00E10B6E">
        <w:fldChar w:fldCharType="end"/>
      </w:r>
      <w:r w:rsidRPr="00E10B6E">
        <w:t xml:space="preserve">. This allows pyrolysis to directly produce ethylene and propylene, thus avoiding the need to run the pyrolysis oil into the steam crackers. Since the pyrolysis process requires high energy, using catalysts to reduce the optimal temperature helps </w:t>
      </w:r>
      <w:r w:rsidR="00F52340" w:rsidRPr="00E10B6E">
        <w:t>to reduce</w:t>
      </w:r>
      <w:r w:rsidRPr="00E10B6E">
        <w:t xml:space="preserve"> the overall cost, and it also improves the production of olefins. The most common catalysts used in plastic pyrolysis are zeolites, FCC, and silica</w:t>
      </w:r>
      <w:r w:rsidR="00F52340" w:rsidRPr="00E10B6E">
        <w:t>-</w:t>
      </w:r>
      <w:r w:rsidRPr="00E10B6E">
        <w:t xml:space="preserve">alumina catalysts </w:t>
      </w:r>
      <w:r w:rsidRPr="00E10B6E">
        <w:fldChar w:fldCharType="begin" w:fldLock="1"/>
      </w:r>
      <w:r w:rsidRPr="00E10B6E">
        <w:instrText>ADDIN CSL_CITATION {"citationItems":[{"id":"ITEM-1","itemData":{"DOI":"10.1016/j.enconman.2016.02.037","ISSN":"01968904","abstract":"The global plastic production increased over years due to the vast applications of plastics in many sectors. The continuous demand of plastics caused the plastic wastes accumulation in the landfill consumed a lot of spaces that contributed to the environmental problem. The rising in plastics demand led to the depletion of petroleum as part of non-renewable fossil fuel since plastics were the petroleum-based material. Some alternatives that have been developed to manage plastic wastes were recycling and energy recovery method. However, there were some drawbacks of the recycling method as it required high labor cost for the separation process and caused water contamination that reduced the process sustainability. Due to these drawbacks, the researchers have diverted their attentions to the energy recovery method to compensate the high energy demand. Through extensive research and technology development, the plastic waste conversion to energy was developed. As petroleum was the main source of plastic manufacturing, the recovery of plastic to liquid oil through pyrolysis process had a great potential since the oil produced had high calorific value comparable with the commercial fuel. This paper reviewed the pyrolysis process for each type of plastics and the main process parameters that influenced the final end product such as oil, gaseous and char. The key parameters that were reviewed in this paper included temperatures, type of reactors, residence time, pressure, catalysts, type of fluidizing gas and its flow rate. In addition, several viewpoints to optimize the liquid oil production for each plastic were also discussed in this paper.","author":[{"dropping-particle":"","family":"Anuar Sharuddin","given":"Shafferina Dayana","non-dropping-particle":"","parse-names":false,"suffix":""},{"dropping-particle":"","family":"Abnisa","given":"Faisal","non-dropping-particle":"","parse-names":false,"suffix":""},{"dropping-particle":"","family":"Wan Daud","given":"Wan Mohd Ashri","non-dropping-particle":"","parse-names":false,"suffix":""},{"dropping-particle":"","family":"Aroua","given":"Mohamed Kheireddine","non-dropping-particle":"","parse-names":false,"suffix":""}],"container-title":"Energy Conversion and Management","id":"ITEM-1","issued":{"date-parts":[["2016","5","1"]]},"page":"308-326","publisher":"Elsevier Ltd","title":"A review on pyrolysis of plastic wastes","type":"article-journal","volume":"115"},"uris":["http://www.mendeley.com/documents/?uuid=16552e08-36f4-33c2-9008-19ae77bcf518"]}],"mendeley":{"formattedCitation":"(Anuar Sharuddin et al., 2016)","plainTextFormattedCitation":"(Anuar Sharuddin et al., 2016)","previouslyFormattedCitation":"(Anuar Sharuddin et al., 2016)"},"properties":{"noteIndex":0},"schema":"https://github.com/citation-style-language/schema/raw/master/csl-citation.json"}</w:instrText>
      </w:r>
      <w:r w:rsidRPr="00E10B6E">
        <w:fldChar w:fldCharType="separate"/>
      </w:r>
      <w:r w:rsidRPr="00E10B6E">
        <w:rPr>
          <w:noProof/>
        </w:rPr>
        <w:t>(Anuar Sharuddin et al., 2016)</w:t>
      </w:r>
      <w:r w:rsidRPr="00E10B6E">
        <w:fldChar w:fldCharType="end"/>
      </w:r>
      <w:r w:rsidRPr="00E10B6E">
        <w:t>.</w:t>
      </w:r>
    </w:p>
    <w:p w14:paraId="2C62F230" w14:textId="77777777" w:rsidR="00580154" w:rsidRPr="00E10B6E" w:rsidRDefault="00580154" w:rsidP="00580154">
      <w:pPr>
        <w:jc w:val="both"/>
      </w:pPr>
    </w:p>
    <w:p w14:paraId="5B327661" w14:textId="4C4E745F" w:rsidR="00580154" w:rsidRPr="00E10B6E" w:rsidRDefault="00580154" w:rsidP="00580154">
      <w:pPr>
        <w:jc w:val="both"/>
      </w:pPr>
      <w:r w:rsidRPr="00E10B6E">
        <w:t xml:space="preserve">As seen in </w:t>
      </w:r>
      <w:r w:rsidRPr="00E10B6E">
        <w:fldChar w:fldCharType="begin"/>
      </w:r>
      <w:r w:rsidRPr="00E10B6E">
        <w:instrText xml:space="preserve"> REF _Ref46349003 \h </w:instrText>
      </w:r>
      <w:r w:rsidRPr="00E10B6E">
        <w:fldChar w:fldCharType="separate"/>
      </w:r>
      <w:r w:rsidR="00983F73" w:rsidRPr="00E10B6E">
        <w:t xml:space="preserve">Figure </w:t>
      </w:r>
      <w:r w:rsidR="00983F73">
        <w:rPr>
          <w:noProof/>
        </w:rPr>
        <w:t>35</w:t>
      </w:r>
      <w:r w:rsidRPr="00E10B6E">
        <w:fldChar w:fldCharType="end"/>
      </w:r>
      <w:r w:rsidRPr="00E10B6E">
        <w:t xml:space="preserve">, the process starts with the pre-treatment of the mixed plastic waste, which usually consists just in the shredding of the polymers to a size of 1-5 mm </w:t>
      </w:r>
      <w:r w:rsidRPr="00E10B6E">
        <w:fldChar w:fldCharType="begin" w:fldLock="1"/>
      </w:r>
      <w:r w:rsidRPr="00E10B6E">
        <w:instrText>ADDIN CSL_CITATION {"citationItems":[{"id":"ITEM-1","itemData":{"DOI":"10.1016/j.wasman.2011.10.009","ISSN":"0956053X","abstract":"Pyrolysis of plastic waste is an alternative way of plastic recovery and could be a potential solution for the increasing stream of solid waste. The objective of this work was to increase the yield the gaseous olefins (monomers) as feedstock for polymerization process and to test the applicability of a commercial Ziegler-Natta (Z-N): TiCl 4/MgCl 2 for cracking a mixture of polyolefins consisted of 46%wt. of low density polyethylene (LDPE), 30%wt. of high density polyethylene (HDPE) and 24%wt. of polypropylene (PP). Two sets of experiments have been carried out at 500 and 650°C via catalytic pyrolysis (1% of Z-N catalyst) and at 650 and 730°C via only-thermal pyrolysis. These experiments have been conducted in a lab-scale, fluidized quartz-bed reactor of a capacity of 1-3kg/h at Hamburg University. The results revealed a strong influence of temperature and presence of catalyst on the product distribution. The ratios of gas/liquid/solid mass fractions via thermal pyrolysis were: 36.9/48.4/15.7%wt. and 42.4/44.7/13.9%wt. at 650 and 730°C while via catalytic pyrolysis were: 6.5/89.0/4.5%wt. and 54.3/41.9/3.8%wt. at 500 and 650°C, respectively. At 650°C the monomer generation increased by 55% up to 23.6%wt. of total pyrolysis products distribution while the catalyst was added. Obtained yields of olefins were compared with the naphtha steam cracking process and other potentially attractive processes for feedstock generation. The concept of closed cycle material flow for polyolefins has been discussed, showing the potential benefits of feedstock recycling in a plastic waste management. © 2011 Elsevier Ltd.","author":[{"dropping-particle":"","family":"Donaj","given":"Pawel J.","non-dropping-particle":"","parse-names":false,"suffix":""},{"dropping-particle":"","family":"Kaminsky","given":"W.","non-dropping-particle":"","parse-names":false,"suffix":""},{"dropping-particle":"","family":"Buzeto","given":"F.","non-dropping-particle":"","parse-names":false,"suffix":""},{"dropping-particle":"","family":"Yang","given":"W.","non-dropping-particle":"","parse-names":false,"suffix":""}],"container-title":"Waste Management","id":"ITEM-1","issue":"5","issued":{"date-parts":[["2012","5","1"]]},"page":"840-846","publisher":"Pergamon","title":"Pyrolysis of polyolefins for increasing the yield of monomers' recovery","type":"article-journal","volume":"32"},"uris":["http://www.mendeley.com/documents/?uuid=e0b76436-e5e2-484e-af90-044b49ca9b3e"]}],"mendeley":{"formattedCitation":"(Donaj et al., 2012)","plainTextFormattedCitation":"(Donaj et al., 2012)","previouslyFormattedCitation":"(Donaj et al., 2012)"},"properties":{"noteIndex":0},"schema":"https://github.com/citation-style-language/schema/raw/master/csl-citation.json"}</w:instrText>
      </w:r>
      <w:r w:rsidRPr="00E10B6E">
        <w:fldChar w:fldCharType="separate"/>
      </w:r>
      <w:r w:rsidRPr="00E10B6E">
        <w:rPr>
          <w:noProof/>
        </w:rPr>
        <w:t>(Donaj et al., 2012)</w:t>
      </w:r>
      <w:r w:rsidRPr="00E10B6E">
        <w:fldChar w:fldCharType="end"/>
      </w:r>
      <w:r w:rsidRPr="00E10B6E">
        <w:t xml:space="preserve">. As explained before, it is extremely important to use only polyolefins as feedstock, thus excluding PET and PVC </w:t>
      </w:r>
      <w:r w:rsidRPr="00E10B6E">
        <w:fldChar w:fldCharType="begin" w:fldLock="1"/>
      </w:r>
      <w:r w:rsidRPr="00E10B6E">
        <w:instrText>ADDIN CSL_CITATION {"citationItems":[{"id":"ITEM-1","itemData":{"DOI":"10.1016/j.enconman.2016.02.037","ISSN":"01968904","abstract":"The global plastic production increased over years due to the vast applications of plastics in many sectors. The continuous demand of plastics caused the plastic wastes accumulation in the landfill consumed a lot of spaces that contributed to the environmental problem. The rising in plastics demand led to the depletion of petroleum as part of non-renewable fossil fuel since plastics were the petroleum-based material. Some alternatives that have been developed to manage plastic wastes were recycling and energy recovery method. However, there were some drawbacks of the recycling method as it required high labor cost for the separation process and caused water contamination that reduced the process sustainability. Due to these drawbacks, the researchers have diverted their attentions to the energy recovery method to compensate the high energy demand. Through extensive research and technology development, the plastic waste conversion to energy was developed. As petroleum was the main source of plastic manufacturing, the recovery of plastic to liquid oil through pyrolysis process had a great potential since the oil produced had high calorific value comparable with the commercial fuel. This paper reviewed the pyrolysis process for each type of plastics and the main process parameters that influenced the final end product such as oil, gaseous and char. The key parameters that were reviewed in this paper included temperatures, type of reactors, residence time, pressure, catalysts, type of fluidizing gas and its flow rate. In addition, several viewpoints to optimize the liquid oil production for each plastic were also discussed in this paper.","author":[{"dropping-particle":"","family":"Anuar Sharuddin","given":"Shafferina Dayana","non-dropping-particle":"","parse-names":false,"suffix":""},{"dropping-particle":"","family":"Abnisa","given":"Faisal","non-dropping-particle":"","parse-names":false,"suffix":""},{"dropping-particle":"","family":"Wan Daud","given":"Wan Mohd Ashri","non-dropping-particle":"","parse-names":false,"suffix":""},{"dropping-particle":"","family":"Aroua","given":"Mohamed Kheireddine","non-dropping-particle":"","parse-names":false,"suffix":""}],"container-title":"Energy Conversion and Management","id":"ITEM-1","issued":{"date-parts":[["2016","5","1"]]},"page":"308-326","publisher":"Elsevier Ltd","title":"A review on pyrolysis of plastic wastes","type":"article-journal","volume":"115"},"uris":["http://www.mendeley.com/documents/?uuid=16552e08-36f4-33c2-9008-19ae77bcf518"]}],"mendeley":{"formattedCitation":"(Anuar Sharuddin et al., 2016)","plainTextFormattedCitation":"(Anuar Sharuddin et al., 2016)","previouslyFormattedCitation":"(Anuar Sharuddin et al., 2016)"},"properties":{"noteIndex":0},"schema":"https://github.com/citation-style-language/schema/raw/master/csl-citation.json"}</w:instrText>
      </w:r>
      <w:r w:rsidRPr="00E10B6E">
        <w:fldChar w:fldCharType="separate"/>
      </w:r>
      <w:r w:rsidRPr="00E10B6E">
        <w:rPr>
          <w:noProof/>
        </w:rPr>
        <w:t>(Anuar Sharuddin et al., 2016)</w:t>
      </w:r>
      <w:r w:rsidRPr="00E10B6E">
        <w:fldChar w:fldCharType="end"/>
      </w:r>
      <w:r w:rsidRPr="00E10B6E">
        <w:t xml:space="preserve">. The pyrolysis reaction takes place in a fluidised bed reactor and the products are then separated, with some of the by-products (e.g. methane) being combusted to supply the heat to the pyrolysis reactor </w:t>
      </w:r>
      <w:r w:rsidRPr="00E10B6E">
        <w:fldChar w:fldCharType="begin" w:fldLock="1"/>
      </w:r>
      <w:r w:rsidRPr="00E10B6E">
        <w:instrText>ADDIN CSL_CITATION {"citationItems":[{"id":"ITEM-1","itemData":{"DOI":"10.1016/j.energy.2018.02.094","ISSN":"03605442","abstract":"Pyrolysis is widely seen as a promising technology for converting plastic waste into a wax/oil product which can be used as a heavy fuel oil substitute or as raw material by the petrochemical industry. A pyrolysis plant with a capacity of 100 kg/h plastic waste is modelled in the process simulation software Aspen HYSYS. The production costs of the pyrolysis fuel product is estimated at £0.87/kg which is 58% higher than current market prices; therefore, a scaling-up analysis is also carried out to determine the plant capacity for which the pyrolysis process is economically feasible. The fuel production costs of the scaled-up cases considered are approximately 2.2–20.8 times lower than the existing market prices of residual fuel oil, indicating their economic feasibility. For the 1000 kg/h and 10,000 kg/h plant capacity cases the facility needs to operate approximately four years and one year respectively, to recover the capital investment, while the 100,000 kg/h case produces revenue and has a positive NPV within year one. A sensitivity analysis is also carried out revealing that the fuel production rate is the most sensitive parameter for the 100 kg/h plant, as well as the scaled-up plants.","author":[{"dropping-particle":"","family":"Fivga","given":"Antzela","non-dropping-particle":"","parse-names":false,"suffix":""},{"dropping-particle":"","family":"Dimitriou","given":"Ioanna","non-dropping-particle":"","parse-names":false,"suffix":""}],"container-title":"Energy","id":"ITEM-1","issued":{"date-parts":[["2018","4","15"]]},"page":"865-874","publisher":"Elsevier Ltd","title":"Pyrolysis of plastic waste for production of heavy fuel substitute: A techno-economic assessment","type":"article-journal","volume":"149"},"uris":["http://www.mendeley.com/documents/?uuid=c64c4e92-c065-39b2-8b98-cd3a80470824"]}],"mendeley":{"formattedCitation":"(Fivga &amp; Dimitriou, 2018)","plainTextFormattedCitation":"(Fivga &amp; Dimitriou, 2018)","previouslyFormattedCitation":"(Fivga &amp; Dimitriou, 2018)"},"properties":{"noteIndex":0},"schema":"https://github.com/citation-style-language/schema/raw/master/csl-citation.json"}</w:instrText>
      </w:r>
      <w:r w:rsidRPr="00E10B6E">
        <w:fldChar w:fldCharType="separate"/>
      </w:r>
      <w:r w:rsidRPr="00E10B6E">
        <w:rPr>
          <w:noProof/>
        </w:rPr>
        <w:t>(Fivga &amp; Dimitriou, 2018)</w:t>
      </w:r>
      <w:r w:rsidRPr="00E10B6E">
        <w:fldChar w:fldCharType="end"/>
      </w:r>
      <w:r w:rsidRPr="00E10B6E">
        <w:t>. The resulting ethylene and propylene can then be sent to the PE and PP polymerisation processes described in Section 2 of this report.</w:t>
      </w:r>
    </w:p>
    <w:p w14:paraId="39F44C2B" w14:textId="77777777" w:rsidR="00580154" w:rsidRPr="00E10B6E" w:rsidRDefault="00580154" w:rsidP="00580154">
      <w:pPr>
        <w:keepNext/>
        <w:jc w:val="both"/>
      </w:pPr>
      <w:r w:rsidRPr="00E10B6E">
        <w:rPr>
          <w:noProof/>
        </w:rPr>
        <w:drawing>
          <wp:inline distT="0" distB="0" distL="0" distR="0" wp14:anchorId="4FE89A47" wp14:editId="41B67799">
            <wp:extent cx="5760000" cy="23879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rcRect b="-2650"/>
                    <a:stretch/>
                  </pic:blipFill>
                  <pic:spPr bwMode="auto">
                    <a:xfrm>
                      <a:off x="0" y="0"/>
                      <a:ext cx="5760000" cy="2387997"/>
                    </a:xfrm>
                    <a:prstGeom prst="rect">
                      <a:avLst/>
                    </a:prstGeom>
                    <a:noFill/>
                    <a:ln>
                      <a:noFill/>
                    </a:ln>
                    <a:extLst>
                      <a:ext uri="{53640926-AAD7-44D8-BBD7-CCE9431645EC}">
                        <a14:shadowObscured xmlns:a14="http://schemas.microsoft.com/office/drawing/2010/main"/>
                      </a:ext>
                    </a:extLst>
                  </pic:spPr>
                </pic:pic>
              </a:graphicData>
            </a:graphic>
          </wp:inline>
        </w:drawing>
      </w:r>
    </w:p>
    <w:p w14:paraId="6C1ADACB" w14:textId="6F16691E" w:rsidR="00580154" w:rsidRPr="00E10B6E" w:rsidRDefault="00580154" w:rsidP="00580154">
      <w:pPr>
        <w:pStyle w:val="Caption"/>
        <w:jc w:val="both"/>
      </w:pPr>
      <w:bookmarkStart w:id="84" w:name="_Ref46349003"/>
      <w:r w:rsidRPr="00E10B6E">
        <w:t xml:space="preserve">Figure </w:t>
      </w:r>
      <w:r w:rsidR="00722F9A">
        <w:fldChar w:fldCharType="begin"/>
      </w:r>
      <w:r w:rsidR="00722F9A">
        <w:instrText xml:space="preserve"> SEQ Figure \* ARABIC </w:instrText>
      </w:r>
      <w:r w:rsidR="00722F9A">
        <w:fldChar w:fldCharType="separate"/>
      </w:r>
      <w:r w:rsidR="00983F73">
        <w:rPr>
          <w:noProof/>
        </w:rPr>
        <w:t>35</w:t>
      </w:r>
      <w:r w:rsidR="00722F9A">
        <w:rPr>
          <w:noProof/>
        </w:rPr>
        <w:fldChar w:fldCharType="end"/>
      </w:r>
      <w:bookmarkEnd w:id="84"/>
      <w:r w:rsidRPr="00E10B6E">
        <w:t xml:space="preserve">: Pyrolysis process. Made with information from </w:t>
      </w:r>
      <w:r w:rsidRPr="00E10B6E">
        <w:fldChar w:fldCharType="begin" w:fldLock="1"/>
      </w:r>
      <w:r w:rsidRPr="00E10B6E">
        <w:instrText>ADDIN CSL_CITATION {"citationItems":[{"id":"ITEM-1","itemData":{"DOI":"10.2202/1542-6580.1504","ISSN":"15426580","abstract":"In the present investigation, pyrolysis and gasification, two widely used thermochemical processes, are compared as potential chemical recycling methods for MWP and plastic rich MSW in terms of products of high value and their end uses. High temperature pyrolysis results in a wide spectrum of products which also contain monomers of C2-C4 range such as ethylene and 1,3-butadiene. Recovery of monomers from their isomers and other products is difficult and energy-intensive. Gasification breaks solid wastes into simple molecules (mainly CO &amp; H2) which subsequently can be converted to value added liquid chemicals (namely alcohols) by a catalytic synthesis processes. Synthetic alcohol then can be converted to the desired petrochemical precursors. After reviewing different aspects of both pyrolysis and gasification, recycling through gasification is chosen as the preferred route for project SPORT as syngas product can be converted into several key petrochemical products in high yield. Copyright © 2007 The Berkeley Electronic Press. All rights reserved.","author":[{"dropping-particle":"","family":"Ray","given":"Ruby","non-dropping-particle":"","parse-names":false,"suffix":""},{"dropping-particle":"","family":"Thorpe","given":"R. B.","non-dropping-particle":"","parse-names":false,"suffix":""}],"container-title":"International Journal of Chemical Reactor Engineering","id":"ITEM-1","issue":"1","issued":{"date-parts":[["2007","10","26"]]},"publisher":"Walter de Gruyter GmbH","title":"A comparison of gasification with pyrolysis for the recycling of plastic containing wastes","type":"article-journal","volume":"5"},"uris":["http://www.mendeley.com/documents/?uuid=bce7f18e-bc23-3bc4-adaf-ff9f6592dc45"]},{"id":"ITEM-2","itemData":{"DOI":"10.1016/j.wasman.2011.10.009","ISSN":"0956053X","abstract":"Pyrolysis of plastic waste is an alternative way of plastic recovery and could be a potential solution for the increasing stream of solid waste. The objective of this work was to increase the yield the gaseous olefins (monomers) as feedstock for polymerization process and to test the applicability of a commercial Ziegler-Natta (Z-N): TiCl 4/MgCl 2 for cracking a mixture of polyolefins consisted of 46%wt. of low density polyethylene (LDPE), 30%wt. of high density polyethylene (HDPE) and 24%wt. of polypropylene (PP). Two sets of experiments have been carried out at 500 and 650°C via catalytic pyrolysis (1% of Z-N catalyst) and at 650 and 730°C via only-thermal pyrolysis. These experiments have been conducted in a lab-scale, fluidized quartz-bed reactor of a capacity of 1-3kg/h at Hamburg University. The results revealed a strong influence of temperature and presence of catalyst on the product distribution. The ratios of gas/liquid/solid mass fractions via thermal pyrolysis were: 36.9/48.4/15.7%wt. and 42.4/44.7/13.9%wt. at 650 and 730°C while via catalytic pyrolysis were: 6.5/89.0/4.5%wt. and 54.3/41.9/3.8%wt. at 500 and 650°C, respectively. At 650°C the monomer generation increased by 55% up to 23.6%wt. of total pyrolysis products distribution while the catalyst was added. Obtained yields of olefins were compared with the naphtha steam cracking process and other potentially attractive processes for feedstock generation. The concept of closed cycle material flow for polyolefins has been discussed, showing the potential benefits of feedstock recycling in a plastic waste management. © 2011 Elsevier Ltd.","author":[{"dropping-particle":"","family":"Donaj","given":"Pawel J.","non-dropping-particle":"","parse-names":false,"suffix":""},{"dropping-particle":"","family":"Kaminsky","given":"W.","non-dropping-particle":"","parse-names":false,"suffix":""},{"dropping-particle":"","family":"Buzeto","given":"F.","non-dropping-particle":"","parse-names":false,"suffix":""},{"dropping-particle":"","family":"Yang","given":"W.","non-dropping-particle":"","parse-names":false,"suffix":""}],"container-title":"Waste Management","id":"ITEM-2","issue":"5","issued":{"date-parts":[["2012","5","1"]]},"page":"840-846","publisher":"Pergamon","title":"Pyrolysis of polyolefins for increasing the yield of monomers' recovery","type":"article-journal","volume":"32"},"uris":["http://www.mendeley.com/documents/?uuid=e0b76436-e5e2-484e-af90-044b49ca9b3e"]}],"mendeley":{"formattedCitation":"(Donaj et al., 2012; Ray &amp; Thorpe, 2007)","plainTextFormattedCitation":"(Donaj et al., 2012; Ray &amp; Thorpe, 2007)","previouslyFormattedCitation":"(Donaj et al., 2012; Ray &amp; Thorpe, 2007)"},"properties":{"noteIndex":0},"schema":"https://github.com/citation-style-language/schema/raw/master/csl-citation.json"}</w:instrText>
      </w:r>
      <w:r w:rsidRPr="00E10B6E">
        <w:fldChar w:fldCharType="separate"/>
      </w:r>
      <w:r w:rsidRPr="00E10B6E">
        <w:rPr>
          <w:i w:val="0"/>
          <w:noProof/>
        </w:rPr>
        <w:t>(Donaj et al., 2012; Ray &amp; Thorpe, 2007)</w:t>
      </w:r>
      <w:r w:rsidRPr="00E10B6E">
        <w:fldChar w:fldCharType="end"/>
      </w:r>
      <w:r w:rsidRPr="00E10B6E">
        <w:t>.</w:t>
      </w:r>
    </w:p>
    <w:p w14:paraId="46647F13" w14:textId="45D39A59" w:rsidR="00580154" w:rsidRPr="00E10B6E" w:rsidRDefault="00580154" w:rsidP="00580154">
      <w:pPr>
        <w:jc w:val="both"/>
      </w:pPr>
      <w:r w:rsidRPr="00E10B6E">
        <w:t xml:space="preserve">The pyrolysis of polyethylene to produce lower olefins has been tested since more than two decades: experiments have shown that LDPE can be chemically recycled in a fluidized bed reactor, obtaining a max yield of 27% for ethylene gas and 19% for propylene gas with a temperature of 700°C. When considering also the production of methane and other by-products, the overall yield reached 73% </w:t>
      </w:r>
      <w:r w:rsidRPr="00E10B6E">
        <w:fldChar w:fldCharType="begin" w:fldLock="1"/>
      </w:r>
      <w:r w:rsidRPr="00E10B6E">
        <w:instrText>ADDIN CSL_CITATION {"citationItems":[{"id":"ITEM-1","itemData":{"DOI":"10.1016/S0165-2370(99)00011-X","ISSN":"01652370","abstract":"Pyrolysis of plastic waste has been proposed as a tertiary or feedstock recycling route where the plastic waste materials are processed back to produce basic petrochemicals that can be used as feedstock to make virgin plastic or refined fuels. The detailed analysis of the derived products from the pyrolysis of plastics provides data on the suitability of the process and the influence of process conditions on the compatibility of the feedstock produced with the conventional petroleum feedstock. Low density polyethylene (LDPE) is a major component of municipal solid waste and this paper describes the influence of pyrolysis temperature from 500 to 700°C on the yield and composition of the derived products. The main gases produced from the pyrolysis of LDPE were hydrogen, methane, ethane, ethene, propane, propene, butane and butene. There was a dramatic increase in gas yield with increasing temperature of pyrolysis. Analysis of the derived oils and waxes showed that the pyrolysis of LDPE gave a mainly aliphatic composition consisting of a series of alkanes, alkenes and alkadienes which showed a decrease in concentration as the pyrolysis temperature was increased. The oil showed an increase in aromatic composition with increasing temperature of pyrolysis and at 700°C significant concentrations of single ring aromatic compounds and polycyclic aromatic hydrocarbons were detected. The derived oil and wax have great potential to be recycled back into the petrochemicals industry as a feedstock for the production of new plastics or the production of refined fuels.","author":[{"dropping-particle":"","family":"Williams","given":"Paul T.","non-dropping-particle":"","parse-names":false,"suffix":""},{"dropping-particle":"","family":"Williams","given":"Elizabeth A.","non-dropping-particle":"","parse-names":false,"suffix":""}],"container-title":"Journal of Analytical and Applied Pyrolysis","id":"ITEM-1","issue":"1","issued":{"date-parts":[["1999","7","1"]]},"page":"107-126","publisher":"Elsevier Science Publishers B.V.","title":"Fluidised bed pyrolysis of low density polyethylene to produce petrochemical feedstock","type":"article-journal","volume":"51"},"uris":["http://www.mendeley.com/documents/?uuid=a211c880-03f4-3f1d-8c08-c9b003af4a49"]}],"mendeley":{"formattedCitation":"(Williams &amp; Williams, 1999)","plainTextFormattedCitation":"(Williams &amp; Williams, 1999)","previouslyFormattedCitation":"(Williams &amp; Williams, 1999)"},"properties":{"noteIndex":0},"schema":"https://github.com/citation-style-language/schema/raw/master/csl-citation.json"}</w:instrText>
      </w:r>
      <w:r w:rsidRPr="00E10B6E">
        <w:fldChar w:fldCharType="separate"/>
      </w:r>
      <w:r w:rsidRPr="00E10B6E">
        <w:rPr>
          <w:noProof/>
        </w:rPr>
        <w:t>(Williams &amp; Williams, 1999)</w:t>
      </w:r>
      <w:r w:rsidRPr="00E10B6E">
        <w:fldChar w:fldCharType="end"/>
      </w:r>
      <w:r w:rsidRPr="00E10B6E">
        <w:t xml:space="preserve">. The pyrolysis of HDPE in a fluidized bed reactor has also been proven successful, obtaining a max yield of 42% for ethylene gas and an overall yield of 86% with a temperature of 780°C and residence time of 1.34 seconds </w:t>
      </w:r>
      <w:r w:rsidRPr="00E10B6E">
        <w:fldChar w:fldCharType="begin" w:fldLock="1"/>
      </w:r>
      <w:r w:rsidRPr="00E10B6E">
        <w:instrText>ADDIN CSL_CITATION {"citationItems":[{"id":"ITEM-1","itemData":{"DOI":"10.1016/S0165-2370(01)00137-1","ISSN":"01652370","abstract":"The pyrolysis of HDPE in a fluidised bed reactor was performed and the influence of the temperature and the residence time on the product distribution and gas composition investigated. Experiments at five different temperatures, 650; 685; 730; 780 and 850°C were carried out and the residence time was varied from 0.64 to 2.6 s. A total number of 20 runs were performed. Polyethylene was fed continuously into the bed and nitrogen was used as carrier gas and as fluidising agent. The results obtained showed the effect of these operating parameters on the production and composition of gases, oil and waxes. The temperature and residence time had a great influence on the pyrolysis product distribution within the range evaluated in this paper. At 640°C the main product obtained was a waxy cream coloured material (wax). The yield of this product varied from 79.7 wt.% at 0.8 s to 68.5wt.% at 1.5 s. At these conditions the gas yield varied between 11.4 wt.% at 1 s and 31.5 wt.% at 1.5 s. The waxes obtained are rich in aliphatic hydrocarbons up to C30. At high temperatures the product distribution changed drastically. The higher gas yields was obtained at 780°C, 86.4 wt.% of gas and 9.6 wt.% of oil, both at 1.34 s. The main hydrocarbons in this gas were ethylene, methane and propylene, the remaining products being oils with a high aromatic hydrocarbon (benzene and naphthalene) content. The H2, CH4, N2 and C2Hx to C5Hx compounds on the gas produced were analysed by gas chromatography, using a packed column and a molecular sieve. © 2002 Elsevier Science B.V. All rights reserved.","author":[{"dropping-particle":"","family":"Mastral","given":"F. J.","non-dropping-particle":"","parse-names":false,"suffix":""},{"dropping-particle":"","family":"Esperanza","given":"E.","non-dropping-particle":"","parse-names":false,"suffix":""},{"dropping-particle":"","family":"Garciía","given":"P.","non-dropping-particle":"","parse-names":false,"suffix":""},{"dropping-particle":"","family":"Juste","given":"M.","non-dropping-particle":"","parse-names":false,"suffix":""}],"container-title":"Journal of Analytical and Applied Pyrolysis","id":"ITEM-1","issue":"1","issued":{"date-parts":[["2002","3","1"]]},"page":"1-15","publisher":"Elsevier","title":"Pyrolysis of high-density polyethylene in a fluidised bed reactor. Influence of the temperature and residence time","type":"article-journal","volume":"63"},"uris":["http://www.mendeley.com/documents/?uuid=496132f3-449e-3c3d-925b-b4f4fd343a10"]}],"mendeley":{"formattedCitation":"(Mastral et al., 2002)","plainTextFormattedCitation":"(Mastral et al., 2002)","previouslyFormattedCitation":"(Mastral et al., 2002)"},"properties":{"noteIndex":0},"schema":"https://github.com/citation-style-language/schema/raw/master/csl-citation.json"}</w:instrText>
      </w:r>
      <w:r w:rsidRPr="00E10B6E">
        <w:fldChar w:fldCharType="separate"/>
      </w:r>
      <w:r w:rsidRPr="00E10B6E">
        <w:rPr>
          <w:noProof/>
        </w:rPr>
        <w:t>(Mastral et al., 2002)</w:t>
      </w:r>
      <w:r w:rsidRPr="00E10B6E">
        <w:fldChar w:fldCharType="end"/>
      </w:r>
      <w:r w:rsidRPr="00E10B6E">
        <w:t xml:space="preserve">. Dozens of studies also investigate the pyrolysis of plastic waste in combination with biomass, reporting that the thermal conversion is facilitated, and the yield is higher than the sum of the two independent processes </w:t>
      </w:r>
      <w:r w:rsidRPr="00E10B6E">
        <w:fldChar w:fldCharType="begin" w:fldLock="1"/>
      </w:r>
      <w:r w:rsidRPr="00E10B6E">
        <w:instrText>ADDIN CSL_CITATION {"citationItems":[{"id":"ITEM-1","itemData":{"DOI":"10.1016/j.fuel.2015.04.033","ISSN":"00162361","abstract":"Co-pyrolysis of red oak and high density polyethylene (HDPE) was conducted in a laboratory-scale, continuous fluidized bed reactor in a temperature range from 525 to 675 °C. Pyrolysis products, including two fractions of pyrolysis-oil, non-condensable gases and char were analyzed to assess the influence of pyrolysis temperature and co-feeding of biomass with HDPE. It was found that increasing pyrolysis temperature up to 625°C promoted the production of pyrolysis-oil and its yield reached 57.6 wt%. Further increase in pyrolysis temperature caused the cracking of pyrolysis-oil to form light gases rich in hydrocarbons. Organic phase of pyrolysis-oil produced from plastic-biomass mixture (PBM) had a higher heating value (HHV) up to 36.6 MJ/kg contributed by the additive effect of HDPE-derived aliphatic hydrocarbons. A significant synergetic effect was also observed during co-pyrolysis. Co-pyrolysis with HDPE increased the production of furan, acids and water from red oak. Co-presence of HDPE also inhibited char formation from red oak and improved the HHV of the resulting char. The char produced from co-pyrolysis had a significantly lower BET surface area than red oak biochar. Not only did HDPE-derived particulate matter blocks the pores, the synergetic interaction also resulted in the formation of large and shallow micro-pores on the char surface.","author":[{"dropping-particle":"","family":"Xue","given":"Yuan","non-dropping-particle":"","parse-names":false,"suffix":""},{"dropping-particle":"","family":"Zhou","given":"Shuai","non-dropping-particle":"","parse-names":false,"suffix":""},{"dropping-particle":"","family":"Brown","given":"Robert C.","non-dropping-particle":"","parse-names":false,"suffix":""},{"dropping-particle":"","family":"Kelkar","given":"Atul","non-dropping-particle":"","parse-names":false,"suffix":""},{"dropping-particle":"","family":"Bai","given":"Xianglan","non-dropping-particle":"","parse-names":false,"suffix":""}],"container-title":"Fuel","id":"ITEM-1","issued":{"date-parts":[["2015","9","15"]]},"page":"40-46","publisher":"Elsevier Ltd","title":"Fast pyrolysis of biomass and waste plastic in a fluidized bed reactor","type":"article-journal","volume":"156"},"uris":["http://www.mendeley.com/documents/?uuid=982593d4-c5a2-34eb-bb83-a00fe6b3de39"]}],"mendeley":{"formattedCitation":"(Xue et al., 2015)","plainTextFormattedCitation":"(Xue et al., 2015)","previouslyFormattedCitation":"(Xue et al., 2015)"},"properties":{"noteIndex":0},"schema":"https://github.com/citation-style-language/schema/raw/master/csl-citation.json"}</w:instrText>
      </w:r>
      <w:r w:rsidRPr="00E10B6E">
        <w:fldChar w:fldCharType="separate"/>
      </w:r>
      <w:r w:rsidRPr="00E10B6E">
        <w:rPr>
          <w:noProof/>
        </w:rPr>
        <w:t>(Xue et al., 2015)</w:t>
      </w:r>
      <w:r w:rsidRPr="00E10B6E">
        <w:fldChar w:fldCharType="end"/>
      </w:r>
      <w:r w:rsidRPr="00E10B6E">
        <w:t xml:space="preserve">. Some economic indicators for a commercial pyrolysis plant are given in </w:t>
      </w:r>
      <w:r w:rsidR="00BE0DCD" w:rsidRPr="00E10B6E">
        <w:fldChar w:fldCharType="begin"/>
      </w:r>
      <w:r w:rsidR="00BE0DCD" w:rsidRPr="00E10B6E">
        <w:instrText xml:space="preserve"> REF _Ref52101668 \h </w:instrText>
      </w:r>
      <w:r w:rsidR="00BE0DCD" w:rsidRPr="00E10B6E">
        <w:fldChar w:fldCharType="separate"/>
      </w:r>
      <w:r w:rsidR="00983F73" w:rsidRPr="00E10B6E">
        <w:t xml:space="preserve">Table </w:t>
      </w:r>
      <w:r w:rsidR="00983F73">
        <w:rPr>
          <w:noProof/>
        </w:rPr>
        <w:t>12</w:t>
      </w:r>
      <w:r w:rsidR="00BE0DCD" w:rsidRPr="00E10B6E">
        <w:fldChar w:fldCharType="end"/>
      </w:r>
      <w:r w:rsidRPr="00E10B6E">
        <w:t>.</w:t>
      </w:r>
    </w:p>
    <w:p w14:paraId="186BDE83" w14:textId="5947F47B" w:rsidR="00580154" w:rsidRPr="00E10B6E" w:rsidRDefault="00580154" w:rsidP="00580154">
      <w:pPr>
        <w:pStyle w:val="Caption"/>
        <w:keepNext/>
      </w:pPr>
      <w:bookmarkStart w:id="85" w:name="_Ref52101668"/>
      <w:r w:rsidRPr="00E10B6E">
        <w:lastRenderedPageBreak/>
        <w:t xml:space="preserve">Table </w:t>
      </w:r>
      <w:r w:rsidR="00722F9A">
        <w:fldChar w:fldCharType="begin"/>
      </w:r>
      <w:r w:rsidR="00722F9A">
        <w:instrText xml:space="preserve"> SEQ Table \* ARABIC </w:instrText>
      </w:r>
      <w:r w:rsidR="00722F9A">
        <w:fldChar w:fldCharType="separate"/>
      </w:r>
      <w:r w:rsidR="00983F73">
        <w:rPr>
          <w:noProof/>
        </w:rPr>
        <w:t>12</w:t>
      </w:r>
      <w:r w:rsidR="00722F9A">
        <w:rPr>
          <w:noProof/>
        </w:rPr>
        <w:fldChar w:fldCharType="end"/>
      </w:r>
      <w:bookmarkEnd w:id="85"/>
      <w:r w:rsidRPr="00E10B6E">
        <w:t xml:space="preserve">: Comparison of the economic indicators for a pyrolysis plant with a capacity of 100 kg/h, 1,000 kg/h, and 10,000 kg/h </w:t>
      </w:r>
      <w:r w:rsidRPr="00E10B6E">
        <w:fldChar w:fldCharType="begin" w:fldLock="1"/>
      </w:r>
      <w:r w:rsidRPr="00E10B6E">
        <w:instrText>ADDIN CSL_CITATION {"citationItems":[{"id":"ITEM-1","itemData":{"DOI":"10.1016/j.energy.2018.02.094","ISSN":"03605442","abstract":"Pyrolysis is widely seen as a promising technology for converting plastic waste into a wax/oil product which can be used as a heavy fuel oil substitute or as raw material by the petrochemical industry. A pyrolysis plant with a capacity of 100 kg/h plastic waste is modelled in the process simulation software Aspen HYSYS. The production costs of the pyrolysis fuel product is estimated at £0.87/kg which is 58% higher than current market prices; therefore, a scaling-up analysis is also carried out to determine the plant capacity for which the pyrolysis process is economically feasible. The fuel production costs of the scaled-up cases considered are approximately 2.2–20.8 times lower than the existing market prices of residual fuel oil, indicating their economic feasibility. For the 1000 kg/h and 10,000 kg/h plant capacity cases the facility needs to operate approximately four years and one year respectively, to recover the capital investment, while the 100,000 kg/h case produces revenue and has a positive NPV within year one. A sensitivity analysis is also carried out revealing that the fuel production rate is the most sensitive parameter for the 100 kg/h plant, as well as the scaled-up plants.","author":[{"dropping-particle":"","family":"Fivga","given":"Antzela","non-dropping-particle":"","parse-names":false,"suffix":""},{"dropping-particle":"","family":"Dimitriou","given":"Ioanna","non-dropping-particle":"","parse-names":false,"suffix":""}],"container-title":"Energy","id":"ITEM-1","issued":{"date-parts":[["2018","4","15"]]},"page":"865-874","publisher":"Elsevier Ltd","title":"Pyrolysis of plastic waste for production of heavy fuel substitute: A techno-economic assessment","type":"article-journal","volume":"149"},"uris":["http://www.mendeley.com/documents/?uuid=c64c4e92-c065-39b2-8b98-cd3a80470824"]}],"mendeley":{"formattedCitation":"(Fivga &amp; Dimitriou, 2018)","plainTextFormattedCitation":"(Fivga &amp; Dimitriou, 2018)","previouslyFormattedCitation":"(Fivga &amp; Dimitriou, 2018)"},"properties":{"noteIndex":0},"schema":"https://github.com/citation-style-language/schema/raw/master/csl-citation.json"}</w:instrText>
      </w:r>
      <w:r w:rsidRPr="00E10B6E">
        <w:fldChar w:fldCharType="separate"/>
      </w:r>
      <w:r w:rsidRPr="00E10B6E">
        <w:rPr>
          <w:i w:val="0"/>
          <w:noProof/>
        </w:rPr>
        <w:t>(Fivga &amp; Dimitriou, 2018)</w:t>
      </w:r>
      <w:r w:rsidRPr="00E10B6E">
        <w:fldChar w:fldCharType="end"/>
      </w:r>
      <w:r w:rsidRPr="00E10B6E">
        <w:t>. Values adjusted for inflation, more information in Appendix A.</w:t>
      </w:r>
    </w:p>
    <w:tbl>
      <w:tblPr>
        <w:tblStyle w:val="TableGrid"/>
        <w:tblW w:w="9072" w:type="dxa"/>
        <w:tblLook w:val="04A0" w:firstRow="1" w:lastRow="0" w:firstColumn="1" w:lastColumn="0" w:noHBand="0" w:noVBand="1"/>
      </w:tblPr>
      <w:tblGrid>
        <w:gridCol w:w="2268"/>
        <w:gridCol w:w="2268"/>
        <w:gridCol w:w="2268"/>
        <w:gridCol w:w="2268"/>
      </w:tblGrid>
      <w:tr w:rsidR="00580154" w:rsidRPr="00E10B6E" w14:paraId="2295C5BD" w14:textId="77777777" w:rsidTr="00221B3F">
        <w:trPr>
          <w:trHeight w:val="567"/>
        </w:trPr>
        <w:tc>
          <w:tcPr>
            <w:tcW w:w="2268" w:type="dxa"/>
            <w:shd w:val="clear" w:color="auto" w:fill="4472C4" w:themeFill="accent1"/>
            <w:vAlign w:val="center"/>
          </w:tcPr>
          <w:p w14:paraId="7D43FC90" w14:textId="77777777" w:rsidR="00580154" w:rsidRPr="00E10B6E" w:rsidRDefault="00580154" w:rsidP="00221B3F">
            <w:pPr>
              <w:keepNext/>
              <w:keepLines/>
              <w:spacing w:line="276" w:lineRule="auto"/>
              <w:jc w:val="center"/>
              <w:rPr>
                <w:b/>
                <w:bCs/>
                <w:color w:val="FFFFFF" w:themeColor="background1"/>
              </w:rPr>
            </w:pPr>
            <w:r w:rsidRPr="00E10B6E">
              <w:rPr>
                <w:b/>
                <w:bCs/>
                <w:color w:val="FFFFFF" w:themeColor="background1"/>
              </w:rPr>
              <w:t>Indicator</w:t>
            </w:r>
          </w:p>
        </w:tc>
        <w:tc>
          <w:tcPr>
            <w:tcW w:w="2268" w:type="dxa"/>
            <w:shd w:val="clear" w:color="auto" w:fill="4472C4" w:themeFill="accent1"/>
            <w:vAlign w:val="center"/>
          </w:tcPr>
          <w:p w14:paraId="343D0A43" w14:textId="77777777" w:rsidR="00580154" w:rsidRPr="00E10B6E" w:rsidRDefault="00580154" w:rsidP="00221B3F">
            <w:pPr>
              <w:keepNext/>
              <w:keepLines/>
              <w:spacing w:line="276" w:lineRule="auto"/>
              <w:jc w:val="center"/>
              <w:rPr>
                <w:b/>
                <w:bCs/>
                <w:color w:val="FFFFFF" w:themeColor="background1"/>
              </w:rPr>
            </w:pPr>
            <w:r w:rsidRPr="00E10B6E">
              <w:rPr>
                <w:b/>
                <w:bCs/>
                <w:color w:val="FFFFFF" w:themeColor="background1"/>
              </w:rPr>
              <w:t xml:space="preserve">Capacity of </w:t>
            </w:r>
            <w:r w:rsidRPr="00E10B6E">
              <w:rPr>
                <w:b/>
                <w:bCs/>
                <w:color w:val="FFFFFF" w:themeColor="background1"/>
              </w:rPr>
              <w:br/>
              <w:t>100 kg/h</w:t>
            </w:r>
          </w:p>
        </w:tc>
        <w:tc>
          <w:tcPr>
            <w:tcW w:w="2268" w:type="dxa"/>
            <w:shd w:val="clear" w:color="auto" w:fill="4472C4" w:themeFill="accent1"/>
            <w:vAlign w:val="center"/>
          </w:tcPr>
          <w:p w14:paraId="24BF8030" w14:textId="77777777" w:rsidR="00580154" w:rsidRPr="00E10B6E" w:rsidRDefault="00580154" w:rsidP="00221B3F">
            <w:pPr>
              <w:keepNext/>
              <w:keepLines/>
              <w:spacing w:line="276" w:lineRule="auto"/>
              <w:jc w:val="center"/>
              <w:rPr>
                <w:b/>
                <w:bCs/>
                <w:color w:val="FFFFFF" w:themeColor="background1"/>
              </w:rPr>
            </w:pPr>
            <w:r w:rsidRPr="00E10B6E">
              <w:rPr>
                <w:b/>
                <w:bCs/>
                <w:color w:val="FFFFFF" w:themeColor="background1"/>
              </w:rPr>
              <w:t xml:space="preserve">Capacity of </w:t>
            </w:r>
            <w:r w:rsidRPr="00E10B6E">
              <w:rPr>
                <w:b/>
                <w:bCs/>
                <w:color w:val="FFFFFF" w:themeColor="background1"/>
              </w:rPr>
              <w:br/>
              <w:t>1,000 kg/h</w:t>
            </w:r>
          </w:p>
        </w:tc>
        <w:tc>
          <w:tcPr>
            <w:tcW w:w="2268" w:type="dxa"/>
            <w:shd w:val="clear" w:color="auto" w:fill="4472C4" w:themeFill="accent1"/>
            <w:vAlign w:val="center"/>
          </w:tcPr>
          <w:p w14:paraId="61A56EBA" w14:textId="77777777" w:rsidR="00580154" w:rsidRPr="00E10B6E" w:rsidRDefault="00580154" w:rsidP="00221B3F">
            <w:pPr>
              <w:keepNext/>
              <w:keepLines/>
              <w:spacing w:line="276" w:lineRule="auto"/>
              <w:jc w:val="center"/>
              <w:rPr>
                <w:b/>
                <w:bCs/>
                <w:color w:val="FFFFFF" w:themeColor="background1"/>
              </w:rPr>
            </w:pPr>
            <w:r w:rsidRPr="00E10B6E">
              <w:rPr>
                <w:b/>
                <w:bCs/>
                <w:color w:val="FFFFFF" w:themeColor="background1"/>
              </w:rPr>
              <w:t xml:space="preserve">Capacity of </w:t>
            </w:r>
            <w:r w:rsidRPr="00E10B6E">
              <w:rPr>
                <w:b/>
                <w:bCs/>
                <w:color w:val="FFFFFF" w:themeColor="background1"/>
              </w:rPr>
              <w:br/>
              <w:t>10,000 kg/h</w:t>
            </w:r>
          </w:p>
        </w:tc>
      </w:tr>
      <w:tr w:rsidR="00580154" w:rsidRPr="00E10B6E" w14:paraId="78285754" w14:textId="77777777" w:rsidTr="00221B3F">
        <w:trPr>
          <w:trHeight w:val="567"/>
        </w:trPr>
        <w:tc>
          <w:tcPr>
            <w:tcW w:w="2268" w:type="dxa"/>
            <w:vAlign w:val="center"/>
          </w:tcPr>
          <w:p w14:paraId="66CFBA46" w14:textId="77777777" w:rsidR="00580154" w:rsidRPr="00E10B6E" w:rsidRDefault="00580154" w:rsidP="00221B3F">
            <w:pPr>
              <w:keepNext/>
              <w:keepLines/>
              <w:spacing w:line="276" w:lineRule="auto"/>
              <w:jc w:val="center"/>
              <w:rPr>
                <w:szCs w:val="18"/>
              </w:rPr>
            </w:pPr>
            <w:r w:rsidRPr="00E10B6E">
              <w:rPr>
                <w:rFonts w:cs="Calibri"/>
                <w:color w:val="000000"/>
                <w:szCs w:val="18"/>
              </w:rPr>
              <w:t xml:space="preserve">CAPEX </w:t>
            </w:r>
            <w:r w:rsidRPr="00E10B6E">
              <w:rPr>
                <w:rFonts w:cs="Calibri"/>
                <w:color w:val="000000"/>
                <w:szCs w:val="18"/>
              </w:rPr>
              <w:br/>
              <w:t>[M€</w:t>
            </w:r>
            <w:r w:rsidRPr="00E10B6E">
              <w:rPr>
                <w:rFonts w:cs="Calibri"/>
                <w:color w:val="000000"/>
                <w:szCs w:val="18"/>
                <w:vertAlign w:val="subscript"/>
              </w:rPr>
              <w:t>2020</w:t>
            </w:r>
            <w:r w:rsidRPr="00E10B6E">
              <w:rPr>
                <w:rFonts w:cs="Calibri"/>
                <w:color w:val="000000"/>
                <w:szCs w:val="18"/>
              </w:rPr>
              <w:t>]</w:t>
            </w:r>
          </w:p>
        </w:tc>
        <w:tc>
          <w:tcPr>
            <w:tcW w:w="2268" w:type="dxa"/>
            <w:vAlign w:val="center"/>
          </w:tcPr>
          <w:p w14:paraId="4A2A0EBC" w14:textId="77777777" w:rsidR="00580154" w:rsidRPr="00E10B6E" w:rsidRDefault="00580154" w:rsidP="00221B3F">
            <w:pPr>
              <w:keepNext/>
              <w:keepLines/>
              <w:spacing w:line="276" w:lineRule="auto"/>
              <w:jc w:val="center"/>
              <w:rPr>
                <w:szCs w:val="18"/>
              </w:rPr>
            </w:pPr>
            <w:r w:rsidRPr="00E10B6E">
              <w:rPr>
                <w:rFonts w:cs="Calibri"/>
                <w:color w:val="000000"/>
                <w:szCs w:val="18"/>
              </w:rPr>
              <w:t>1.24</w:t>
            </w:r>
          </w:p>
        </w:tc>
        <w:tc>
          <w:tcPr>
            <w:tcW w:w="2268" w:type="dxa"/>
            <w:vAlign w:val="center"/>
          </w:tcPr>
          <w:p w14:paraId="4A840D13" w14:textId="77777777" w:rsidR="00580154" w:rsidRPr="00E10B6E" w:rsidRDefault="00580154" w:rsidP="00221B3F">
            <w:pPr>
              <w:keepNext/>
              <w:keepLines/>
              <w:spacing w:line="276" w:lineRule="auto"/>
              <w:jc w:val="center"/>
              <w:rPr>
                <w:szCs w:val="18"/>
              </w:rPr>
            </w:pPr>
            <w:r w:rsidRPr="00E10B6E">
              <w:rPr>
                <w:rFonts w:cs="Calibri"/>
                <w:color w:val="000000"/>
                <w:szCs w:val="18"/>
              </w:rPr>
              <w:t>3.84</w:t>
            </w:r>
          </w:p>
        </w:tc>
        <w:tc>
          <w:tcPr>
            <w:tcW w:w="2268" w:type="dxa"/>
            <w:vAlign w:val="center"/>
          </w:tcPr>
          <w:p w14:paraId="46F67662" w14:textId="77777777" w:rsidR="00580154" w:rsidRPr="00E10B6E" w:rsidRDefault="00580154" w:rsidP="00221B3F">
            <w:pPr>
              <w:keepNext/>
              <w:keepLines/>
              <w:spacing w:line="276" w:lineRule="auto"/>
              <w:jc w:val="center"/>
              <w:rPr>
                <w:szCs w:val="18"/>
              </w:rPr>
            </w:pPr>
            <w:r w:rsidRPr="00E10B6E">
              <w:rPr>
                <w:rFonts w:cs="Calibri"/>
                <w:color w:val="000000"/>
                <w:szCs w:val="18"/>
              </w:rPr>
              <w:t>11.72</w:t>
            </w:r>
          </w:p>
        </w:tc>
      </w:tr>
      <w:tr w:rsidR="00580154" w:rsidRPr="00E10B6E" w14:paraId="7BF2D3EF" w14:textId="77777777" w:rsidTr="00221B3F">
        <w:trPr>
          <w:trHeight w:val="567"/>
        </w:trPr>
        <w:tc>
          <w:tcPr>
            <w:tcW w:w="2268" w:type="dxa"/>
            <w:vAlign w:val="center"/>
          </w:tcPr>
          <w:p w14:paraId="3EAB2787" w14:textId="77777777" w:rsidR="00580154" w:rsidRPr="00E10B6E" w:rsidRDefault="00580154" w:rsidP="00221B3F">
            <w:pPr>
              <w:keepNext/>
              <w:keepLines/>
              <w:spacing w:line="276" w:lineRule="auto"/>
              <w:jc w:val="center"/>
              <w:rPr>
                <w:szCs w:val="18"/>
              </w:rPr>
            </w:pPr>
            <w:r w:rsidRPr="00E10B6E">
              <w:rPr>
                <w:rFonts w:cs="Calibri"/>
                <w:color w:val="000000"/>
                <w:szCs w:val="18"/>
              </w:rPr>
              <w:t xml:space="preserve">OPEX </w:t>
            </w:r>
            <w:r w:rsidRPr="00E10B6E">
              <w:rPr>
                <w:rFonts w:cs="Calibri"/>
                <w:color w:val="000000"/>
                <w:szCs w:val="18"/>
              </w:rPr>
              <w:br/>
              <w:t>[M€</w:t>
            </w:r>
            <w:r w:rsidRPr="00E10B6E">
              <w:rPr>
                <w:rFonts w:cs="Calibri"/>
                <w:color w:val="000000"/>
                <w:szCs w:val="18"/>
                <w:vertAlign w:val="subscript"/>
              </w:rPr>
              <w:t>2020</w:t>
            </w:r>
            <w:r w:rsidRPr="00E10B6E">
              <w:rPr>
                <w:rFonts w:cs="Calibri"/>
                <w:color w:val="000000"/>
                <w:szCs w:val="18"/>
              </w:rPr>
              <w:t>/year]</w:t>
            </w:r>
          </w:p>
        </w:tc>
        <w:tc>
          <w:tcPr>
            <w:tcW w:w="2268" w:type="dxa"/>
            <w:vAlign w:val="center"/>
          </w:tcPr>
          <w:p w14:paraId="4718432E" w14:textId="77777777" w:rsidR="00580154" w:rsidRPr="00E10B6E" w:rsidRDefault="00580154" w:rsidP="00221B3F">
            <w:pPr>
              <w:keepNext/>
              <w:keepLines/>
              <w:spacing w:line="276" w:lineRule="auto"/>
              <w:jc w:val="center"/>
              <w:rPr>
                <w:szCs w:val="18"/>
              </w:rPr>
            </w:pPr>
            <w:r w:rsidRPr="00E10B6E">
              <w:rPr>
                <w:rFonts w:cs="Calibri"/>
                <w:color w:val="000000"/>
                <w:szCs w:val="18"/>
              </w:rPr>
              <w:t>0.53</w:t>
            </w:r>
          </w:p>
        </w:tc>
        <w:tc>
          <w:tcPr>
            <w:tcW w:w="2268" w:type="dxa"/>
            <w:vAlign w:val="center"/>
          </w:tcPr>
          <w:p w14:paraId="08D60D16" w14:textId="77777777" w:rsidR="00580154" w:rsidRPr="00E10B6E" w:rsidRDefault="00580154" w:rsidP="00221B3F">
            <w:pPr>
              <w:keepNext/>
              <w:keepLines/>
              <w:spacing w:line="276" w:lineRule="auto"/>
              <w:jc w:val="center"/>
              <w:rPr>
                <w:szCs w:val="18"/>
              </w:rPr>
            </w:pPr>
            <w:r w:rsidRPr="00E10B6E">
              <w:rPr>
                <w:rFonts w:cs="Calibri"/>
                <w:color w:val="000000"/>
                <w:szCs w:val="18"/>
              </w:rPr>
              <w:t>1.50</w:t>
            </w:r>
          </w:p>
        </w:tc>
        <w:tc>
          <w:tcPr>
            <w:tcW w:w="2268" w:type="dxa"/>
            <w:vAlign w:val="center"/>
          </w:tcPr>
          <w:p w14:paraId="16C0C283" w14:textId="77777777" w:rsidR="00580154" w:rsidRPr="00E10B6E" w:rsidRDefault="00580154" w:rsidP="00221B3F">
            <w:pPr>
              <w:keepNext/>
              <w:keepLines/>
              <w:spacing w:line="276" w:lineRule="auto"/>
              <w:jc w:val="center"/>
              <w:rPr>
                <w:szCs w:val="18"/>
              </w:rPr>
            </w:pPr>
            <w:r w:rsidRPr="00E10B6E">
              <w:rPr>
                <w:rFonts w:cs="Calibri"/>
                <w:color w:val="000000"/>
                <w:szCs w:val="18"/>
              </w:rPr>
              <w:t>2.76</w:t>
            </w:r>
          </w:p>
        </w:tc>
      </w:tr>
      <w:tr w:rsidR="00580154" w:rsidRPr="00E10B6E" w14:paraId="610770DD" w14:textId="77777777" w:rsidTr="00221B3F">
        <w:trPr>
          <w:trHeight w:val="567"/>
        </w:trPr>
        <w:tc>
          <w:tcPr>
            <w:tcW w:w="2268" w:type="dxa"/>
            <w:vAlign w:val="center"/>
          </w:tcPr>
          <w:p w14:paraId="2DB96871" w14:textId="77777777" w:rsidR="00580154" w:rsidRPr="00E10B6E" w:rsidRDefault="00580154" w:rsidP="00221B3F">
            <w:pPr>
              <w:keepNext/>
              <w:keepLines/>
              <w:spacing w:line="276" w:lineRule="auto"/>
              <w:jc w:val="center"/>
              <w:rPr>
                <w:szCs w:val="18"/>
              </w:rPr>
            </w:pPr>
            <w:r w:rsidRPr="00E10B6E">
              <w:rPr>
                <w:szCs w:val="18"/>
              </w:rPr>
              <w:t>Payoff period [years]</w:t>
            </w:r>
          </w:p>
        </w:tc>
        <w:tc>
          <w:tcPr>
            <w:tcW w:w="2268" w:type="dxa"/>
            <w:vAlign w:val="center"/>
          </w:tcPr>
          <w:p w14:paraId="3CE89131" w14:textId="77777777" w:rsidR="00580154" w:rsidRPr="00E10B6E" w:rsidRDefault="00580154" w:rsidP="00221B3F">
            <w:pPr>
              <w:keepNext/>
              <w:keepLines/>
              <w:spacing w:line="276" w:lineRule="auto"/>
              <w:jc w:val="center"/>
              <w:rPr>
                <w:szCs w:val="18"/>
              </w:rPr>
            </w:pPr>
            <w:r w:rsidRPr="00E10B6E">
              <w:rPr>
                <w:szCs w:val="18"/>
              </w:rPr>
              <w:t>Never</w:t>
            </w:r>
          </w:p>
        </w:tc>
        <w:tc>
          <w:tcPr>
            <w:tcW w:w="2268" w:type="dxa"/>
            <w:vAlign w:val="center"/>
          </w:tcPr>
          <w:p w14:paraId="4116CBFC" w14:textId="77777777" w:rsidR="00580154" w:rsidRPr="00E10B6E" w:rsidRDefault="00580154" w:rsidP="00221B3F">
            <w:pPr>
              <w:keepNext/>
              <w:keepLines/>
              <w:spacing w:line="276" w:lineRule="auto"/>
              <w:jc w:val="center"/>
              <w:rPr>
                <w:szCs w:val="18"/>
              </w:rPr>
            </w:pPr>
            <w:r w:rsidRPr="00E10B6E">
              <w:rPr>
                <w:szCs w:val="18"/>
              </w:rPr>
              <w:t>3.6</w:t>
            </w:r>
          </w:p>
        </w:tc>
        <w:tc>
          <w:tcPr>
            <w:tcW w:w="2268" w:type="dxa"/>
            <w:vAlign w:val="center"/>
          </w:tcPr>
          <w:p w14:paraId="229C4B74" w14:textId="77777777" w:rsidR="00580154" w:rsidRPr="00E10B6E" w:rsidRDefault="00580154" w:rsidP="00221B3F">
            <w:pPr>
              <w:keepNext/>
              <w:keepLines/>
              <w:spacing w:line="276" w:lineRule="auto"/>
              <w:jc w:val="center"/>
              <w:rPr>
                <w:szCs w:val="18"/>
              </w:rPr>
            </w:pPr>
            <w:r w:rsidRPr="00E10B6E">
              <w:rPr>
                <w:szCs w:val="18"/>
              </w:rPr>
              <w:t>1.2</w:t>
            </w:r>
          </w:p>
        </w:tc>
      </w:tr>
      <w:tr w:rsidR="00580154" w:rsidRPr="00E10B6E" w14:paraId="2FD2AEF0" w14:textId="77777777" w:rsidTr="00221B3F">
        <w:trPr>
          <w:trHeight w:val="567"/>
        </w:trPr>
        <w:tc>
          <w:tcPr>
            <w:tcW w:w="2268" w:type="dxa"/>
            <w:vAlign w:val="center"/>
          </w:tcPr>
          <w:p w14:paraId="7581B250" w14:textId="6909BA87" w:rsidR="00580154" w:rsidRPr="00E10B6E" w:rsidRDefault="00580154" w:rsidP="00221B3F">
            <w:pPr>
              <w:keepNext/>
              <w:keepLines/>
              <w:spacing w:line="276" w:lineRule="auto"/>
              <w:jc w:val="center"/>
            </w:pPr>
            <w:r w:rsidRPr="00E10B6E">
              <w:t>NPV in 20 years</w:t>
            </w:r>
            <w:r w:rsidRPr="00E10B6E">
              <w:br/>
              <w:t>[</w:t>
            </w:r>
            <w:r w:rsidRPr="00E10B6E">
              <w:rPr>
                <w:rFonts w:cs="Calibri"/>
                <w:color w:val="000000"/>
                <w:szCs w:val="18"/>
              </w:rPr>
              <w:t>M€</w:t>
            </w:r>
            <w:r w:rsidRPr="00E10B6E">
              <w:rPr>
                <w:rFonts w:cs="Calibri"/>
                <w:color w:val="000000"/>
                <w:szCs w:val="18"/>
                <w:vertAlign w:val="subscript"/>
              </w:rPr>
              <w:t>2020</w:t>
            </w:r>
            <w:r w:rsidRPr="00E10B6E">
              <w:t>]</w:t>
            </w:r>
          </w:p>
        </w:tc>
        <w:tc>
          <w:tcPr>
            <w:tcW w:w="2268" w:type="dxa"/>
            <w:vAlign w:val="center"/>
          </w:tcPr>
          <w:p w14:paraId="0BA293B6" w14:textId="77777777" w:rsidR="00580154" w:rsidRPr="00E10B6E" w:rsidRDefault="00580154" w:rsidP="00221B3F">
            <w:pPr>
              <w:keepNext/>
              <w:keepLines/>
              <w:spacing w:line="276" w:lineRule="auto"/>
              <w:jc w:val="center"/>
            </w:pPr>
            <w:r w:rsidRPr="00E10B6E">
              <w:t>-1.4</w:t>
            </w:r>
          </w:p>
        </w:tc>
        <w:tc>
          <w:tcPr>
            <w:tcW w:w="2268" w:type="dxa"/>
            <w:vAlign w:val="center"/>
          </w:tcPr>
          <w:p w14:paraId="77096F47" w14:textId="77777777" w:rsidR="00580154" w:rsidRPr="00E10B6E" w:rsidRDefault="00580154" w:rsidP="00221B3F">
            <w:pPr>
              <w:keepNext/>
              <w:keepLines/>
              <w:spacing w:line="276" w:lineRule="auto"/>
              <w:jc w:val="center"/>
            </w:pPr>
            <w:r w:rsidRPr="00E10B6E">
              <w:t>13</w:t>
            </w:r>
          </w:p>
        </w:tc>
        <w:tc>
          <w:tcPr>
            <w:tcW w:w="2268" w:type="dxa"/>
            <w:vAlign w:val="center"/>
          </w:tcPr>
          <w:p w14:paraId="3FFEDF8B" w14:textId="77777777" w:rsidR="00580154" w:rsidRPr="00E10B6E" w:rsidRDefault="00580154" w:rsidP="00221B3F">
            <w:pPr>
              <w:keepNext/>
              <w:keepLines/>
              <w:spacing w:line="276" w:lineRule="auto"/>
              <w:jc w:val="center"/>
            </w:pPr>
            <w:r w:rsidRPr="00E10B6E">
              <w:t>220</w:t>
            </w:r>
          </w:p>
        </w:tc>
      </w:tr>
      <w:tr w:rsidR="00580154" w:rsidRPr="00E10B6E" w14:paraId="2F50EC9E" w14:textId="77777777" w:rsidTr="00221B3F">
        <w:trPr>
          <w:trHeight w:val="567"/>
        </w:trPr>
        <w:tc>
          <w:tcPr>
            <w:tcW w:w="2268" w:type="dxa"/>
            <w:vAlign w:val="center"/>
          </w:tcPr>
          <w:p w14:paraId="408E060E" w14:textId="77777777" w:rsidR="00580154" w:rsidRPr="00E10B6E" w:rsidRDefault="00580154" w:rsidP="00221B3F">
            <w:pPr>
              <w:keepLines/>
              <w:spacing w:line="276" w:lineRule="auto"/>
              <w:jc w:val="center"/>
            </w:pPr>
            <w:r w:rsidRPr="00E10B6E">
              <w:t>Additional comments</w:t>
            </w:r>
          </w:p>
        </w:tc>
        <w:tc>
          <w:tcPr>
            <w:tcW w:w="2268" w:type="dxa"/>
            <w:vAlign w:val="center"/>
          </w:tcPr>
          <w:p w14:paraId="238B0AE6" w14:textId="77777777" w:rsidR="00580154" w:rsidRPr="00E10B6E" w:rsidRDefault="00580154" w:rsidP="00221B3F">
            <w:pPr>
              <w:keepLines/>
              <w:spacing w:line="276" w:lineRule="auto"/>
              <w:jc w:val="center"/>
            </w:pPr>
            <w:r w:rsidRPr="00E10B6E">
              <w:t>Negative revenue</w:t>
            </w:r>
          </w:p>
        </w:tc>
        <w:tc>
          <w:tcPr>
            <w:tcW w:w="2268" w:type="dxa"/>
            <w:vAlign w:val="center"/>
          </w:tcPr>
          <w:p w14:paraId="282DDBCB" w14:textId="77777777" w:rsidR="00580154" w:rsidRPr="00E10B6E" w:rsidRDefault="00580154" w:rsidP="00221B3F">
            <w:pPr>
              <w:keepLines/>
              <w:spacing w:line="276" w:lineRule="auto"/>
              <w:jc w:val="center"/>
            </w:pPr>
            <w:r w:rsidRPr="00E10B6E">
              <w:t>Economically convenient</w:t>
            </w:r>
          </w:p>
        </w:tc>
        <w:tc>
          <w:tcPr>
            <w:tcW w:w="2268" w:type="dxa"/>
            <w:vAlign w:val="center"/>
          </w:tcPr>
          <w:p w14:paraId="0255C41B" w14:textId="77777777" w:rsidR="00580154" w:rsidRPr="00E10B6E" w:rsidRDefault="00580154" w:rsidP="00221B3F">
            <w:pPr>
              <w:keepLines/>
              <w:spacing w:line="276" w:lineRule="auto"/>
              <w:jc w:val="center"/>
            </w:pPr>
            <w:r w:rsidRPr="00E10B6E">
              <w:t>Lowest cost per unit</w:t>
            </w:r>
          </w:p>
        </w:tc>
      </w:tr>
    </w:tbl>
    <w:p w14:paraId="59FCBCEC" w14:textId="6CC7A608" w:rsidR="00580154" w:rsidRPr="00E10B6E" w:rsidRDefault="00BE0DCD" w:rsidP="00580154">
      <w:pPr>
        <w:jc w:val="both"/>
      </w:pPr>
      <w:r w:rsidRPr="00E10B6E">
        <w:br/>
      </w:r>
      <w:r w:rsidR="00580154" w:rsidRPr="00E10B6E">
        <w:t>From an environmental point of view, using pyrolysis to recover ethylene and propylene from plastic waste reduces the need to produce them from virgin oil and natural gas, thus reducing the emissions of carbon monoxide and CO</w:t>
      </w:r>
      <w:r w:rsidR="00580154" w:rsidRPr="00E10B6E">
        <w:rPr>
          <w:vertAlign w:val="subscript"/>
        </w:rPr>
        <w:t>2</w:t>
      </w:r>
      <w:r w:rsidR="00580154" w:rsidRPr="00E10B6E">
        <w:t xml:space="preserve"> </w:t>
      </w:r>
      <w:r w:rsidR="00580154" w:rsidRPr="00E10B6E">
        <w:fldChar w:fldCharType="begin" w:fldLock="1"/>
      </w:r>
      <w:r w:rsidR="00580154" w:rsidRPr="00E10B6E">
        <w:instrText>ADDIN CSL_CITATION {"citationItems":[{"id":"ITEM-1","itemData":{"DOI":"10.1016/j.jenvman.2017.03.084","ISSN":"03014797","PMID":"28384612","abstract":"Plastic plays an important role in our daily lives due to its versatility, light weight and low production cost. Plastics became essential in many sectors such as construction, medical, engineering applications, automotive, aerospace, etc. In addition, economic growth and development also increased our demand and dependency on plastics which leads to its accumulation in landfills imposing risk on human health, animals and cause environmental pollution problems such as ground water contamination, sanitary related issues, etc. Hence, a sustainable and an efficient plastic waste treatment is essential to avoid such issues. Pyrolysis is a thermo-chemical plastic waste treatment technique which can solve such pollution problems, as well as, recover valuable energy and products such as oil and gas. Pyrolysis of plastic solid waste (PSW) has gained importance due to having better advantages towards environmental pollution and reduction of carbon footprint of plastic products by minimizing the emissions of carbon monoxide and carbon dioxide compared to combustion and gasification. This paper presents the existing techniques of pyrolysis, the parameters which affect the products yield and selectivity and identify major research gaps in this technology. The influence of different catalysts on the process as well as review and comparative assessment of pyrolysis with other thermal and catalytic plastic treatment methods, is also presented.","author":[{"dropping-particle":"","family":"Al-Salem","given":"S.M.","non-dropping-particle":"","parse-names":false,"suffix":""},{"dropping-particle":"","family":"Antelava","given":"A.","non-dropping-particle":"","parse-names":false,"suffix":""},{"dropping-particle":"","family":"Constantinou","given":"A.","non-dropping-particle":"","parse-names":false,"suffix":""},{"dropping-particle":"","family":"Manos","given":"G.","non-dropping-particle":"","parse-names":false,"suffix":""},{"dropping-particle":"","family":"Dutta","given":"A.","non-dropping-particle":"","parse-names":false,"suffix":""}],"container-title":"Journal of Environmental Management","id":"ITEM-1","issued":{"date-parts":[["2017","7","15"]]},"page":"177-198","publisher":"Academic Press","title":"A review on thermal and catalytic pyrolysis of plastic solid waste (PSW)","type":"article-journal","volume":"197"},"uris":["http://www.mendeley.com/documents/?uuid=d114f4d5-ca83-3bd5-b5d7-150062986101"]}],"mendeley":{"formattedCitation":"(Al-Salem et al., 2017)","plainTextFormattedCitation":"(Al-Salem et al., 2017)","previouslyFormattedCitation":"(Al-Salem et al., 2017)"},"properties":{"noteIndex":0},"schema":"https://github.com/citation-style-language/schema/raw/master/csl-citation.json"}</w:instrText>
      </w:r>
      <w:r w:rsidR="00580154" w:rsidRPr="00E10B6E">
        <w:fldChar w:fldCharType="separate"/>
      </w:r>
      <w:r w:rsidR="00580154" w:rsidRPr="00E10B6E">
        <w:rPr>
          <w:noProof/>
        </w:rPr>
        <w:t>(Al-Salem et al., 2017)</w:t>
      </w:r>
      <w:r w:rsidR="00580154" w:rsidRPr="00E10B6E">
        <w:fldChar w:fldCharType="end"/>
      </w:r>
      <w:r w:rsidR="00580154" w:rsidRPr="00E10B6E">
        <w:t>. Recent simulations based on LCA studies estimate a reduction of 0.33 kg of CO</w:t>
      </w:r>
      <w:r w:rsidR="00580154" w:rsidRPr="00E10B6E">
        <w:rPr>
          <w:vertAlign w:val="subscript"/>
        </w:rPr>
        <w:t>2</w:t>
      </w:r>
      <w:r w:rsidR="00580154" w:rsidRPr="00E10B6E">
        <w:t>-eq for each kg of PE and PP recycled through pyrolysis, compared to the reference emissions caused by the production of virgin material from naphtha cracking (</w:t>
      </w:r>
      <w:r w:rsidR="00580154" w:rsidRPr="00E10B6E">
        <w:rPr>
          <w:i/>
          <w:iCs/>
        </w:rPr>
        <w:t>Internal communication with TNO</w:t>
      </w:r>
      <w:r w:rsidR="00580154" w:rsidRPr="00E10B6E">
        <w:t>). The result is the same range of another analysis, which found out an emissions reduction up to 0.20 kg of CO</w:t>
      </w:r>
      <w:r w:rsidR="00580154" w:rsidRPr="00E10B6E">
        <w:rPr>
          <w:vertAlign w:val="subscript"/>
        </w:rPr>
        <w:t>2</w:t>
      </w:r>
      <w:r w:rsidR="00580154" w:rsidRPr="00E10B6E">
        <w:t xml:space="preserve">-eq/kg input waste </w:t>
      </w:r>
      <w:r w:rsidR="00580154" w:rsidRPr="00E10B6E">
        <w:fldChar w:fldCharType="begin" w:fldLock="1"/>
      </w:r>
      <w:r w:rsidR="00580154" w:rsidRPr="00E10B6E">
        <w:instrText>ADDIN CSL_CITATION {"citationItems":[{"id":"ITEM-1","itemData":{"author":[{"dropping-particle":"","family":"CE Delft","given":"","non-dropping-particle":"","parse-names":false,"suffix":""}],"id":"ITEM-1","issued":{"date-parts":[["2019"]]},"title":"Exploratory study on chemical recycling. Update 2019 - CE Delft","type":"report"},"uris":["http://www.mendeley.com/documents/?uuid=6a20eec2-242f-3cf8-ac31-580e6957f196"]}],"mendeley":{"formattedCitation":"(CE Delft, 2019)","plainTextFormattedCitation":"(CE Delft, 2019)","previouslyFormattedCitation":"(CE Delft, 2019)"},"properties":{"noteIndex":0},"schema":"https://github.com/citation-style-language/schema/raw/master/csl-citation.json"}</w:instrText>
      </w:r>
      <w:r w:rsidR="00580154" w:rsidRPr="00E10B6E">
        <w:fldChar w:fldCharType="separate"/>
      </w:r>
      <w:r w:rsidR="00580154" w:rsidRPr="00E10B6E">
        <w:rPr>
          <w:noProof/>
        </w:rPr>
        <w:t>(CE Delft, 2019)</w:t>
      </w:r>
      <w:r w:rsidR="00580154" w:rsidRPr="00E10B6E">
        <w:fldChar w:fldCharType="end"/>
      </w:r>
      <w:r w:rsidR="00580154" w:rsidRPr="00E10B6E">
        <w:t xml:space="preserve">. Today, pyrolysis is mainly applied to produce crude diesel for power plants or ship fuel, making policy intervention a necessary step to ensure that the technology is used to close the plastic-to-plastic loop instead </w:t>
      </w:r>
      <w:r w:rsidR="00580154" w:rsidRPr="00E10B6E">
        <w:fldChar w:fldCharType="begin" w:fldLock="1"/>
      </w:r>
      <w:r w:rsidR="00580154" w:rsidRPr="00E10B6E">
        <w:instrText>ADDIN CSL_CITATION {"citationItems":[{"id":"ITEM-1","itemData":{"author":[{"dropping-particle":"","family":"Zero Waste Europe","given":"","non-dropping-particle":"","parse-names":false,"suffix":""}],"id":"ITEM-1","issued":{"date-parts":[["2019","8"]]},"title":"El Dorado of Chemical Recycling State of play and policy challenges","type":"report"},"uris":["http://www.mendeley.com/documents/?uuid=b5e4ebc4-08d3-3068-abe2-428de862b12f"]}],"mendeley":{"formattedCitation":"(Zero Waste Europe, 2019)","plainTextFormattedCitation":"(Zero Waste Europe, 2019)","previouslyFormattedCitation":"(Zero Waste Europe, 2019)"},"properties":{"noteIndex":0},"schema":"https://github.com/citation-style-language/schema/raw/master/csl-citation.json"}</w:instrText>
      </w:r>
      <w:r w:rsidR="00580154" w:rsidRPr="00E10B6E">
        <w:fldChar w:fldCharType="separate"/>
      </w:r>
      <w:r w:rsidR="00580154" w:rsidRPr="00E10B6E">
        <w:rPr>
          <w:noProof/>
        </w:rPr>
        <w:t>(Zero Waste Europe, 2019)</w:t>
      </w:r>
      <w:r w:rsidR="00580154" w:rsidRPr="00E10B6E">
        <w:fldChar w:fldCharType="end"/>
      </w:r>
      <w:r w:rsidR="00580154" w:rsidRPr="00E10B6E">
        <w:t>.</w:t>
      </w:r>
    </w:p>
    <w:p w14:paraId="1E53D317" w14:textId="3280BBC7" w:rsidR="006C508C" w:rsidRPr="00E10B6E" w:rsidRDefault="006C508C" w:rsidP="00914619">
      <w:pPr>
        <w:pStyle w:val="Heading3"/>
      </w:pPr>
      <w:bookmarkStart w:id="86" w:name="_Toc54274810"/>
      <w:r w:rsidRPr="00E10B6E">
        <w:t>4.4.</w:t>
      </w:r>
      <w:r w:rsidR="00966ADC" w:rsidRPr="00E10B6E">
        <w:t>7</w:t>
      </w:r>
      <w:r w:rsidRPr="00E10B6E">
        <w:t xml:space="preserve"> Gasification-recycled olefin monomers</w:t>
      </w:r>
      <w:bookmarkEnd w:id="86"/>
    </w:p>
    <w:p w14:paraId="5993619E" w14:textId="423346F8" w:rsidR="00BE0DCD" w:rsidRPr="00E10B6E" w:rsidRDefault="00BE0DCD" w:rsidP="00BE0DCD">
      <w:pPr>
        <w:jc w:val="both"/>
      </w:pPr>
      <w:r w:rsidRPr="00E10B6E">
        <w:t xml:space="preserve">As seen in Section 4.4.2, lignocellulosic materials and biowaste can be gasified into syngas, which is then converted into methanol and then into olefins. The same process can be applied to hard-to-recycle plastic waste and municipal solid waste (MSW), thus increasing the circularity of the polymers supply chain </w:t>
      </w:r>
      <w:r w:rsidRPr="00E10B6E">
        <w:fldChar w:fldCharType="begin" w:fldLock="1"/>
      </w:r>
      <w:r w:rsidRPr="00E10B6E">
        <w:instrText>ADDIN CSL_CITATION {"citationItems":[{"id":"ITEM-1","itemData":{"DOI":"10.1016/j.wasman.2011.02.004","ISSN":"0956053X","abstract":"A comparison between the most promising design configurations for the industrial application of gasification based, plastics-to-energy cogenerators in the 2-6. MWe range is presented. A pilot scale bubbling fluidized bed air gasifier, having a feeding capacity of 100 kg/h, provided experimental data: the syngas complete composition, the characterization of the bed material, the entrained fines collected at the cyclone and the purge material from the scrubber. Mass and energy balances and material and substance flow analyses have been therefore drawn to assess and compare design solutions utilizing two mixed plastic wastes (MPW) obtained from separate collection of plastic packaging, after different levels of pre-treatments. The related techno-economic performances have been finally estimated on the basis of the manufacturer's specifications. The study concludes that the MPW obtained after a very simple pre-treatment and fed to a gasifier coupled with a steam turbine is the solution that currently offers the higher reliability and provides the higher internal rate of return for the investigated range of electrical energy production. © 2011.","author":[{"dropping-particle":"","family":"Arena","given":"U.","non-dropping-particle":"","parse-names":false,"suffix":""},{"dropping-particle":"","family":"Gregorio","given":"F.","non-dropping-particle":"Di","parse-names":false,"suffix":""},{"dropping-particle":"","family":"Amorese","given":"C.","non-dropping-particle":"","parse-names":false,"suffix":""},{"dropping-particle":"","family":"Mastellone","given":"M. L.","non-dropping-particle":"","parse-names":false,"suffix":""}],"container-title":"Waste Management","id":"ITEM-1","issue":"7","issued":{"date-parts":[["2011","7","1"]]},"page":"1494-1504","publisher":"Pergamon","title":"A techno-economic comparison of fluidized bed gasification of two mixed plastic wastes","type":"article-journal","volume":"31"},"uris":["http://www.mendeley.com/documents/?uuid=f803c237-37c7-306b-8e80-0a818fce8950"]}],"mendeley":{"formattedCitation":"(Arena et al., 2011)","plainTextFormattedCitation":"(Arena et al., 2011)","previouslyFormattedCitation":"(Arena et al., 2011)"},"properties":{"noteIndex":0},"schema":"https://github.com/citation-style-language/schema/raw/master/csl-citation.json"}</w:instrText>
      </w:r>
      <w:r w:rsidRPr="00E10B6E">
        <w:fldChar w:fldCharType="separate"/>
      </w:r>
      <w:r w:rsidRPr="00E10B6E">
        <w:rPr>
          <w:noProof/>
        </w:rPr>
        <w:t>(Arena et al., 2011)</w:t>
      </w:r>
      <w:r w:rsidRPr="00E10B6E">
        <w:fldChar w:fldCharType="end"/>
      </w:r>
      <w:r w:rsidRPr="00E10B6E">
        <w:t xml:space="preserve">. As seen in </w:t>
      </w:r>
      <w:r w:rsidRPr="00E10B6E">
        <w:fldChar w:fldCharType="begin"/>
      </w:r>
      <w:r w:rsidRPr="00E10B6E">
        <w:instrText xml:space="preserve"> REF _Ref46349067 \h </w:instrText>
      </w:r>
      <w:r w:rsidRPr="00E10B6E">
        <w:fldChar w:fldCharType="separate"/>
      </w:r>
      <w:r w:rsidR="00983F73" w:rsidRPr="00E10B6E">
        <w:t xml:space="preserve">Figure </w:t>
      </w:r>
      <w:r w:rsidR="00983F73">
        <w:rPr>
          <w:noProof/>
        </w:rPr>
        <w:t>36</w:t>
      </w:r>
      <w:r w:rsidRPr="00E10B6E">
        <w:fldChar w:fldCharType="end"/>
      </w:r>
      <w:r w:rsidRPr="00E10B6E">
        <w:t xml:space="preserve">, the process starts with the gasification of the plastic waste, although the feedstock may need to be pre-treated to reduce the amount of moisture and increase the energy density </w:t>
      </w:r>
      <w:r w:rsidRPr="00E10B6E">
        <w:fldChar w:fldCharType="begin" w:fldLock="1"/>
      </w:r>
      <w:r w:rsidRPr="00E10B6E">
        <w:instrText>ADDIN CSL_CITATION {"citationItems":[{"id":"ITEM-1","itemData":{"abstract":"Current efforts to mitigate climate change use renewable resources and\nreduce waste, drive the development of new processes. In this study we\nexamine the technologies for conversion of biomass to conventional\npolymers such as polyolefins. Such process routes, based on gasification\nand syngas production, are potentially technically feasible, since all process\nunits are currently either commercially available or in the pilot plant phase.\nIn the study their economic and environmental feasibility are evaluated.\nWe evaluate the environmental attractiveness of this emerging technology\nusing life cycle assessment (LCA) methodology. Economic evaluation is\nperformed by combining and adapting existing financial data which could\nbe further on being coupled with the LCA model. The expected out-comes\nof the study are the environmental and economic assessments as such, but\nalso a contribution to the on-going efforts to integrate LCA with economic\ntools. We also expect to contribute to methodology development through the\ncollection and documentation of experience from environmental\nassessments of new, emerging technologies. ","author":[{"dropping-particle":"","family":"Nouri","given":"Selim","non-dropping-particle":"","parse-names":false,"suffix":""},{"dropping-particle":"","family":"Tillman","given":"Anne-Marie","non-dropping-particle":"","parse-names":false,"suffix":""}],"id":"ITEM-1","issued":{"date-parts":[["2005"]]},"publisher-place":"Göteborg, Sweden","title":"Evaluating synthesis gas based biomass to plastics (BTP) technologies","type":"report"},"uris":["http://www.mendeley.com/documents/?uuid=6e897f85-afa9-34a7-9e8a-09ee10b6958d"]}],"mendeley":{"formattedCitation":"(Nouri &amp; Tillman, 2005)","plainTextFormattedCitation":"(Nouri &amp; Tillman, 2005)","previouslyFormattedCitation":"(Nouri &amp; Tillman, 2005)"},"properties":{"noteIndex":0},"schema":"https://github.com/citation-style-language/schema/raw/master/csl-citation.json"}</w:instrText>
      </w:r>
      <w:r w:rsidRPr="00E10B6E">
        <w:fldChar w:fldCharType="separate"/>
      </w:r>
      <w:r w:rsidRPr="00E10B6E">
        <w:rPr>
          <w:noProof/>
        </w:rPr>
        <w:t>(Nouri &amp; Tillman, 2005)</w:t>
      </w:r>
      <w:r w:rsidRPr="00E10B6E">
        <w:fldChar w:fldCharType="end"/>
      </w:r>
      <w:r w:rsidRPr="00E10B6E">
        <w:t xml:space="preserve">. Gasification is the incomplete combustion (or partial oxidation) of the feedstock in order to break down the molecules and produce a mix of syngas, char, and tars. If catalysts are used, the reaction takes place at 750-900°C </w:t>
      </w:r>
      <w:r w:rsidRPr="00E10B6E">
        <w:fldChar w:fldCharType="begin" w:fldLock="1"/>
      </w:r>
      <w:r w:rsidRPr="00E10B6E">
        <w:instrText>ADDIN CSL_CITATION {"citationItems":[{"id":"ITEM-1","itemData":{"DOI":"10.1016/B978-0-12-811132-1.00004-3","ISBN":"9780128111338","abstract":"The lack of existing infrastructure for hydrogen deployment is largely reported in the dedicated literature. The aim of this chapter is to present and define various pathways and technologies that can be followed to model the hydrogen supply chain (HSC) through supply chain management (SCM) concepts to efficiently integrate suppliers, manufacturers, and distributors so that hydrogen can be distributed at the right quantities, to the right locations and, at the right time, in order to optimize the main criteria (e.g., cost, risk, etc.). The modeling approaches of the HSC are described through a literature review. The pathway toward a hydrogen economy and more particularly here toward the use of hydrogen as an energy vector must encompass a broad range of items concerning the three pillars of sustainability based on economic, environmental, and social impacts. SCM models can be used to design improved business pathways which could result in reduced environmental impact while being also economically achievable. It is highlighted that more efforts can be done in fields such as demand uncertainty and social perception related to hydrogen.","author":[{"dropping-particle":"","family":"De-León Almaraz","given":"Sofía","non-dropping-particle":"","parse-names":false,"suffix":""},{"dropping-particle":"","family":"Azzaro-Pantel","given":"Catherine","non-dropping-particle":"","parse-names":false,"suffix":""}],"container-title":"Hydrogen Economy: Supply Chain, Life Cycle Analysis and Energy Transition for Sustainability","id":"ITEM-1","issued":{"date-parts":[["2017","5","8"]]},"page":"85-120","publisher":"Elsevier Inc.","title":"Design and Optimization of Hydrogen Supply Chains for a Sustainable Future","type":"chapter"},"uris":["http://www.mendeley.com/documents/?uuid=b9e8f0ea-e5b5-3525-bcca-ce1130060240"]}],"mendeley":{"formattedCitation":"(De-León Almaraz &amp; Azzaro-Pantel, 2017)","plainTextFormattedCitation":"(De-León Almaraz &amp; Azzaro-Pantel, 2017)","previouslyFormattedCitation":"(De-León Almaraz &amp; Azzaro-Pantel, 2017)"},"properties":{"noteIndex":0},"schema":"https://github.com/citation-style-language/schema/raw/master/csl-citation.json"}</w:instrText>
      </w:r>
      <w:r w:rsidRPr="00E10B6E">
        <w:fldChar w:fldCharType="separate"/>
      </w:r>
      <w:r w:rsidRPr="00E10B6E">
        <w:rPr>
          <w:noProof/>
        </w:rPr>
        <w:t>(De-León Almaraz &amp; Azzaro-Pantel, 2017)</w:t>
      </w:r>
      <w:r w:rsidRPr="00E10B6E">
        <w:fldChar w:fldCharType="end"/>
      </w:r>
      <w:r w:rsidRPr="00E10B6E">
        <w:t xml:space="preserve">, otherwise the temperature needs to be in the 1200-1500°C range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 xml:space="preserve">. When MSW is included in the feedstock mix, the optimal temperature for catalytic gasification seems to be 900°C in order to minimize the </w:t>
      </w:r>
      <w:r w:rsidR="00F52340" w:rsidRPr="00E10B6E">
        <w:t>quantity</w:t>
      </w:r>
      <w:r w:rsidRPr="00E10B6E">
        <w:t xml:space="preserve"> of tars produced </w:t>
      </w:r>
      <w:r w:rsidRPr="00E10B6E">
        <w:fldChar w:fldCharType="begin" w:fldLock="1"/>
      </w:r>
      <w:r w:rsidRPr="00E10B6E">
        <w:instrText>ADDIN CSL_CITATION {"citationItems":[{"id":"ITEM-1","itemData":{"DOI":"10.1016/j.ijhydene.2009.09.050","ISSN":"03603199","abstract":"In the paper, a two-region municipal solid waste (MSW) steam catalytic gasification process was proposed. The gasifier was composed of two individual reactors: one is the gasification reactors and the other is the catalytic reactor. The MSW was initially gasified and the produced tar was gasified in the gasification reactor, and further, the tar not gasified entered the catalytic reactor together with the fuel gas and was catalytically decomposed to fuel gas. The influences of the catalysts, steam and temperature on the content of tar, dry gas yield and composition, and carbon conversion efficiency were studied. The results indicated that under the optimum operating conditions, the dry gas yield can be up to 1.97 Nm3/kg MSW and the tar in the product can be completely eliminated. The concentration of hydrogen, carbon monoxide and methane in the fuel gas produced was 50.8%, 9.32% and 13.3%, respectively. Crown Copyright © 2009.","author":[{"dropping-particle":"","family":"Guan","given":"Yanwen","non-dropping-particle":"","parse-names":false,"suffix":""},{"dropping-particle":"","family":"Luo","given":"Siyi","non-dropping-particle":"","parse-names":false,"suffix":""},{"dropping-particle":"","family":"Liu","given":"Shiming","non-dropping-particle":"","parse-names":false,"suffix":""},{"dropping-particle":"","family":"Xiao","given":"Bo","non-dropping-particle":"","parse-names":false,"suffix":""},{"dropping-particle":"","family":"Cai","given":"Lei","non-dropping-particle":"","parse-names":false,"suffix":""}],"container-title":"International Journal of Hydrogen Energy","id":"ITEM-1","issue":"23","issued":{"date-parts":[["2009","12","1"]]},"page":"9341-9346","publisher":"Pergamon","title":"Steam catalytic gasification of municipal solid waste for producing tar-free fuel gas","type":"article-journal","volume":"34"},"uris":["http://www.mendeley.com/documents/?uuid=21db4be8-34a4-3f2f-9894-75495ab437a6"]}],"mendeley":{"formattedCitation":"(Guan et al., 2009)","plainTextFormattedCitation":"(Guan et al., 2009)","previouslyFormattedCitation":"(Guan et al., 2009)"},"properties":{"noteIndex":0},"schema":"https://github.com/citation-style-language/schema/raw/master/csl-citation.json"}</w:instrText>
      </w:r>
      <w:r w:rsidRPr="00E10B6E">
        <w:fldChar w:fldCharType="separate"/>
      </w:r>
      <w:r w:rsidRPr="00E10B6E">
        <w:rPr>
          <w:noProof/>
        </w:rPr>
        <w:t>(Guan et al., 2009)</w:t>
      </w:r>
      <w:r w:rsidRPr="00E10B6E">
        <w:fldChar w:fldCharType="end"/>
      </w:r>
      <w:r w:rsidRPr="00E10B6E">
        <w:t xml:space="preserve">. The unreformed syngas and carbon chars are combusted to supply heat to the gasification reactor, while the tars are reformed into useful syngas using a catalytic reaction </w:t>
      </w:r>
      <w:r w:rsidRPr="00E10B6E">
        <w:fldChar w:fldCharType="begin" w:fldLock="1"/>
      </w:r>
      <w:r w:rsidRPr="00E10B6E">
        <w:instrText>ADDIN CSL_CITATION {"citationItems":[{"id":"ITEM-1","itemData":{"DOI":"10.1007/s10570-009-9317-x","ISSN":"09690239","abstract":"With the world's focus on rapidly deploying second generation biofuels technologies, there exists today a good deal of interest in how yields, economics, and environmental impacts of the various conversion processes of lignocellulosic biomass to transportation fuels compare. Although there is a good deal of information regarding these conversion processes, this information is typically very difficult to use on a comparison basis because different underlying assumptions, such as feedstock costs, plant size, co-product credits or assumed state of technology, have been utilized. In this study, a rigorous comparison of different biomass to transportation fuels conversion processes was performed with standard underlying economic and environmental assumptions so that exact comparisons can be made. This study looked at promising second-generation conversion processes utilizing biochemical and thermochemical gasification technologies on both a current and an achievable state of technology in 2012. The fundamental finding of this study is that although the biochemical and thermochemical processes to ethanol analyzed have their individual strengths and weaknesses, the two processes have very comparable yields, economics, and environmental impacts. Hence, this study concludes that based on this analysis there is not a distinct economic or environmental impact difference between biochemical and thermochemical gasification processes for second generation ethanol production. © Springer Science+Business Media B.V. 2009.","author":[{"dropping-particle":"","family":"Foust","given":"Thomas D.","non-dropping-particle":"","parse-names":false,"suffix":""},{"dropping-particle":"","family":"Aden","given":"Andy","non-dropping-particle":"","parse-names":false,"suffix":""},{"dropping-particle":"","family":"Dutta","given":"Abhijit","non-dropping-particle":"","parse-names":false,"suffix":""},{"dropping-particle":"","family":"Phillips","given":"Steven","non-dropping-particle":"","parse-names":false,"suffix":""}],"container-title":"Cellulose","id":"ITEM-1","issue":"4","issued":{"date-parts":[["2009"]]},"page":"547-565","title":"An economic and environmental comparison of a biochemical and a thermochemical lignocellulosic ethanol conversion processes","type":"article-journal","volume":"16"},"uris":["http://www.mendeley.com/documents/?uuid=e07f9aa7-7fcd-3cd1-a468-634819a2e45f"]}],"mendeley":{"formattedCitation":"(Foust et al., 2009)","plainTextFormattedCitation":"(Foust et al., 2009)","previouslyFormattedCitation":"(Foust et al., 2009)"},"properties":{"noteIndex":0},"schema":"https://github.com/citation-style-language/schema/raw/master/csl-citation.json"}</w:instrText>
      </w:r>
      <w:r w:rsidRPr="00E10B6E">
        <w:fldChar w:fldCharType="separate"/>
      </w:r>
      <w:r w:rsidRPr="00E10B6E">
        <w:rPr>
          <w:noProof/>
        </w:rPr>
        <w:t>(Foust et al., 2009)</w:t>
      </w:r>
      <w:r w:rsidRPr="00E10B6E">
        <w:fldChar w:fldCharType="end"/>
      </w:r>
      <w:r w:rsidRPr="00E10B6E">
        <w:t xml:space="preserve">. The resulting syngas needs to be cleaned and conditioned to remove acid gases and impurities, before being compressed and sent to the methanol synthesis reactor </w:t>
      </w:r>
      <w:r w:rsidRPr="00E10B6E">
        <w:fldChar w:fldCharType="begin" w:fldLock="1"/>
      </w:r>
      <w:r w:rsidRPr="00E10B6E">
        <w:instrText>ADDIN CSL_CITATION {"citationItems":[{"id":"ITEM-1","itemData":{"DOI":"10.1016/j.fuel.2014.02.070","ISSN":"00162361","abstract":"Currently a great emphasis is being placed on simplification and cost reduction in the production process of methanol from renewable biomass sources. The experimental results obtained in this work, using a pre-pilot fluidized bed gasifier, demonstrate that the co-gasification of regional biomass residues with PET (polyethylene terephthalate) or tyre wastes may be regarded as a useful strategy to achieve the above goals. In fact, the product gas composition resulting from the presence of the aforesaid polymeric wastes in the fuel blend is such that the gas from the steam reforming unit does not need to be further conditioned in a water-gas shift reactor; the sole carbon dioxide capture process is sufficient to meet the requirements for the downstream methanol production. No significant differences in gas composition were observed moving from the PET to tyre-based pellets, but penalties were noted for the latter concerning tar and particulate generation. © 2014 Elsevier Ltd. All rights reserved.","author":[{"dropping-particle":"","family":"Brachi","given":"Paola","non-dropping-particle":"","parse-names":false,"suffix":""},{"dropping-particle":"","family":"Chirone","given":"Riccardo","non-dropping-particle":"","parse-names":false,"suffix":""},{"dropping-particle":"","family":"Miccio","given":"Francesco","non-dropping-particle":"","parse-names":false,"suffix":""},{"dropping-particle":"","family":"Miccio","given":"Michele","non-dropping-particle":"","parse-names":false,"suffix":""},{"dropping-particle":"","family":"Picarelli","given":"Antonio","non-dropping-particle":"","parse-names":false,"suffix":""},{"dropping-particle":"","family":"Ruoppolo","given":"Giovanna","non-dropping-particle":"","parse-names":false,"suffix":""}],"container-title":"Fuel","id":"ITEM-1","issued":{"date-parts":[["2014","7","15"]]},"page":"88-98","publisher":"Elsevier","title":"Fluidized bed co-gasification of biomass and polymeric wastes for a flexible end-use of the syngas: Focus on bio-methanol","type":"article-journal","volume":"128"},"uris":["http://www.mendeley.com/documents/?uuid=bdbec582-87eb-33c9-9d08-7486460a8a84"]}],"mendeley":{"formattedCitation":"(Brachi et al., 2014)","plainTextFormattedCitation":"(Brachi et al., 2014)","previouslyFormattedCitation":"(Brachi et al., 2014)"},"properties":{"noteIndex":0},"schema":"https://github.com/citation-style-language/schema/raw/master/csl-citation.json"}</w:instrText>
      </w:r>
      <w:r w:rsidRPr="00E10B6E">
        <w:fldChar w:fldCharType="separate"/>
      </w:r>
      <w:r w:rsidRPr="00E10B6E">
        <w:rPr>
          <w:noProof/>
        </w:rPr>
        <w:t>(Brachi et al., 2014)</w:t>
      </w:r>
      <w:r w:rsidRPr="00E10B6E">
        <w:fldChar w:fldCharType="end"/>
      </w:r>
      <w:r w:rsidRPr="00E10B6E">
        <w:t xml:space="preserve">. Quite often, the syngas needs to undergo a water-gas shift (WGS) reaction to maximize the hydrogen content </w:t>
      </w:r>
      <w:r w:rsidRPr="00E10B6E">
        <w:fldChar w:fldCharType="begin" w:fldLock="1"/>
      </w:r>
      <w:r w:rsidRPr="00E10B6E">
        <w:instrText>ADDIN CSL_CITATION {"citationItems":[{"id":"ITEM-1","itemData":{"DOI":"10.1016/b978-0-12-813025-4.00013-1","abstract":"The influx of heavy feedstocks such as heavy oil, extra heavy oil, and tar sand bitumen into refineries creates challenges but, at the same time, creates opportunities by improving the ability of refineries to handle heavy feedstocks, thereby enhancing refinery flexibility to meet the increasingly stringent product specifications for refined fuels. Gasification is a process that converts organic carbonaceous feedstocks into carbon monoxide, carbon dioxide, and hydrogen by reacting the feedstock at high temperatures (&gt;700°C, 1290°F), without combustion, with a controlled amount of oxygen and/or steam. The resulting gas mixture (synthesis gas, syngas) is called producer gas and is itself a fuel. The power derived from carbonaceous feedstocks and gasification followed by the combustion of the product gas(es) is considered to be a source of renewable energy if the gaseous products are from a source (e.g., biomass) other than a fossil fuel. It is the purpose of this chapter to present gasification as an appealing process for the utilization of relatively inexpensive feedstocks that might otherwise be declared as waste and sent to a landfill (where the production of methane—a so-called greenhouse gas—will be produced) or combusted that may not (depending upon the feedstock) be energy-efficient.","author":[{"dropping-particle":"","family":"Speight","given":"James G.","non-dropping-particle":"","parse-names":false,"suffix":""}],"container-title":"Heavy Oil Recovery and Upgrading","id":"ITEM-1","issued":{"date-parts":[["2019","1","1"]]},"page":"559-614","publisher":"Elsevier","title":"Upgrading by Gasification","type":"chapter"},"uris":["http://www.mendeley.com/documents/?uuid=a211f582-399d-3919-a857-bd85169f4610"]}],"mendeley":{"formattedCitation":"(Speight, 2019)","plainTextFormattedCitation":"(Speight, 2019)","previouslyFormattedCitation":"(Speight, 2019)"},"properties":{"noteIndex":0},"schema":"https://github.com/citation-style-language/schema/raw/master/csl-citation.json"}</w:instrText>
      </w:r>
      <w:r w:rsidRPr="00E10B6E">
        <w:fldChar w:fldCharType="separate"/>
      </w:r>
      <w:r w:rsidRPr="00E10B6E">
        <w:rPr>
          <w:noProof/>
        </w:rPr>
        <w:t>(Speight, 2019)</w:t>
      </w:r>
      <w:r w:rsidRPr="00E10B6E">
        <w:fldChar w:fldCharType="end"/>
      </w:r>
      <w:r w:rsidRPr="00E10B6E">
        <w:t xml:space="preserve">. The conversion reaction is facilitated by a commercial methanol catalyst, ensuring a selectivity of 99.8%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noProof/>
        </w:rPr>
        <w:t>(Xiang et al., 2015)</w:t>
      </w:r>
      <w:r w:rsidRPr="00E10B6E">
        <w:fldChar w:fldCharType="end"/>
      </w:r>
      <w:r w:rsidRPr="00E10B6E">
        <w:t>.</w:t>
      </w:r>
    </w:p>
    <w:p w14:paraId="0614DB2B" w14:textId="77777777" w:rsidR="00BE0DCD" w:rsidRPr="00E10B6E" w:rsidRDefault="00BE0DCD" w:rsidP="00BE0DCD">
      <w:pPr>
        <w:keepNext/>
        <w:jc w:val="both"/>
      </w:pPr>
      <w:r w:rsidRPr="00E10B6E">
        <w:rPr>
          <w:noProof/>
        </w:rPr>
        <w:lastRenderedPageBreak/>
        <w:drawing>
          <wp:inline distT="0" distB="0" distL="0" distR="0" wp14:anchorId="01ED54ED" wp14:editId="242E04D2">
            <wp:extent cx="5760000" cy="2187985"/>
            <wp:effectExtent l="0" t="0" r="0" b="3175"/>
            <wp:docPr id="10037261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00" cy="2187985"/>
                    </a:xfrm>
                    <a:prstGeom prst="rect">
                      <a:avLst/>
                    </a:prstGeom>
                  </pic:spPr>
                </pic:pic>
              </a:graphicData>
            </a:graphic>
          </wp:inline>
        </w:drawing>
      </w:r>
    </w:p>
    <w:p w14:paraId="6928C242" w14:textId="268D2131" w:rsidR="00BE0DCD" w:rsidRPr="00F67810" w:rsidRDefault="00BE0DCD" w:rsidP="00BE0DCD">
      <w:pPr>
        <w:pStyle w:val="Caption"/>
        <w:jc w:val="both"/>
        <w:rPr>
          <w:lang w:val="it-IT"/>
        </w:rPr>
      </w:pPr>
      <w:bookmarkStart w:id="87" w:name="_Ref46349067"/>
      <w:r w:rsidRPr="00E10B6E">
        <w:t xml:space="preserve">Figure </w:t>
      </w:r>
      <w:r w:rsidR="00722F9A">
        <w:fldChar w:fldCharType="begin"/>
      </w:r>
      <w:r w:rsidR="00722F9A">
        <w:instrText xml:space="preserve"> SEQ Figure \* ARABIC </w:instrText>
      </w:r>
      <w:r w:rsidR="00722F9A">
        <w:fldChar w:fldCharType="separate"/>
      </w:r>
      <w:r w:rsidR="00983F73">
        <w:rPr>
          <w:noProof/>
        </w:rPr>
        <w:t>36</w:t>
      </w:r>
      <w:r w:rsidR="00722F9A">
        <w:rPr>
          <w:noProof/>
        </w:rPr>
        <w:fldChar w:fldCharType="end"/>
      </w:r>
      <w:bookmarkEnd w:id="87"/>
      <w:r w:rsidRPr="00E10B6E">
        <w:t xml:space="preserve">: Gasification of plastic waste into methanol. Made with information from </w:t>
      </w:r>
      <w:r w:rsidRPr="00E10B6E">
        <w:fldChar w:fldCharType="begin" w:fldLock="1"/>
      </w:r>
      <w:r w:rsidRPr="00E10B6E">
        <w:instrText>ADDIN CSL_CITATION {"citationItems":[{"id":"ITEM-1","itemData":{"DOI":"10.1016/j.fuel.2014.02.070","ISSN":"00162361","abstract":"Currently a great emphasis is being placed on simplification and cost reduction in the production process of methanol from renewable biomass sources. The experimental results obtained in this work, using a pre-pilot fluidized bed gasifier, demonstrate that the co-gasification of regional biomass residues with PET (polyethylene terephthalate) or tyre wastes may be regarded as a useful strategy to achieve the above goals. In fact, the product gas composition resulting from the presence of the aforesaid polymeric wastes in the fuel blend is such that the gas from the steam reforming unit does not need to be further conditioned in a water-gas shift reactor; the sole carbon dioxide capture process is sufficient to meet the requirements for the downstream methanol production. No significant differences in gas composition were observed moving from the PET to tyre-based pellets, but penalties were noted for the latter concerning tar and particulate generation. © 2014 Elsevier Ltd. All rights reserved.","author":[{"dropping-particle":"","family":"Brachi","given":"Paola","non-dropping-particle":"","parse-names":false,"suffix":""},{"dropping-particle":"","family":"Chirone","given":"Riccardo","non-dropping-particle":"","parse-names":false,"suffix":""},{"dropping-particle":"","family":"Miccio","given":"Francesco","non-dropping-particle":"","parse-names":false,"suffix":""},{"dropping-particle":"","family":"Miccio","given":"Michele","non-dropping-particle":"","parse-names":false,"suffix":""},{"dropping-particle":"","family":"Picarelli","given":"Antonio","non-dropping-particle":"","parse-names":false,"suffix":""},{"dropping-particle":"","family":"Ruoppolo","given":"Giovanna","non-dropping-particle":"","parse-names":false,"suffix":""}],"container-title":"Fuel","id":"ITEM-1","issued":{"date-parts":[["2014","7","15"]]},"page":"88-98","publisher":"Elsevier","title":"Fluidized bed co-gasification of biomass and polymeric wastes for a flexible end-use of the syngas: Focus on bio-methanol","type":"article-journal","volume":"128"},"uris":["http://www.mendeley.com/documents/?uuid=bdbec582-87eb-33c9-9d08-7486460a8a84"]},{"id":"ITEM-2","itemData":{"DOI":"10.1016/B978-0-12-811132-1.00004-3","ISBN":"9780128111338","abstract":"The lack of existing infrastructure for hydrogen deployment is largely reported in the dedicated literature. The aim of this chapter is to present and define various pathways and technologies that can be followed to model the hydrogen supply chain (HSC) through supply chain management (SCM) concepts to efficiently integrate suppliers, manufacturers, and distributors so that hydrogen can be distributed at the right quantities, to the right locations and, at the right time, in order to optimize the main criteria (e.g., cost, risk, etc.). The modeling approaches of the HSC are described through a literature review. The pathway toward a hydrogen economy and more particularly here toward the use of hydrogen as an energy vector must encompass a broad range of items concerning the three pillars of sustainability based on economic, environmental, and social impacts. SCM models can be used to design improved business pathways which could result in reduced environmental impact while being also economically achievable. It is highlighted that more efforts can be done in fields such as demand uncertainty and social perception related to hydrogen.","author":[{"dropping-particle":"","family":"De-León Almaraz","given":"Sofía","non-dropping-particle":"","parse-names":false,"suffix":""},{"dropping-particle":"","family":"Azzaro-Pantel","given":"Catherine","non-dropping-particle":"","parse-names":false,"suffix":""}],"container-title":"Hydrogen Economy: Supply Chain, Life Cycle Analysis and Energy Transition for Sustainability","id":"ITEM-2","issued":{"date-parts":[["2017","5","8"]]},"page":"85-120","publisher":"Elsevier Inc.","title":"Design and Optimization of Hydrogen Supply Chains for a Sustainable Future","type":"chapter"},"uris":["http://www.mendeley.com/documents/?uuid=b9e8f0ea-e5b5-3525-bcca-ce1130060240"]},{"id":"ITEM-3","itemData":{"DOI":"10.1016/j.wasman.2017.07.044","ISSN":"18792456","abstract":"This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w:instrText>
      </w:r>
      <w:r w:rsidRPr="00F67810">
        <w:rPr>
          <w:lang w:val="it-IT"/>
        </w:rPr>
        <w:instrText xml:space="preserve">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Management","id":"ITEM-3","issued":{"date-parts":[["2017","11","1"]]},"page":"24-58","publisher":"Elsevier Ltd","title":"Mechanical and chemical recycling of solid plastic waste","type":"article-journal","volume":"69"},"uris":["http://www.mendeley.com/documents/?uuid=878abd51-814e-43d7-a3df-51e7eb2e5f00"]}],"mendeley":{"formattedCitation":"(Brachi et al., 2014; De-León Almaraz &amp; Azzaro-Pantel, 2017; Ragaert et al., 2017)","plainTextFormattedCitation":"(Brachi et al., 2014; De-León Almaraz &amp; Azzaro-Pantel, 2017; Ragaert et al., 2017)","previouslyFormattedCitation":"(Brachi et al., 2014; De-León Almaraz &amp; Azzaro-Pantel, 2017; Ragaert et al., 2017)"},"properties":{"noteIndex":0},"schema":"https://github.com/citation-style-language/schema/raw/master/csl-citation.json"}</w:instrText>
      </w:r>
      <w:r w:rsidRPr="00E10B6E">
        <w:fldChar w:fldCharType="separate"/>
      </w:r>
      <w:r w:rsidRPr="00F67810">
        <w:rPr>
          <w:i w:val="0"/>
          <w:noProof/>
          <w:lang w:val="it-IT"/>
        </w:rPr>
        <w:t>(Brachi et al., 2014; De-León Almaraz &amp; Azzaro-Pantel, 2017; Ragaert et al., 2017)</w:t>
      </w:r>
      <w:r w:rsidRPr="00E10B6E">
        <w:fldChar w:fldCharType="end"/>
      </w:r>
      <w:r w:rsidRPr="00F67810">
        <w:rPr>
          <w:lang w:val="it-IT"/>
        </w:rPr>
        <w:t>.</w:t>
      </w:r>
    </w:p>
    <w:p w14:paraId="396396D7" w14:textId="3ADB1A25" w:rsidR="00BE0DCD" w:rsidRPr="00E10B6E" w:rsidRDefault="00BE0DCD" w:rsidP="00BE0DCD">
      <w:pPr>
        <w:jc w:val="both"/>
      </w:pPr>
      <w:r w:rsidRPr="00E10B6E">
        <w:t>Methanol (CH</w:t>
      </w:r>
      <w:r w:rsidRPr="00E10B6E">
        <w:rPr>
          <w:vertAlign w:val="subscript"/>
        </w:rPr>
        <w:t>3</w:t>
      </w:r>
      <w:r w:rsidRPr="00E10B6E">
        <w:t xml:space="preserve">OH) is the simplest chemical in the alcohol category and it can be used as </w:t>
      </w:r>
      <w:r w:rsidR="00F52340" w:rsidRPr="00E10B6E">
        <w:t xml:space="preserve">a </w:t>
      </w:r>
      <w:r w:rsidRPr="00E10B6E">
        <w:t xml:space="preserve">precursor to other chemicals, or as fuel for transportation and energy production </w:t>
      </w:r>
      <w:r w:rsidRPr="00E10B6E">
        <w:fldChar w:fldCharType="begin" w:fldLock="1"/>
      </w:r>
      <w:r w:rsidRPr="00E10B6E">
        <w:instrText>ADDIN CSL_CITATION {"citationItems":[{"id":"ITEM-1","itemData":{"DOI":"10.1016/j.rser.2014.02.024","ISSN":"13640321","abstract":"The depletion of the fossil fuel supply and the environmental pollution caused by fossil fuel combustion have become major worldwide problems. Biomass is a renewable resource that has the potential to replace fossil fuels. One of the valuable biomass products is bio-methanol, which can be used to generate electricity and power for portable applications. This paper discusses the potential of bio-methanol as a renewable resource taking into account the world demand, economic assessment, power density and possible applications. It therefore presents the unique properties of bio-methanol as a potential energy resource. It also discusses the various types of biomass that can be obtained from waste products and the different processes that have been developed for the production of bio-methanol fIn addition, it discusses the current problems facing bio-methanol production and the further technological improvements that are needed to support the future energy requirements. Overall, the yield of bio-methanol depends on the type of process used and the associated kinetic parameters of the conversion process. Catalysts have been used in the thermo-chemical and bio-chemical conversion of carbon dioxide into bio-methanol. Several advanced methods have been recently introduced to enhance the production of methanol, but further research is required before these can be used for large-scale bio-methanol production. © 2014 Elsevier Ltd.","author":[{"dropping-particle":"","family":"Shamsul","given":"N. S.","non-dropping-particle":"","parse-names":false,"suffix":""},{"dropping-particle":"","family":"Kamarudin","given":"S. K.","non-dropping-particle":"","parse-names":false,"suffix":""},{"dropping-particle":"","family":"Rahman","given":"N. A.","non-dropping-particle":"","parse-names":false,"suffix":""},{"dropping-particle":"","family":"Kofli","given":"N. T.","non-dropping-particle":"","parse-names":false,"suffix":""}],"container-title":"Renewable and Sustainable Energy Reviews","id":"ITEM-1","issued":{"date-parts":[["2014","5","1"]]},"page":"578-588","publisher":"Elsevier Ltd","title":"An overview on the production of bio-methanol as potential renewable energy","type":"article","volume":"33"},"uris":["http://www.mendeley.com/documents/?uuid=c9ce0eab-7549-3456-be28-ec951509ae43"]}],"mendeley":{"formattedCitation":"(Shamsul et al., 2014)","plainTextFormattedCitation":"(Shamsul et al., 2014)","previouslyFormattedCitation":"(Shamsul et al., 2014)"},"properties":{"noteIndex":0},"schema":"https://github.com/citation-style-language/schema/raw/master/csl-citation.json"}</w:instrText>
      </w:r>
      <w:r w:rsidRPr="00E10B6E">
        <w:fldChar w:fldCharType="separate"/>
      </w:r>
      <w:r w:rsidRPr="00E10B6E">
        <w:rPr>
          <w:noProof/>
        </w:rPr>
        <w:t>(Shamsul et al., 2014)</w:t>
      </w:r>
      <w:r w:rsidRPr="00E10B6E">
        <w:fldChar w:fldCharType="end"/>
      </w:r>
      <w:r w:rsidRPr="00E10B6E">
        <w:t xml:space="preserve">. Methanol-To-Olefins (MTO) is a well-known conversion process, whose chemical reactions have been studied for more than two decades </w:t>
      </w:r>
      <w:r w:rsidRPr="00E10B6E">
        <w:fldChar w:fldCharType="begin" w:fldLock="1"/>
      </w:r>
      <w:r w:rsidRPr="00E10B6E">
        <w:instrText>ADDIN CSL_CITATION {"citationItems":[{"id":"ITEM-1","itemData":{"abstract":"Current efforts to mitigate climate change use renewable resources and\nreduce waste, drive the development of new processes. In this study we\nexamine the technologies for conversion of biomass to conventional\npolymers such as polyolefins. Such process routes, based on gasification\nand syngas production, are potentially technically feasible, since all process\nunits are currently either commercially available or in the pilot plant phase.\nIn the study their economic and environmental feasibility are evaluated.\nWe evaluate the environmental attractiveness of this emerging technology\nusing life cycle assessment (LCA) methodology. Economic evaluation is\nperformed by combining and adapting existing financial data which could\nbe further on being coupled with the LCA model. The expected out-comes\nof the study are the environmental and economic assessments as such, but\nalso a contribution to the on-going efforts to integrate LCA with economic\ntools. We also expect to contribute to methodology development through the\ncollection and documentation of experience from environmental\nassessments of new, emerging technologies. ","author":[{"dropping-particle":"","family":"Nouri","given":"Selim","non-dropping-particle":"","parse-names":false,"suffix":""},{"dropping-particle":"","family":"Tillman","given":"Anne-Marie","non-dropping-particle":"","parse-names":false,"suffix":""}],"id":"ITEM-1","issued":{"date-parts":[["2005"]]},"publisher-place":"Göteborg, Sweden","title":"Evaluating synthesis gas based biomass to plastics (BTP) technologies","type":"report"},"uris":["http://www.mendeley.com/documents/?uuid=6e897f85-afa9-34a7-9e8a-09ee10b6958d"]}],"mendeley":{"formattedCitation":"(Nouri &amp; Tillman, 2005)","plainTextFormattedCitation":"(Nouri &amp; Tillman, 2005)","previouslyFormattedCitation":"(Nouri &amp; Tillman, 2005)"},"properties":{"noteIndex":0},"schema":"https://github.com/citation-style-language/schema/raw/master/csl-citation.json"}</w:instrText>
      </w:r>
      <w:r w:rsidRPr="00E10B6E">
        <w:fldChar w:fldCharType="separate"/>
      </w:r>
      <w:r w:rsidRPr="00E10B6E">
        <w:rPr>
          <w:noProof/>
        </w:rPr>
        <w:t>(Nouri &amp; Tillman, 2005)</w:t>
      </w:r>
      <w:r w:rsidRPr="00E10B6E">
        <w:fldChar w:fldCharType="end"/>
      </w:r>
      <w:r w:rsidRPr="00E10B6E">
        <w:t xml:space="preserve">. As seen in </w:t>
      </w:r>
      <w:r w:rsidRPr="00E10B6E">
        <w:fldChar w:fldCharType="begin"/>
      </w:r>
      <w:r w:rsidRPr="00E10B6E">
        <w:instrText xml:space="preserve"> REF _Ref46349050 \h </w:instrText>
      </w:r>
      <w:r w:rsidRPr="00E10B6E">
        <w:fldChar w:fldCharType="separate"/>
      </w:r>
      <w:r w:rsidR="00983F73" w:rsidRPr="00E10B6E">
        <w:t xml:space="preserve">Figure </w:t>
      </w:r>
      <w:r w:rsidR="00983F73">
        <w:rPr>
          <w:noProof/>
        </w:rPr>
        <w:t>37</w:t>
      </w:r>
      <w:r w:rsidRPr="00E10B6E">
        <w:fldChar w:fldCharType="end"/>
      </w:r>
      <w:r w:rsidRPr="00E10B6E">
        <w:t xml:space="preserve">, the bio-methanol faces a catalytic conversion in a fluidised-bed reactor at 350°C and 30 atm </w:t>
      </w:r>
      <w:r w:rsidRPr="00E10B6E">
        <w:fldChar w:fldCharType="begin" w:fldLock="1"/>
      </w:r>
      <w:r w:rsidRPr="00E10B6E">
        <w:instrText>ADDIN CSL_CITATION {"citationItems":[{"id":"ITEM-1","itemData":{"DOI":"10.1016/j.wasman.2017.07.044","ISSN":"18792456","abstract":"This review presents a comprehensive description of the current pathways for recycling of polymers, via both mechanical and chemical recycling. The principles of these recycling pathways are framed against current-day industrial reality, by discussing predominant industrial technologies, design strategies and recycling examples of specific waste streams. Starting with an overview on types of solid plastic waste (SPW) and their origins, the manuscript continues with a discussion on the different valorisation options for SPW. The section on mechanical recycling contains an overview of current sorting technologies, specific challenges for mechanical recycling such as thermo-mechanical or lifetime degradation and the immiscibility of polymer blends. It also includes some industrial examples such as polyethylene terephthalate (PET) recycling, and SPW from post-consumer packaging, end-of-life vehicles or electr(on)ic devices. A separate section is dedicated to the relationship between design and recycling, emphasizing the role of concepts such as Design from Recycling. The section on chemical recycling collects a state-of-the-art on techniques such as chemolysis, pyrolysis, fluid catalytic cracking, hydrogen techniques and gasification. Additionally, this review discusses the main challenges (and some potential remedies) to these recycling strategies and ground them in the relevant polymer science, thus providing an academic angle as well as an applied one.","author":[{"dropping-particle":"","family":"Ragaert","given":"Kim","non-dropping-particle":"","parse-names":false,"suffix":""},{"dropping-particle":"","family":"Delva","given":"Laurens","non-dropping-particle":"","parse-names":false,"suffix":""},{"dropping-particle":"","family":"Geem","given":"Kevin","non-dropping-particle":"Van","parse-names":false,"suffix":""}],"container-title":"Waste Management","id":"ITEM-1","issued":{"date-parts":[["2017","11","1"]]},"page":"24-58","publisher":"Elsevier Ltd","title":"Mechanical and chemical recycling of solid plastic waste","type":"article-journal","volume":"69"},"uris":["http://www.mendeley.com/documents/?uuid=878abd51-814e-43d7-a3df-51e7eb2e5f00"]}],"mendeley":{"formattedCitation":"(Ragaert et al., 2017)","plainTextFormattedCitation":"(Ragaert et al., 2017)","previouslyFormattedCitation":"(Ragaert et al., 2017)"},"properties":{"noteIndex":0},"schema":"https://github.com/citation-style-language/schema/raw/master/csl-citation.json"}</w:instrText>
      </w:r>
      <w:r w:rsidRPr="00E10B6E">
        <w:fldChar w:fldCharType="separate"/>
      </w:r>
      <w:r w:rsidRPr="00E10B6E">
        <w:rPr>
          <w:noProof/>
        </w:rPr>
        <w:t>(Ragaert et al., 2017)</w:t>
      </w:r>
      <w:r w:rsidRPr="00E10B6E">
        <w:fldChar w:fldCharType="end"/>
      </w:r>
      <w:r w:rsidRPr="00E10B6E">
        <w:t xml:space="preserve">, often coupled with a catalyst regenerator. The resulting gaseous product is sent to a purification unit to separate the olefins, with a final yield of 49-55% for ethylene and 25-33% for propylene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noProof/>
        </w:rPr>
        <w:t>(Xiang et al., 2015)</w:t>
      </w:r>
      <w:r w:rsidRPr="00E10B6E">
        <w:fldChar w:fldCharType="end"/>
      </w:r>
      <w:r w:rsidRPr="00E10B6E">
        <w:t>.</w:t>
      </w:r>
    </w:p>
    <w:p w14:paraId="3C9E7E69" w14:textId="77777777" w:rsidR="00BE0DCD" w:rsidRPr="00E10B6E" w:rsidRDefault="00BE0DCD" w:rsidP="00BE0DCD">
      <w:pPr>
        <w:jc w:val="both"/>
      </w:pPr>
    </w:p>
    <w:p w14:paraId="276466DA" w14:textId="77777777" w:rsidR="00BE0DCD" w:rsidRPr="00E10B6E" w:rsidRDefault="00BE0DCD" w:rsidP="00BE0DCD">
      <w:pPr>
        <w:keepNext/>
        <w:jc w:val="both"/>
      </w:pPr>
      <w:r w:rsidRPr="00E10B6E">
        <w:rPr>
          <w:noProof/>
        </w:rPr>
        <w:drawing>
          <wp:inline distT="0" distB="0" distL="0" distR="0" wp14:anchorId="0C0612BE" wp14:editId="2AF0AABE">
            <wp:extent cx="5760000" cy="18089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b="-3972"/>
                    <a:stretch/>
                  </pic:blipFill>
                  <pic:spPr bwMode="auto">
                    <a:xfrm>
                      <a:off x="0" y="0"/>
                      <a:ext cx="5760000" cy="1808992"/>
                    </a:xfrm>
                    <a:prstGeom prst="rect">
                      <a:avLst/>
                    </a:prstGeom>
                    <a:noFill/>
                    <a:ln>
                      <a:noFill/>
                    </a:ln>
                    <a:extLst>
                      <a:ext uri="{53640926-AAD7-44D8-BBD7-CCE9431645EC}">
                        <a14:shadowObscured xmlns:a14="http://schemas.microsoft.com/office/drawing/2010/main"/>
                      </a:ext>
                    </a:extLst>
                  </pic:spPr>
                </pic:pic>
              </a:graphicData>
            </a:graphic>
          </wp:inline>
        </w:drawing>
      </w:r>
    </w:p>
    <w:p w14:paraId="51CA7177" w14:textId="1F64B236" w:rsidR="00BE0DCD" w:rsidRPr="00E10B6E" w:rsidRDefault="00BE0DCD" w:rsidP="00BE0DCD">
      <w:pPr>
        <w:pStyle w:val="Caption"/>
        <w:jc w:val="both"/>
      </w:pPr>
      <w:bookmarkStart w:id="88" w:name="_Ref46349050"/>
      <w:r w:rsidRPr="00E10B6E">
        <w:t xml:space="preserve">Figure </w:t>
      </w:r>
      <w:r w:rsidR="00722F9A">
        <w:fldChar w:fldCharType="begin"/>
      </w:r>
      <w:r w:rsidR="00722F9A">
        <w:instrText xml:space="preserve"> SEQ Figure \* ARABIC </w:instrText>
      </w:r>
      <w:r w:rsidR="00722F9A">
        <w:fldChar w:fldCharType="separate"/>
      </w:r>
      <w:r w:rsidR="00983F73">
        <w:rPr>
          <w:noProof/>
        </w:rPr>
        <w:t>37</w:t>
      </w:r>
      <w:r w:rsidR="00722F9A">
        <w:rPr>
          <w:noProof/>
        </w:rPr>
        <w:fldChar w:fldCharType="end"/>
      </w:r>
      <w:bookmarkEnd w:id="88"/>
      <w:r w:rsidRPr="00E10B6E">
        <w:t xml:space="preserve">: Methanol-to-olefins (MTO) process </w:t>
      </w:r>
      <w:r w:rsidRPr="00E10B6E">
        <w:fldChar w:fldCharType="begin" w:fldLock="1"/>
      </w:r>
      <w:r w:rsidRPr="00E10B6E">
        <w:instrText>ADDIN CSL_CITATION {"citationItems":[{"id":"ITEM-1","itemData":{"DOI":"10.1016/j.apenergy.2015.05.039","ISSN":"18729118","abstract":"In this paper, an exergetic evaluation was conducted on a two-step biomass-derived light olefins system established using ASPEN PLUS. This system linked methanol synthesis via entrained-flow gasification to a methanol-to-olefins (MTO) process. The mass yield of the system was 0.248 kg light olefins per kg biomass, which is relatively higher than the literature results. The energetic and exergetic efficiencies of this system were 54.66% and 47.65%, respectively. The results of an exergetic analysis indicate that the biomass gasification, steam cycle, methanol separation, CO2 removal and olefins separation produce most of the system inefficiencies. By identifying the occurrence mechanism of the exergy losses, the potential for improvement can be obtained. A further increase of exergetic performance can be obtained from (1) improvement of gasification process via combining biomass torrefaction, and (2) enhancement of energy integration processes via heat network optimization and power generation from the produced steam.","author":[{"dropping-particle":"","family":"Xiang","given":"Yangyang","non-dropping-particle":"","parse-names":false,"suffix":""},{"dropping-particle":"","family":"Zhou","given":"Jingsong","non-dropping-particle":"","parse-names":false,"suffix":""},{"dropping-particle":"","family":"Lin","given":"Bowen","non-dropping-particle":"","parse-names":false,"suffix":""},{"dropping-particle":"","family":"Xue","given":"Xiaoao","non-dropping-particle":"","parse-names":false,"suffix":""},{"dropping-particle":"","family":"Tian","given":"Xingtao","non-dropping-particle":"","parse-names":false,"suffix":""},{"dropping-particle":"","family":"Luo","given":"Zhongyang","non-dropping-particle":"","parse-names":false,"suffix":""}],"container-title":"Applied Energy","id":"ITEM-1","issued":{"date-parts":[["2015","11","1"]]},"page":"499-507","publisher":"Elsevier Ltd","title":"Exergetic evaluation of renewable light olefins production from biomass via synthetic methanol","type":"article-journal","volume":"157"},"uris":["http://www.mendeley.com/documents/?uuid=ad2b1ffd-1358-3356-a7a6-8ff0b17c5e60"]}],"mendeley":{"formattedCitation":"(Xiang et al., 2015)","plainTextFormattedCitation":"(Xiang et al., 2015)","previouslyFormattedCitation":"(Xiang et al., 2015)"},"properties":{"noteIndex":0},"schema":"https://github.com/citation-style-language/schema/raw/master/csl-citation.json"}</w:instrText>
      </w:r>
      <w:r w:rsidRPr="00E10B6E">
        <w:fldChar w:fldCharType="separate"/>
      </w:r>
      <w:r w:rsidRPr="00E10B6E">
        <w:rPr>
          <w:i w:val="0"/>
          <w:noProof/>
        </w:rPr>
        <w:t>(Xiang et al., 2015)</w:t>
      </w:r>
      <w:r w:rsidRPr="00E10B6E">
        <w:fldChar w:fldCharType="end"/>
      </w:r>
      <w:r w:rsidRPr="00E10B6E">
        <w:t>.</w:t>
      </w:r>
    </w:p>
    <w:p w14:paraId="10D5E855" w14:textId="674FB6FE" w:rsidR="006C508C" w:rsidRPr="00E10B6E" w:rsidRDefault="00BE0DCD" w:rsidP="002507DB">
      <w:pPr>
        <w:jc w:val="both"/>
      </w:pPr>
      <w:r w:rsidRPr="00E10B6E">
        <w:t xml:space="preserve">Many studies investigate the possibility of combining biomass and plastic waste as feedstock in order to achieve a better performance of the system. When polymeric waste (in quantities exceeding 20% of mass share) is co-processed with biomass, the resulting syngas has such quality that does not require the WGS conditioning to become suitable for methanol synthesis, thus simplifying the system configuration and reducing the projected costs </w:t>
      </w:r>
      <w:r w:rsidRPr="00E10B6E">
        <w:fldChar w:fldCharType="begin" w:fldLock="1"/>
      </w:r>
      <w:r w:rsidRPr="00E10B6E">
        <w:instrText>ADDIN CSL_CITATION {"citationItems":[{"id":"ITEM-1","itemData":{"DOI":"10.1016/j.fuel.2014.02.070","ISSN":"00162361","abstract":"Currently a great emphasis is being placed on simplification and cost reduction in the production process of methanol from renewable biomass sources. The experimental results obtained in this work, using a pre-pilot fluidized bed gasifier, demonstrate that the co-gasification of regional biomass residues with PET (polyethylene terephthalate) or tyre wastes may be regarded as a useful strategy to achieve the above goals. In fact, the product gas composition resulting from the presence of the aforesaid polymeric wastes in the fuel blend is such that the gas from the steam reforming unit does not need to be further conditioned in a water-gas shift reactor; the sole carbon dioxide capture process is sufficient to meet the requirements for the downstream methanol production. No significant differences in gas composition were observed moving from the PET to tyre-based pellets, but penalties were noted for the latter concerning tar and particulate generation. © 2014 Elsevier Ltd. All rights reserved.","author":[{"dropping-particle":"","family":"Brachi","given":"Paola","non-dropping-particle":"","parse-names":false,"suffix":""},{"dropping-particle":"","family":"Chirone","given":"Riccardo","non-dropping-particle":"","parse-names":false,"suffix":""},{"dropping-particle":"","family":"Miccio","given":"Francesco","non-dropping-particle":"","parse-names":false,"suffix":""},{"dropping-particle":"","family":"Miccio","given":"Michele","non-dropping-particle":"","parse-names":false,"suffix":""},{"dropping-particle":"","family":"Picarelli","given":"Antonio","non-dropping-particle":"","parse-names":false,"suffix":""},{"dropping-particle":"","family":"Ruoppolo","given":"Giovanna","non-dropping-particle":"","parse-names":false,"suffix":""}],"container-title":"Fuel","id":"ITEM-1","issued":{"date-parts":[["2014","7","15"]]},"page":"88-98","publisher":"Elsevier","title":"Fluidized bed co-gasification of biomass and polymeric wastes for a flexible end-use of the syngas: Focus on bio-methanol","type":"article-journal","volume":"128"},"uris":["http://www.mendeley.com/documents/?uuid=bdbec582-87eb-33c9-9d08-7486460a8a84"]}],"mendeley":{"formattedCitation":"(Brachi et al., 2014)","plainTextFormattedCitation":"(Brachi et al., 2014)","previouslyFormattedCitation":"(Brachi et al., 2014)"},"properties":{"noteIndex":0},"schema":"https://github.com/citation-style-language/schema/raw/master/csl-citation.json"}</w:instrText>
      </w:r>
      <w:r w:rsidRPr="00E10B6E">
        <w:fldChar w:fldCharType="separate"/>
      </w:r>
      <w:r w:rsidRPr="00E10B6E">
        <w:rPr>
          <w:noProof/>
        </w:rPr>
        <w:t>(Brachi et al., 2014)</w:t>
      </w:r>
      <w:r w:rsidRPr="00E10B6E">
        <w:fldChar w:fldCharType="end"/>
      </w:r>
      <w:r w:rsidRPr="00E10B6E">
        <w:t xml:space="preserve">. Another successful syngas process managed to achieve 98% of energy conversion when mixing 60% of PE plastic waste with wood waste in the form of pine chips </w:t>
      </w:r>
      <w:r w:rsidRPr="00E10B6E">
        <w:fldChar w:fldCharType="begin" w:fldLock="1"/>
      </w:r>
      <w:r w:rsidRPr="00E10B6E">
        <w:instrText>ADDIN CSL_CITATION {"citationItems":[{"id":"ITEM-1","itemData":{"DOI":"10.1016/S0016-2361(01)00164-8","ISSN":"00162361","abstract":"Fluidised bed steam gasification has proven to be a possible way of converting biomass and plastic undesirable wastes into fuel gases. The addition of plastics to pine wastes decreased CO content, but increased H2 released, up to values of 50% (v/v). The highest gas yield obtained was 1.96 Nl/g daf for 98% of energy conversion, when 60% (w/w) of plastic was in the feedstock. The steam/waste mixture ratio seems to have a small effect on gas composition. Temperature is the parameter that most influenced gases composition. The rise of temperature favoured the formation of H2 and decreased the formation of hydrocarbons, tars and char. At 885°C and in presence of 40% (w/w) of plastic, conversion to char was around 2%, whilst feedstock conversion to gas was around 90%. In this paper, the effect of experimental conditions on gasification process, with the aim of enhancing the gas production and improving its composition and energetic content was analysed. © 2001 Elsevier Science Ltd. All rights reserved.","author":[{"dropping-particle":"","family":"Pinto","given":"F.","non-dropping-particle":"","parse-names":false,"suffix":""},{"dropping-particle":"","family":"Franco","given":"C.","non-dropping-particle":"","parse-names":false,"suffix":""},{"dropping-particle":"","family":"André","given":"R. N.","non-dropping-particle":"","parse-names":false,"suffix":""},{"dropping-particle":"","family":"Miranda","given":"M.","non-dropping-particle":"","parse-names":false,"suffix":""},{"dropping-particle":"","family":"Gulyurtlu","given":"I.","non-dropping-particle":"","parse-names":false,"suffix":""},{"dropping-particle":"","family":"Cabrita","given":"I.","non-dropping-particle":"","parse-names":false,"suffix":""}],"container-title":"Fuel","id":"ITEM-1","issue":"3","issued":{"date-parts":[["2002","2","1"]]},"page":"291-297","publisher":"Elsevier","title":"Co-gasification study of biomass mixed with plastic wastes","type":"article-journal","volume":"81"},"uris":["http://www.mendeley.com/documents/?uuid=5c528af3-a587-304b-996f-4c79f3b0fe24"]}],"mendeley":{"formattedCitation":"(Pinto et al., 2002)","plainTextFormattedCitation":"(Pinto et al., 2002)","previouslyFormattedCitation":"(Pinto et al., 2002)"},"properties":{"noteIndex":0},"schema":"https://github.com/citation-style-language/schema/raw/master/csl-citation.json"}</w:instrText>
      </w:r>
      <w:r w:rsidRPr="00E10B6E">
        <w:fldChar w:fldCharType="separate"/>
      </w:r>
      <w:r w:rsidRPr="00E10B6E">
        <w:rPr>
          <w:noProof/>
        </w:rPr>
        <w:t>(Pinto et al., 2002)</w:t>
      </w:r>
      <w:r w:rsidRPr="00E10B6E">
        <w:fldChar w:fldCharType="end"/>
      </w:r>
      <w:r w:rsidRPr="00E10B6E">
        <w:t xml:space="preserve">. Promising results have been obtained also when using a mix of polyethylene waste and biomass in a 0.3 mass ratio </w:t>
      </w:r>
      <w:r w:rsidRPr="00E10B6E">
        <w:fldChar w:fldCharType="begin" w:fldLock="1"/>
      </w:r>
      <w:r w:rsidRPr="00E10B6E">
        <w:instrText>ADDIN CSL_CITATION {"citationItems":[{"id":"ITEM-1","itemData":{"DOI":"10.1016/j.energy.2014.04.062","ISSN":"03605442","abstract":"Energy from renewable source is expected to complement the energy derived from fossil fuel resources. Gasification is a versatile thermochemical process for solid waste fuel conversion. In the current paper, syngas production from palm kernel shell (PKS) and polyethylene waste blend in a catalytic steam gasification process is studied. In order to acquire the optimum condition of syngas production, the effect of main variables such as reaction temperature, steam/feedstock (S/F) ratio, polyethylene waste/biomass (P/B) ratio on syngas production was investigated and optimized via Taguchi design of experiment approach. Under the optimized condition of 800°C, P/B ratio: 0.3 w/w and S/F ratio: 1 w/w, the total syngas yield and hydrogen yield achieved are 422.40g syngas/kg feedstock and 135.27g H2/kg feedstock, respectively.","author":[{"dropping-particle":"","family":"Moghadam","given":"Reza Alipour","non-dropping-particle":"","parse-names":false,"suffix":""},{"dropping-particle":"","family":"Yusup","given":"Suzana","non-dropping-particle":"","parse-names":false,"suffix":""},{"dropping-particle":"","family":"Uemura","given":"Yoshimitsu","non-dropping-particle":"","parse-names":false,"suffix":""},{"dropping-particle":"","family":"Chin","given":"Bridgid Lai Fui","non-dropping-particle":"","parse-names":false,"suffix":""},{"dropping-particle":"","family":"Lam","given":"Hon Loong","non-dropping-particle":"","parse-names":false,"suffix":""},{"dropping-particle":"","family":"Shoaibi","given":"Ahmed","non-dropping-particle":"Al","parse-names":false,"suffix":""}],"container-title":"Energy","id":"ITEM-1","issued":{"date-parts":[["2014","10","1"]]},"page":"40-44","publisher":"Elsevier Ltd","title":"Syngas production from palm kernel shell and polyethylene waste blend in fluidized bed catalytic steam co-gasification process","type":"article-journal","volume":"75"},"uris":["http://www.mendeley.com/documents/?uuid=47459dda-aedd-3337-986f-5ff6900e2412"]}],"mendeley":{"formattedCitation":"(Moghadam et al., 2014)","plainTextFormattedCitation":"(Moghadam et al., 2014)","previouslyFormattedCitation":"(Moghadam et al., 2014)"},"properties":{"noteIndex":0},"schema":"https://github.com/citation-style-language/schema/raw/master/csl-citation.json"}</w:instrText>
      </w:r>
      <w:r w:rsidRPr="00E10B6E">
        <w:fldChar w:fldCharType="separate"/>
      </w:r>
      <w:r w:rsidRPr="00E10B6E">
        <w:rPr>
          <w:noProof/>
        </w:rPr>
        <w:t>(Moghadam et al., 2014)</w:t>
      </w:r>
      <w:r w:rsidRPr="00E10B6E">
        <w:fldChar w:fldCharType="end"/>
      </w:r>
      <w:r w:rsidRPr="00E10B6E">
        <w:t xml:space="preserve">. In conclusion, gasification of plastic waste (potentially in combination with biomass) seems to be the most promising technology to process hard-to-recycle plastic waste, reducing the need for virgin plastics and increasing </w:t>
      </w:r>
      <w:r w:rsidRPr="00E10B6E">
        <w:lastRenderedPageBreak/>
        <w:t>the share of recovered carbon content, potentially leading to emissions reduction up to -0.25 kg CO</w:t>
      </w:r>
      <w:r w:rsidRPr="00E10B6E">
        <w:rPr>
          <w:vertAlign w:val="subscript"/>
        </w:rPr>
        <w:t>2</w:t>
      </w:r>
      <w:r w:rsidRPr="00E10B6E">
        <w:t xml:space="preserve">-eq/kg input </w:t>
      </w:r>
      <w:r w:rsidRPr="00E10B6E">
        <w:fldChar w:fldCharType="begin" w:fldLock="1"/>
      </w:r>
      <w:r w:rsidRPr="00E10B6E">
        <w:instrText>ADDIN CSL_CITATION {"citationItems":[{"id":"ITEM-1","itemData":{"author":[{"dropping-particle":"","family":"CE Delft","given":"","non-dropping-particle":"","parse-names":false,"suffix":""}],"id":"ITEM-1","issued":{"date-parts":[["2019"]]},"title":"Exploratory study on chemical recycling. Update 2019 - CE Delft","type":"report"},"uris":["http://www.mendeley.com/documents/?uuid=6a20eec2-242f-3cf8-ac31-580e6957f196"]}],"mendeley":{"formattedCitation":"(CE Delft, 2019)","plainTextFormattedCitation":"(CE Delft, 2019)","previouslyFormattedCitation":"(CE Delft, 2019)"},"properties":{"noteIndex":0},"schema":"https://github.com/citation-style-language/schema/raw/master/csl-citation.json"}</w:instrText>
      </w:r>
      <w:r w:rsidRPr="00E10B6E">
        <w:fldChar w:fldCharType="separate"/>
      </w:r>
      <w:r w:rsidRPr="00E10B6E">
        <w:rPr>
          <w:noProof/>
        </w:rPr>
        <w:t>(CE Delft, 2019)</w:t>
      </w:r>
      <w:r w:rsidRPr="00E10B6E">
        <w:fldChar w:fldCharType="end"/>
      </w:r>
      <w:r w:rsidRPr="00E10B6E">
        <w:t>.</w:t>
      </w:r>
    </w:p>
    <w:p w14:paraId="793EC996" w14:textId="02DED4E4" w:rsidR="006C508C" w:rsidRPr="00E10B6E" w:rsidRDefault="006C508C" w:rsidP="00914619">
      <w:pPr>
        <w:pStyle w:val="Heading3"/>
      </w:pPr>
      <w:bookmarkStart w:id="89" w:name="_Toc54274811"/>
      <w:r w:rsidRPr="00E10B6E">
        <w:t>4.4.</w:t>
      </w:r>
      <w:r w:rsidR="00A03A6D" w:rsidRPr="00E10B6E">
        <w:t>8</w:t>
      </w:r>
      <w:r w:rsidRPr="00E10B6E">
        <w:t xml:space="preserve"> </w:t>
      </w:r>
      <w:r w:rsidR="00966ADC" w:rsidRPr="00E10B6E">
        <w:t>Techno-economic indicators and current projects</w:t>
      </w:r>
      <w:bookmarkEnd w:id="89"/>
      <w:r w:rsidR="00966ADC" w:rsidRPr="00E10B6E">
        <w:t xml:space="preserve"> </w:t>
      </w:r>
    </w:p>
    <w:p w14:paraId="2B0CEDFE" w14:textId="1A61B498" w:rsidR="002507DB" w:rsidRPr="00E10B6E" w:rsidRDefault="002507DB" w:rsidP="002507DB">
      <w:pPr>
        <w:jc w:val="both"/>
      </w:pPr>
      <w:r w:rsidRPr="00E10B6E">
        <w:t xml:space="preserve">The chemical recycling industry is still at its infancy and still need further research. Most pyrolysis and gasification plants for the treatment of plastic waste are in a pilot stage and the deployment of these technologies on a commercial scale can only be expected after 2025. It is thus very difficult to show precise values regarding the economic and environmental indicators of these recycling technologies. </w:t>
      </w:r>
      <w:r w:rsidRPr="00E10B6E">
        <w:fldChar w:fldCharType="begin"/>
      </w:r>
      <w:r w:rsidRPr="00E10B6E">
        <w:instrText xml:space="preserve"> REF _Ref46307056 \h </w:instrText>
      </w:r>
      <w:r w:rsidRPr="00E10B6E">
        <w:fldChar w:fldCharType="separate"/>
      </w:r>
      <w:r w:rsidR="00983F73" w:rsidRPr="00E10B6E">
        <w:t xml:space="preserve">Table </w:t>
      </w:r>
      <w:r w:rsidR="00983F73">
        <w:rPr>
          <w:noProof/>
        </w:rPr>
        <w:t>13</w:t>
      </w:r>
      <w:r w:rsidRPr="00E10B6E">
        <w:fldChar w:fldCharType="end"/>
      </w:r>
      <w:r w:rsidRPr="00E10B6E">
        <w:t xml:space="preserve"> shows the available data, collected from multiple sources.</w:t>
      </w:r>
    </w:p>
    <w:p w14:paraId="2A12FFE4" w14:textId="6BF3861D" w:rsidR="002507DB" w:rsidRPr="00E10B6E" w:rsidRDefault="002507DB" w:rsidP="002507DB">
      <w:pPr>
        <w:pStyle w:val="Caption"/>
        <w:keepNext/>
        <w:jc w:val="both"/>
      </w:pPr>
      <w:bookmarkStart w:id="90" w:name="_Ref46307056"/>
      <w:r w:rsidRPr="00E10B6E">
        <w:t xml:space="preserve">Table </w:t>
      </w:r>
      <w:r w:rsidR="00722F9A">
        <w:fldChar w:fldCharType="begin"/>
      </w:r>
      <w:r w:rsidR="00722F9A">
        <w:instrText xml:space="preserve"> SEQ Table \* ARABIC </w:instrText>
      </w:r>
      <w:r w:rsidR="00722F9A">
        <w:fldChar w:fldCharType="separate"/>
      </w:r>
      <w:r w:rsidR="00983F73">
        <w:rPr>
          <w:noProof/>
        </w:rPr>
        <w:t>13</w:t>
      </w:r>
      <w:r w:rsidR="00722F9A">
        <w:rPr>
          <w:noProof/>
        </w:rPr>
        <w:fldChar w:fldCharType="end"/>
      </w:r>
      <w:bookmarkEnd w:id="90"/>
      <w:r w:rsidRPr="00E10B6E">
        <w:t xml:space="preserve">: Costs of the mechanical </w:t>
      </w:r>
      <w:r w:rsidRPr="00E10B6E">
        <w:fldChar w:fldCharType="begin" w:fldLock="1"/>
      </w:r>
      <w:r w:rsidRPr="00E10B6E">
        <w:instrText>ADDIN CSL_CITATION {"citationItems":[{"id":"ITEM-1","itemData":{"DOI":"10.1016/j.ecolecon.2016.12.021","ISSN":"09218009","abstract":"The cost-effectiveness of two different plastic waste treatment options is compared. This paper evaluates the recycling of plastic waste with the more conventional incineration of plastic waste, using data for the Netherlands. Both options have specific revenues and costs. The main benefit from plastic recycling is the avoidance of CO2 emissions that otherwise would occur during incineration and from the production of virgin (new) plastic material. At the same time, there are significant costs involved, such as collection, separation, sorting, and recycling. The benefit from plastic waste incineration is the energy that can be recovered, which reduces emissions in the regular energy production sector by displacing production. The main cost associated with incineration is that this requires a waste-to-energy plant with the associated capital investments. Summing the costs and revenues from both plastic waste treatment options and comparing the results, leads to an implicit CO2 abatement price of 178 €/t of CO2 in case of plastic recycling. In general, this implicit price is much higher than current (or historic) ETS prices, the estimated external costs of CO2 emissions, or alternatives to reduce CO2 emissions (e.g. renewable energy). A sensitivity analysis shows that this conclusion is robust.","author":[{"dropping-particle":"","family":"Gradus","given":"Raymond H.J.M.","non-dropping-particle":"","parse-names":false,"suffix":""},{"dropping-particle":"","family":"Nillesen","given":"Paul H.L.","non-dropping-particle":"","parse-names":false,"suffix":""},{"dropping-particle":"","family":"Dijkgraaf","given":"Elbert","non-dropping-particle":"","parse-names":false,"suffix":""},{"dropping-particle":"","family":"Koppen","given":"Rick J.","non-dropping-particle":"van","parse-names":false,"suffix":""}],"container-title":"Ecological Economics","id":"ITEM-1","issued":{"date-parts":[["2017","5","1"]]},"page":"22-28","publisher":"Elsevier B.V.","title":"A Cost-effectiveness Analysis for Incineration or Recycling of Dutch Household Plastic Waste","type":"article-journal","volume":"135"},"uris":["http://www.mendeley.com/documents/?uuid=9ac0302b-0d76-3a21-953b-4545cf514036"]}],"mendeley":{"formattedCitation":"(Gradus et al., 2017)","plainTextFormattedCitation":"(Gradus et al., 2017)","previouslyFormattedCitation":"(Gradus et al., 2017)"},"properties":{"noteIndex":0},"schema":"https://github.com/citation-style-language/schema/raw/master/csl-citation.json"}</w:instrText>
      </w:r>
      <w:r w:rsidRPr="00E10B6E">
        <w:fldChar w:fldCharType="separate"/>
      </w:r>
      <w:r w:rsidRPr="00E10B6E">
        <w:rPr>
          <w:i w:val="0"/>
          <w:noProof/>
        </w:rPr>
        <w:t>(Gradus et al., 2017)</w:t>
      </w:r>
      <w:r w:rsidRPr="00E10B6E">
        <w:fldChar w:fldCharType="end"/>
      </w:r>
      <w:r w:rsidRPr="00E10B6E">
        <w:t xml:space="preserve"> and chemical recycling options </w:t>
      </w:r>
      <w:r w:rsidRPr="00E10B6E">
        <w:fldChar w:fldCharType="begin" w:fldLock="1"/>
      </w:r>
      <w:r w:rsidRPr="00E10B6E">
        <w:instrText>ADDIN CSL_CITATION {"citationItems":[{"id":"ITEM-1","itemData":{"DOI":"10.1016/j.energy.2018.02.094","ISSN":"03605442","abstract":"Pyrolysis is widely seen as a promising technology for converting plastic waste into a wax/oil product which can be used as a heavy fuel oil substitute or as raw material by the petrochemical industry. A pyrolysis plant with a capacity of 100 kg/h plastic waste is modelled in the process simulation software Aspen HYSYS. The production costs of the pyrolysis fuel product is estimated at £0.87/kg which is 58% higher than current market prices; therefore, a scaling-up analysis is also carried out to determine the plant capacity for which the pyrolysis process is economically feasible. The fuel production costs of the scaled-up cases considered are approximately 2.2–20.8 times lower than the existing market prices of residual fuel oil, indicating their economic feasibility. For the 1000 kg/h and 10,000 kg/h plant capacity cases the facility needs to operate approximately four years and one year respectively, to recover the capital investment, while the 100,000 kg/h case produces revenue and has a positive NPV within year one. A sensitivity analysis is also carried out revealing that the fuel production rate is the most sensitive parameter for the 100 kg/h plant, as well as the scaled-up plants.","author":[{"dropping-particle":"","family":"Fivga","given":"Antzela","non-dropping-particle":"","parse-names":false,"suffix":""},{"dropping-particle":"","family":"Dimitriou","given":"Ioanna","non-dropping-particle":"","parse-names":false,"suffix":""}],"container-title":"Energy","id":"ITEM-1","issued":{"date-parts":[["2018","4","15"]]},"page":"865-874","publisher":"Elsevier Ltd","title":"Pyrolysis of plastic waste for production of heavy fuel substitute: A techno-economic assessment","type":"article-journal","volume":"149"},"uris":["http://www.mendeley.com/documents/?uuid=c64c4e92-c065-39b2-8b98-cd3a80470824"]}],"mendeley":{"formattedCitation":"(Fivga &amp; Dimitriou, 2018)","plainTextFormattedCitation":"(Fivga &amp; Dimitriou, 2018)","previouslyFormattedCitation":"(Fivga &amp; Dimitriou, 2018)"},"properties":{"noteIndex":0},"schema":"https://github.com/citation-style-language/schema/raw/master/csl-citation.json"}</w:instrText>
      </w:r>
      <w:r w:rsidRPr="00E10B6E">
        <w:fldChar w:fldCharType="separate"/>
      </w:r>
      <w:r w:rsidRPr="00E10B6E">
        <w:rPr>
          <w:i w:val="0"/>
          <w:noProof/>
        </w:rPr>
        <w:t>(Fivga &amp; Dimitriou, 2018)</w:t>
      </w:r>
      <w:r w:rsidRPr="00E10B6E">
        <w:fldChar w:fldCharType="end"/>
      </w:r>
      <w:r w:rsidRPr="00E10B6E">
        <w:t xml:space="preserve"> and CO2 emissions reduction compared to the production of virgin material from naphtha crackers </w:t>
      </w:r>
      <w:r w:rsidRPr="00E10B6E">
        <w:fldChar w:fldCharType="begin" w:fldLock="1"/>
      </w:r>
      <w:r w:rsidRPr="00E10B6E">
        <w:instrText>ADDIN CSL_CITATION {"citationItems":[{"id":"ITEM-1","itemData":{"author":[{"dropping-particle":"","family":"CE Delft","given":"","non-dropping-particle":"","parse-names":false,"suffix":""}],"id":"ITEM-1","issued":{"date-parts":[["2019"]]},"title":"Exploratory study on chemical recycling. Update 2019 - CE Delft","type":"report"},"uris":["http://www.mendeley.com/documents/?uuid=6a20eec2-242f-3cf8-ac31-580e6957f196"]},{"id":"ITEM-2","itemData":{"author":[{"dropping-particle":"","family":"Ligthart","given":"Tom","non-dropping-particle":"","parse-names":false,"suffix":""},{"dropping-particle":"","family":"Vroonhof","given":"Jan","non-dropping-particle":"","parse-names":false,"suffix":""},{"dropping-particle":"","family":"Horssen","given":"Arjan","non-dropping-particle":"van","parse-names":false,"suffix":""}],"id":"ITEM-2","issued":{"date-parts":[["2019"]]},"publisher-place":"Utrecht","title":"CO2-kentallen voor afvalstromen","type":"report"},"uris":["http://www.mendeley.com/documents/?uuid=a1fcd8b7-d955-4f28-8aba-5cca930529c0"]}],"mendeley":{"formattedCitation":"(CE Delft, 2019; Ligthart et al., 2019)","plainTextFormattedCitation":"(CE Delft, 2019; Ligthart et al., 2019)","previouslyFormattedCitation":"(CE Delft, 2019; Ligthart et al., 2019)"},"properties":{"noteIndex":0},"schema":"https://github.com/citation-style-language/schema/raw/master/csl-citation.json"}</w:instrText>
      </w:r>
      <w:r w:rsidRPr="00E10B6E">
        <w:fldChar w:fldCharType="separate"/>
      </w:r>
      <w:r w:rsidRPr="00E10B6E">
        <w:rPr>
          <w:i w:val="0"/>
          <w:noProof/>
        </w:rPr>
        <w:t>(CE Delft, 2019; Ligthart et al., 2019)</w:t>
      </w:r>
      <w:r w:rsidRPr="00E10B6E">
        <w:fldChar w:fldCharType="end"/>
      </w:r>
      <w:r w:rsidRPr="00E10B6E">
        <w:t>.</w:t>
      </w:r>
    </w:p>
    <w:tbl>
      <w:tblPr>
        <w:tblStyle w:val="TableGrid"/>
        <w:tblW w:w="9070" w:type="dxa"/>
        <w:tblLook w:val="04A0" w:firstRow="1" w:lastRow="0" w:firstColumn="1" w:lastColumn="0" w:noHBand="0" w:noVBand="1"/>
      </w:tblPr>
      <w:tblGrid>
        <w:gridCol w:w="2494"/>
        <w:gridCol w:w="1644"/>
        <w:gridCol w:w="1644"/>
        <w:gridCol w:w="1644"/>
        <w:gridCol w:w="1644"/>
      </w:tblGrid>
      <w:tr w:rsidR="002507DB" w:rsidRPr="00E10B6E" w14:paraId="47CA9F70" w14:textId="77777777" w:rsidTr="00124D27">
        <w:trPr>
          <w:trHeight w:val="567"/>
        </w:trPr>
        <w:tc>
          <w:tcPr>
            <w:tcW w:w="2494" w:type="dxa"/>
            <w:shd w:val="clear" w:color="auto" w:fill="4472C4" w:themeFill="accent1"/>
            <w:vAlign w:val="center"/>
          </w:tcPr>
          <w:p w14:paraId="35EFA6C5" w14:textId="77777777" w:rsidR="002507DB" w:rsidRPr="00E10B6E" w:rsidRDefault="002507DB" w:rsidP="002507DB">
            <w:pPr>
              <w:spacing w:line="276" w:lineRule="auto"/>
              <w:jc w:val="center"/>
              <w:rPr>
                <w:b/>
                <w:bCs/>
                <w:color w:val="FFFFFF" w:themeColor="background1"/>
              </w:rPr>
            </w:pPr>
            <w:r w:rsidRPr="00E10B6E">
              <w:rPr>
                <w:b/>
                <w:bCs/>
                <w:color w:val="FFFFFF" w:themeColor="background1"/>
              </w:rPr>
              <w:t>Indicator</w:t>
            </w:r>
          </w:p>
        </w:tc>
        <w:tc>
          <w:tcPr>
            <w:tcW w:w="1644" w:type="dxa"/>
            <w:shd w:val="clear" w:color="auto" w:fill="4472C4" w:themeFill="accent1"/>
            <w:vAlign w:val="center"/>
          </w:tcPr>
          <w:p w14:paraId="45DD9E58" w14:textId="77777777" w:rsidR="002507DB" w:rsidRPr="00E10B6E" w:rsidRDefault="002507DB" w:rsidP="002507DB">
            <w:pPr>
              <w:spacing w:line="276" w:lineRule="auto"/>
              <w:jc w:val="center"/>
              <w:rPr>
                <w:b/>
                <w:bCs/>
                <w:color w:val="FFFFFF" w:themeColor="background1"/>
              </w:rPr>
            </w:pPr>
            <w:r w:rsidRPr="00E10B6E">
              <w:rPr>
                <w:b/>
                <w:bCs/>
                <w:color w:val="FFFFFF" w:themeColor="background1"/>
              </w:rPr>
              <w:t>Mechanical</w:t>
            </w:r>
          </w:p>
        </w:tc>
        <w:tc>
          <w:tcPr>
            <w:tcW w:w="1644" w:type="dxa"/>
            <w:shd w:val="clear" w:color="auto" w:fill="4472C4" w:themeFill="accent1"/>
            <w:vAlign w:val="center"/>
          </w:tcPr>
          <w:p w14:paraId="62107A72" w14:textId="77777777" w:rsidR="002507DB" w:rsidRPr="00E10B6E" w:rsidRDefault="002507DB" w:rsidP="002507DB">
            <w:pPr>
              <w:spacing w:line="276" w:lineRule="auto"/>
              <w:jc w:val="center"/>
              <w:rPr>
                <w:b/>
                <w:bCs/>
                <w:color w:val="FFFFFF" w:themeColor="background1"/>
              </w:rPr>
            </w:pPr>
            <w:r w:rsidRPr="00E10B6E">
              <w:rPr>
                <w:b/>
                <w:bCs/>
                <w:color w:val="FFFFFF" w:themeColor="background1"/>
              </w:rPr>
              <w:t>Solvent-based</w:t>
            </w:r>
          </w:p>
        </w:tc>
        <w:tc>
          <w:tcPr>
            <w:tcW w:w="1644" w:type="dxa"/>
            <w:shd w:val="clear" w:color="auto" w:fill="4472C4" w:themeFill="accent1"/>
            <w:vAlign w:val="center"/>
          </w:tcPr>
          <w:p w14:paraId="2D365782" w14:textId="77777777" w:rsidR="002507DB" w:rsidRPr="00E10B6E" w:rsidRDefault="002507DB" w:rsidP="002507DB">
            <w:pPr>
              <w:spacing w:line="276" w:lineRule="auto"/>
              <w:jc w:val="center"/>
              <w:rPr>
                <w:b/>
                <w:bCs/>
                <w:color w:val="FFFFFF" w:themeColor="background1"/>
              </w:rPr>
            </w:pPr>
            <w:r w:rsidRPr="00E10B6E">
              <w:rPr>
                <w:b/>
                <w:bCs/>
                <w:color w:val="FFFFFF" w:themeColor="background1"/>
              </w:rPr>
              <w:t>Pyrolysis</w:t>
            </w:r>
          </w:p>
        </w:tc>
        <w:tc>
          <w:tcPr>
            <w:tcW w:w="1644" w:type="dxa"/>
            <w:shd w:val="clear" w:color="auto" w:fill="4472C4" w:themeFill="accent1"/>
            <w:vAlign w:val="center"/>
          </w:tcPr>
          <w:p w14:paraId="18C7E5E1" w14:textId="77777777" w:rsidR="002507DB" w:rsidRPr="00E10B6E" w:rsidRDefault="002507DB" w:rsidP="002507DB">
            <w:pPr>
              <w:spacing w:line="276" w:lineRule="auto"/>
              <w:jc w:val="center"/>
              <w:rPr>
                <w:b/>
                <w:bCs/>
                <w:color w:val="FFFFFF" w:themeColor="background1"/>
              </w:rPr>
            </w:pPr>
            <w:r w:rsidRPr="00E10B6E">
              <w:rPr>
                <w:b/>
                <w:bCs/>
                <w:color w:val="FFFFFF" w:themeColor="background1"/>
              </w:rPr>
              <w:t>Gasification</w:t>
            </w:r>
          </w:p>
        </w:tc>
      </w:tr>
      <w:tr w:rsidR="002507DB" w:rsidRPr="00E10B6E" w14:paraId="64DEAA26" w14:textId="77777777" w:rsidTr="00124D27">
        <w:trPr>
          <w:trHeight w:val="567"/>
        </w:trPr>
        <w:tc>
          <w:tcPr>
            <w:tcW w:w="2494" w:type="dxa"/>
            <w:vAlign w:val="center"/>
          </w:tcPr>
          <w:p w14:paraId="43535617" w14:textId="77777777" w:rsidR="002507DB" w:rsidRPr="00E10B6E" w:rsidRDefault="002507DB" w:rsidP="002507DB">
            <w:pPr>
              <w:spacing w:line="276" w:lineRule="auto"/>
              <w:jc w:val="center"/>
            </w:pPr>
            <w:r w:rsidRPr="00E10B6E">
              <w:t>Costs (€</w:t>
            </w:r>
            <w:r w:rsidRPr="00E10B6E">
              <w:rPr>
                <w:vertAlign w:val="subscript"/>
              </w:rPr>
              <w:t>2020</w:t>
            </w:r>
            <w:r w:rsidRPr="00E10B6E">
              <w:t>/t input waste)</w:t>
            </w:r>
          </w:p>
        </w:tc>
        <w:tc>
          <w:tcPr>
            <w:tcW w:w="1644" w:type="dxa"/>
            <w:vAlign w:val="center"/>
          </w:tcPr>
          <w:p w14:paraId="6F1A985A" w14:textId="77777777" w:rsidR="002507DB" w:rsidRPr="00E10B6E" w:rsidRDefault="002507DB" w:rsidP="002507DB">
            <w:pPr>
              <w:spacing w:line="276" w:lineRule="auto"/>
              <w:jc w:val="center"/>
            </w:pPr>
            <w:r w:rsidRPr="00E10B6E">
              <w:t>767</w:t>
            </w:r>
          </w:p>
        </w:tc>
        <w:tc>
          <w:tcPr>
            <w:tcW w:w="1644" w:type="dxa"/>
            <w:vAlign w:val="center"/>
          </w:tcPr>
          <w:p w14:paraId="6A53B964" w14:textId="77777777" w:rsidR="002507DB" w:rsidRPr="00E10B6E" w:rsidRDefault="002507DB" w:rsidP="002507DB">
            <w:pPr>
              <w:spacing w:line="276" w:lineRule="auto"/>
              <w:jc w:val="center"/>
            </w:pPr>
            <w:r w:rsidRPr="00E10B6E">
              <w:t>n.a.</w:t>
            </w:r>
          </w:p>
        </w:tc>
        <w:tc>
          <w:tcPr>
            <w:tcW w:w="1644" w:type="dxa"/>
            <w:vAlign w:val="center"/>
          </w:tcPr>
          <w:p w14:paraId="28FC258B" w14:textId="77777777" w:rsidR="002507DB" w:rsidRPr="00E10B6E" w:rsidRDefault="002507DB" w:rsidP="002507DB">
            <w:pPr>
              <w:spacing w:line="276" w:lineRule="auto"/>
              <w:jc w:val="center"/>
            </w:pPr>
            <w:r w:rsidRPr="00E10B6E">
              <w:t>330</w:t>
            </w:r>
          </w:p>
        </w:tc>
        <w:tc>
          <w:tcPr>
            <w:tcW w:w="1644" w:type="dxa"/>
            <w:vAlign w:val="center"/>
          </w:tcPr>
          <w:p w14:paraId="6C3914C5" w14:textId="77777777" w:rsidR="002507DB" w:rsidRPr="00E10B6E" w:rsidRDefault="002507DB" w:rsidP="002507DB">
            <w:pPr>
              <w:spacing w:line="276" w:lineRule="auto"/>
              <w:jc w:val="center"/>
            </w:pPr>
            <w:r w:rsidRPr="00E10B6E">
              <w:t>n.a.</w:t>
            </w:r>
          </w:p>
        </w:tc>
      </w:tr>
      <w:tr w:rsidR="002507DB" w:rsidRPr="00E10B6E" w14:paraId="3D0F4E36" w14:textId="77777777" w:rsidTr="00124D27">
        <w:trPr>
          <w:trHeight w:val="567"/>
        </w:trPr>
        <w:tc>
          <w:tcPr>
            <w:tcW w:w="2494" w:type="dxa"/>
            <w:vAlign w:val="center"/>
          </w:tcPr>
          <w:p w14:paraId="4D3252E3" w14:textId="77777777" w:rsidR="002507DB" w:rsidRPr="00E10B6E" w:rsidRDefault="002507DB" w:rsidP="002507DB">
            <w:pPr>
              <w:spacing w:line="276" w:lineRule="auto"/>
              <w:jc w:val="center"/>
              <w:rPr>
                <w:i/>
                <w:iCs/>
              </w:rPr>
            </w:pPr>
            <w:r w:rsidRPr="00E10B6E">
              <w:t>GHG emissions reduction (tCO</w:t>
            </w:r>
            <w:r w:rsidRPr="00E10B6E">
              <w:rPr>
                <w:vertAlign w:val="subscript"/>
              </w:rPr>
              <w:t>2</w:t>
            </w:r>
            <w:r w:rsidRPr="00E10B6E">
              <w:t>-eq/t input waste)</w:t>
            </w:r>
          </w:p>
        </w:tc>
        <w:tc>
          <w:tcPr>
            <w:tcW w:w="1644" w:type="dxa"/>
            <w:vAlign w:val="center"/>
          </w:tcPr>
          <w:p w14:paraId="1EA2BB90" w14:textId="77777777" w:rsidR="002507DB" w:rsidRPr="00E10B6E" w:rsidRDefault="002507DB" w:rsidP="002507DB">
            <w:pPr>
              <w:spacing w:line="276" w:lineRule="auto"/>
              <w:jc w:val="center"/>
            </w:pPr>
            <w:r w:rsidRPr="00E10B6E">
              <w:t>-0.50</w:t>
            </w:r>
          </w:p>
        </w:tc>
        <w:tc>
          <w:tcPr>
            <w:tcW w:w="1644" w:type="dxa"/>
            <w:vAlign w:val="center"/>
          </w:tcPr>
          <w:p w14:paraId="640248C5" w14:textId="77777777" w:rsidR="002507DB" w:rsidRPr="00E10B6E" w:rsidRDefault="002507DB" w:rsidP="002507DB">
            <w:pPr>
              <w:spacing w:line="276" w:lineRule="auto"/>
              <w:jc w:val="center"/>
            </w:pPr>
            <w:r w:rsidRPr="00E10B6E">
              <w:t>n.a.</w:t>
            </w:r>
          </w:p>
        </w:tc>
        <w:tc>
          <w:tcPr>
            <w:tcW w:w="1644" w:type="dxa"/>
            <w:vAlign w:val="center"/>
          </w:tcPr>
          <w:p w14:paraId="46AE9604" w14:textId="77777777" w:rsidR="002507DB" w:rsidRPr="00E10B6E" w:rsidRDefault="002507DB" w:rsidP="002507DB">
            <w:pPr>
              <w:spacing w:line="276" w:lineRule="auto"/>
              <w:jc w:val="center"/>
            </w:pPr>
            <w:r w:rsidRPr="00E10B6E">
              <w:t>-0.20</w:t>
            </w:r>
          </w:p>
        </w:tc>
        <w:tc>
          <w:tcPr>
            <w:tcW w:w="1644" w:type="dxa"/>
            <w:vAlign w:val="center"/>
          </w:tcPr>
          <w:p w14:paraId="32BDF93C" w14:textId="77777777" w:rsidR="002507DB" w:rsidRPr="00E10B6E" w:rsidRDefault="002507DB" w:rsidP="002507DB">
            <w:pPr>
              <w:spacing w:line="276" w:lineRule="auto"/>
              <w:jc w:val="center"/>
            </w:pPr>
            <w:r w:rsidRPr="00E10B6E">
              <w:t>-0.25</w:t>
            </w:r>
          </w:p>
        </w:tc>
      </w:tr>
    </w:tbl>
    <w:p w14:paraId="72871149" w14:textId="65D18D80" w:rsidR="00124D27" w:rsidRPr="00E10B6E" w:rsidRDefault="00124D27" w:rsidP="00124D27">
      <w:pPr>
        <w:jc w:val="both"/>
      </w:pPr>
      <w:r w:rsidRPr="00E10B6E">
        <w:br/>
        <w:t xml:space="preserve">Among the chemical recycling projects in The Netherlands, </w:t>
      </w:r>
      <w:r w:rsidR="000A2963" w:rsidRPr="00E10B6E">
        <w:t>the following news ha</w:t>
      </w:r>
      <w:r w:rsidR="00F52340" w:rsidRPr="00E10B6E">
        <w:t>s</w:t>
      </w:r>
      <w:r w:rsidR="000A2963" w:rsidRPr="00E10B6E">
        <w:t xml:space="preserve"> been gathered</w:t>
      </w:r>
      <w:r w:rsidRPr="00E10B6E">
        <w:t>:</w:t>
      </w:r>
    </w:p>
    <w:p w14:paraId="30AAFDF5" w14:textId="571F6CE7" w:rsidR="00124D27" w:rsidRPr="00E10B6E" w:rsidRDefault="00124D27" w:rsidP="00124D27">
      <w:pPr>
        <w:pStyle w:val="ListParagraph"/>
        <w:numPr>
          <w:ilvl w:val="0"/>
          <w:numId w:val="21"/>
        </w:numPr>
        <w:spacing w:after="0" w:line="260" w:lineRule="atLeast"/>
        <w:jc w:val="both"/>
      </w:pPr>
      <w:r w:rsidRPr="00E10B6E">
        <w:t xml:space="preserve">Dow Terneuzen announced a partnership with the Dutch company Fuenix Ecogy Group for the supply of pyrolysis oil, which will be used by Dow to produce new polymers. The collaboration will help Dow Terneuzen in its goal to produce at least 100 kt of recycled plastics (around 9% of their current LDPE and PP production) by 2025 </w:t>
      </w:r>
      <w:r w:rsidRPr="00E10B6E">
        <w:fldChar w:fldCharType="begin" w:fldLock="1"/>
      </w:r>
      <w:r w:rsidRPr="00E10B6E">
        <w:instrText>ADDIN CSL_CITATION {"citationItems":[{"id":"ITEM-1","itemData":{"URL":"https://corporate.dow.com/en-us/news/press-releases/dow-and-fuenix-enter-into-a-partnership-for-the-production-of-10.html","accessed":{"date-parts":[["2020","7","8"]]},"author":[{"dropping-particle":"","family":"Dow","given":"","non-dropping-particle":"","parse-names":false,"suffix":""}],"id":"ITEM-1","issued":{"date-parts":[["2019","8","29"]]},"title":"Dow and Fuenix enter into a partnership for the production of 100% circular plastic","type":"webpage"},"uris":["http://www.mendeley.com/documents/?uuid=ba1c5b2d-01ad-3ac9-ad5b-aaf20efabe76"]}],"mendeley":{"formattedCitation":"(Dow, 2019b)","plainTextFormattedCitation":"(Dow, 2019b)","previouslyFormattedCitation":"(Dow, 2019b)"},"properties":{"noteIndex":0},"schema":"https://github.com/citation-style-language/schema/raw/master/csl-citation.json"}</w:instrText>
      </w:r>
      <w:r w:rsidRPr="00E10B6E">
        <w:fldChar w:fldCharType="separate"/>
      </w:r>
      <w:r w:rsidRPr="00E10B6E">
        <w:rPr>
          <w:noProof/>
        </w:rPr>
        <w:t>(Dow, 2019b)</w:t>
      </w:r>
      <w:r w:rsidRPr="00E10B6E">
        <w:fldChar w:fldCharType="end"/>
      </w:r>
      <w:r w:rsidRPr="00E10B6E">
        <w:t>.</w:t>
      </w:r>
    </w:p>
    <w:p w14:paraId="09E38FD2" w14:textId="064E4A8D" w:rsidR="00124D27" w:rsidRPr="00E10B6E" w:rsidRDefault="00124D27" w:rsidP="00124D27">
      <w:pPr>
        <w:pStyle w:val="ListParagraph"/>
        <w:numPr>
          <w:ilvl w:val="0"/>
          <w:numId w:val="21"/>
        </w:numPr>
        <w:spacing w:after="0" w:line="260" w:lineRule="atLeast"/>
        <w:jc w:val="both"/>
      </w:pPr>
      <w:r w:rsidRPr="00E10B6E">
        <w:t xml:space="preserve">SABIC started a collaboration with Renewi and Plastic Energy to realize a chemical recycling plant in the Chemelot site to process low-quality mixed plastic waste to use as feedstock for their steam crackers. The plant will use pyrolysis technology to convert the plastic waste into feedstock, thus reducing both the flow of low-quality waste to incineration and the demand for fossil naphtha. The project is expected to be operational by 2021, helping SABIC in its goal to process 200 </w:t>
      </w:r>
      <w:r w:rsidR="000B7C74" w:rsidRPr="00E10B6E">
        <w:t>kt</w:t>
      </w:r>
      <w:r w:rsidRPr="00E10B6E">
        <w:t xml:space="preserve">/year of recycled plastics by 2025 </w:t>
      </w:r>
      <w:r w:rsidRPr="00E10B6E">
        <w:fldChar w:fldCharType="begin" w:fldLock="1"/>
      </w:r>
      <w:r w:rsidRPr="00E10B6E">
        <w:instrText>ADDIN CSL_CITATION {"citationItems":[{"id":"ITEM-1","itemData":{"URL":"https://www.renewi.com/over-renewi/onze-rol/actueel/renewi-start-samenwerking-met-sabic-en-plastic-energy","accessed":{"date-parts":[["2020","6","18"]]},"author":[{"dropping-particle":"","family":"Renewi","given":"","non-dropping-particle":"","parse-names":false,"suffix":""}],"id":"ITEM-1","issued":{"date-parts":[["2018","12","11"]]},"title":"Renewi starts collaboration with Sabic and Plastic Energy","type":"webpage"},"uris":["http://www.mendeley.com/documents/?uuid=cc50c87a-9374-3d85-acbf-e642247ae7af"]},{"id":"ITEM-2","itemData":{"URL":"https://www.chemelot.nl/nieuws/samenwerking-sabic-en-plastic-energy-stap-verduurzaming","accessed":{"date-parts":[["2020","7","9"]]},"author":[{"dropping-particle":"","family":"Chemelot","given":"","non-dropping-particle":"","parse-names":false,"suffix":""}],"id":"ITEM-2","issued":{"date-parts":[["2018","12","7"]]},"title":"SABIC and PLASTIC ENERGY cooperation important step in further sustainability","type":"webpage"},"uris":["http://www.mendeley.com/documents/?uuid=5a0745d8-f3fc-3722-9f86-b941c992399d"]}],"mendeley":{"formattedCitation":"(Chemelot, 2018; Renewi, 2018)","plainTextFormattedCitation":"(Chemelot, 2018; Renewi, 2018)","previouslyFormattedCitation":"(Chemelot, 2018; Renewi, 2018)"},"properties":{"noteIndex":0},"schema":"https://github.com/citation-style-language/schema/raw/master/csl-citation.json"}</w:instrText>
      </w:r>
      <w:r w:rsidRPr="00E10B6E">
        <w:fldChar w:fldCharType="separate"/>
      </w:r>
      <w:r w:rsidRPr="00E10B6E">
        <w:rPr>
          <w:noProof/>
        </w:rPr>
        <w:t>(Chemelot, 2018; Renewi, 2018)</w:t>
      </w:r>
      <w:r w:rsidRPr="00E10B6E">
        <w:fldChar w:fldCharType="end"/>
      </w:r>
      <w:r w:rsidRPr="00E10B6E">
        <w:t xml:space="preserve">. </w:t>
      </w:r>
    </w:p>
    <w:p w14:paraId="4FB3F128" w14:textId="506EBDCB" w:rsidR="000A2963" w:rsidRPr="00E10B6E" w:rsidRDefault="000A2963" w:rsidP="000A2963">
      <w:pPr>
        <w:pStyle w:val="ListParagraph"/>
        <w:numPr>
          <w:ilvl w:val="0"/>
          <w:numId w:val="21"/>
        </w:numPr>
        <w:spacing w:after="0" w:line="260" w:lineRule="atLeast"/>
        <w:jc w:val="both"/>
      </w:pPr>
      <w:r w:rsidRPr="00E10B6E">
        <w:t xml:space="preserve">Recycling is already one of the most interesting options for plastics producers in the Netherlands, and both mechanic and chemical recycling are included in the circular economy strategy of the Rotterdam Port, the biggest industrial cluster of the country </w:t>
      </w:r>
      <w:r w:rsidRPr="00E10B6E">
        <w:fldChar w:fldCharType="begin" w:fldLock="1"/>
      </w:r>
      <w:r w:rsidR="004E2E26" w:rsidRPr="00E10B6E">
        <w:instrText>ADDIN CSL_CITATION {"citationItems":[{"id":"ITEM-1","itemData":{"author":[{"dropping-particle":"","family":"Port of Rotterdam","given":"","non-dropping-particle":"","parse-names":false,"suffix":""}],"id":"ITEM-1","issued":{"date-parts":[["2019","1"]]},"title":"Circular Economy position paper","type":"report"},"uris":["http://www.mendeley.com/documents/?uuid=368a95bf-53c6-32ed-be46-2b26f496fa09"]}],"mendeley":{"formattedCitation":"(Port of Rotterdam, 2019b)","plainTextFormattedCitation":"(Port of Rotterdam, 2019b)","previouslyFormattedCitation":"(Port of Rotterdam, 2019b)"},"properties":{"noteIndex":0},"schema":"https://github.com/citation-style-language/schema/raw/master/csl-citation.json"}</w:instrText>
      </w:r>
      <w:r w:rsidRPr="00E10B6E">
        <w:fldChar w:fldCharType="separate"/>
      </w:r>
      <w:r w:rsidR="00966C5A" w:rsidRPr="00E10B6E">
        <w:rPr>
          <w:noProof/>
        </w:rPr>
        <w:t>(Port of Rotterdam, 2019b)</w:t>
      </w:r>
      <w:r w:rsidRPr="00E10B6E">
        <w:fldChar w:fldCharType="end"/>
      </w:r>
      <w:r w:rsidRPr="00E10B6E">
        <w:t xml:space="preserve">. </w:t>
      </w:r>
    </w:p>
    <w:p w14:paraId="528844AD" w14:textId="77777777" w:rsidR="00A039DD" w:rsidRPr="00E10B6E" w:rsidRDefault="00617A39" w:rsidP="00124D27">
      <w:pPr>
        <w:pStyle w:val="ListParagraph"/>
        <w:numPr>
          <w:ilvl w:val="0"/>
          <w:numId w:val="21"/>
        </w:numPr>
        <w:spacing w:after="0" w:line="260" w:lineRule="atLeast"/>
        <w:jc w:val="both"/>
      </w:pPr>
      <w:r w:rsidRPr="00E10B6E">
        <w:t>“</w:t>
      </w:r>
      <w:r w:rsidR="00124D27" w:rsidRPr="00E10B6E">
        <w:t>Pyrolyseproeftuin Moerdijk</w:t>
      </w:r>
      <w:r w:rsidRPr="00E10B6E">
        <w:t>”</w:t>
      </w:r>
      <w:r w:rsidR="00124D27" w:rsidRPr="00E10B6E">
        <w:t xml:space="preserve"> is a pyrolysis project in the Southern part of the Netherlands supported by various private and public parties. Among other experimental projects, the company Teknow Systems developed a pilot set-up for the recycling of plastic waste </w:t>
      </w:r>
      <w:r w:rsidR="00124D27" w:rsidRPr="00E10B6E">
        <w:fldChar w:fldCharType="begin" w:fldLock="1"/>
      </w:r>
      <w:r w:rsidR="00124D27" w:rsidRPr="00E10B6E">
        <w:instrText>ADDIN CSL_CITATION {"citationItems":[{"id":"ITEM-1","itemData":{"URL":"https://recyclingnederland.nl/agri/pyrolyseproeftuin-moerdijk/","accessed":{"date-parts":[["2020","7","22"]]},"author":[{"dropping-particle":"","family":"Recycling Netherlands","given":"","non-dropping-particle":"","parse-names":false,"suffix":""}],"id":"ITEM-1","issued":{"date-parts":[["2019"]]},"title":"Pyrolysis testing ground Moerdijk","type":"webpage"},"uris":["http://www.mendeley.com/documents/?uuid=9dae7491-0341-36d8-bf48-36cc509e59f3"]}],"mendeley":{"formattedCitation":"(Recycling Netherlands, 2019)","plainTextFormattedCitation":"(Recycling Netherlands, 2019)","previouslyFormattedCitation":"(Recycling Netherlands, 2019)"},"properties":{"noteIndex":0},"schema":"https://github.com/citation-style-language/schema/raw/master/csl-citation.json"}</w:instrText>
      </w:r>
      <w:r w:rsidR="00124D27" w:rsidRPr="00E10B6E">
        <w:fldChar w:fldCharType="separate"/>
      </w:r>
      <w:r w:rsidR="00124D27" w:rsidRPr="00E10B6E">
        <w:rPr>
          <w:noProof/>
        </w:rPr>
        <w:t>(Recycling Netherlands, 2019)</w:t>
      </w:r>
      <w:r w:rsidR="00124D27" w:rsidRPr="00E10B6E">
        <w:fldChar w:fldCharType="end"/>
      </w:r>
      <w:r w:rsidR="00124D27" w:rsidRPr="00E10B6E">
        <w:t>.</w:t>
      </w:r>
    </w:p>
    <w:p w14:paraId="6A9C6D4A" w14:textId="77777777" w:rsidR="00A039DD" w:rsidRPr="00E10B6E" w:rsidRDefault="00A039DD" w:rsidP="00A039DD">
      <w:pPr>
        <w:spacing w:after="0" w:line="260" w:lineRule="atLeast"/>
        <w:jc w:val="both"/>
      </w:pPr>
    </w:p>
    <w:p w14:paraId="6758DE90" w14:textId="77777777" w:rsidR="00A039DD" w:rsidRPr="00E10B6E" w:rsidRDefault="00A039DD" w:rsidP="00A039DD">
      <w:pPr>
        <w:pStyle w:val="Heading3"/>
      </w:pPr>
      <w:bookmarkStart w:id="91" w:name="_Toc54274812"/>
      <w:r w:rsidRPr="00E10B6E">
        <w:t>4.4.9 Other decarbonisation options</w:t>
      </w:r>
      <w:bookmarkEnd w:id="91"/>
    </w:p>
    <w:p w14:paraId="2692B15F" w14:textId="12A70019" w:rsidR="00A039DD" w:rsidRPr="00E10B6E" w:rsidRDefault="007A6517" w:rsidP="004D2A88">
      <w:pPr>
        <w:pStyle w:val="ListParagraph"/>
        <w:numPr>
          <w:ilvl w:val="0"/>
          <w:numId w:val="25"/>
        </w:numPr>
        <w:jc w:val="both"/>
      </w:pPr>
      <w:r w:rsidRPr="00E10B6E">
        <w:rPr>
          <w:b/>
          <w:bCs/>
        </w:rPr>
        <w:t>Biomass fuel for cogeneration</w:t>
      </w:r>
      <w:r w:rsidRPr="00E10B6E">
        <w:t xml:space="preserve">: the electricity and steam required to produce polyolefins are usually generated by combined-heat-power (CHP) plants, which normally consist </w:t>
      </w:r>
      <w:r w:rsidR="00F52340" w:rsidRPr="00E10B6E">
        <w:t>of</w:t>
      </w:r>
      <w:r w:rsidRPr="00E10B6E">
        <w:t xml:space="preserve"> natural gas-fired turbines paired with a steam boiler. To reduce the GHG emissions caused by the combustion of natural gas, the producers could choose to use bio-based fuels. As the CO</w:t>
      </w:r>
      <w:r w:rsidRPr="00E10B6E">
        <w:rPr>
          <w:vertAlign w:val="subscript"/>
        </w:rPr>
        <w:t xml:space="preserve">2 </w:t>
      </w:r>
      <w:r w:rsidRPr="00E10B6E">
        <w:t xml:space="preserve">absorbed by the vegetation during its growth is almost the same as the one emitted when burning it, biomass is usually considered carbon neutral if the areas harvested are reforested </w:t>
      </w:r>
      <w:r w:rsidRPr="00E10B6E">
        <w:fldChar w:fldCharType="begin" w:fldLock="1"/>
      </w:r>
      <w:r w:rsidRPr="00E10B6E">
        <w:instrText>ADDIN CSL_CITATION {"citationItems":[{"id":"ITEM-1","itemData":{"DOI":"10.1016/j.energy.2010.06.003","ISSN":"03605442","abstract":"One way of producing nearly CO2 free electricity is by using biomass as a combustible. In many cases, removal of CO2 in biomass grown is almost the same as the emissions for the bioelectricity production at the power plant. For this reason, bioelectricity is generally considered CO2 neutral. For large-scale biomass electricity generation two alternatives can be considered: biomass-only fired power plants, or cofiring in an existing coal power plant. Among other factors, two important aspects should be analyzed in order to choose between the two options. Firstly, which is the most appealing alternative if their Greenhouse Gases (GHG) Emissions savings are taken into account. Secondly, which biomass resource is the best, if the highest impact reduction is sought. In order to quantify all the GHG emissions related to each system, a Life Cycle Assessment (LCA) methodology has been performed and all the processes involved in each alternative have been assessed in a cradle-to-grave manner. Sensitivity analyses of the most dominant parameters affecting GHG emissions, and comparisons between the obtained results, have also been carried out. © 2010 Elsevier Ltd.","author":[{"dropping-particle":"","family":"Sebastián","given":"F.","non-dropping-particle":"","parse-names":false,"suffix":""},{"dropping-particle":"","family":"Royo","given":"J.","non-dropping-particle":"","parse-names":false,"suffix":""},{"dropping-particle":"","family":"Gómez","given":"M.","non-dropping-particle":"","parse-names":false,"suffix":""}],"container-title":"Energy","id":"ITEM-1","issue":"4","issued":{"date-parts":[["2011","4","1"]]},"page":"2029-2037","publisher":"Elsevier Ltd","title":"Cofiring versus biomass-fired power plants: GHG (Greenhouse Gases) emissions savings comparison by means of LCA (Life Cycle Assessment) methodology","type":"article-journal","volume":"36"},"uris":["http://www.mendeley.com/documents/?uuid=253030ce-9e00-3900-9f0b-c0fa9bf9a3b0"]}],"mendeley":{"formattedCitation":"(Sebastián et al., 2011)","plainTextFormattedCitation":"(Sebastián et al., 2011)","previouslyFormattedCitation":"(Sebastián et al., 2011)"},"properties":{"noteIndex":0},"schema":"https://github.com/citation-style-language/schema/raw/master/csl-citation.json"}</w:instrText>
      </w:r>
      <w:r w:rsidRPr="00E10B6E">
        <w:fldChar w:fldCharType="separate"/>
      </w:r>
      <w:r w:rsidRPr="00E10B6E">
        <w:rPr>
          <w:noProof/>
        </w:rPr>
        <w:t>(Sebastián et al., 2011)</w:t>
      </w:r>
      <w:r w:rsidRPr="00E10B6E">
        <w:fldChar w:fldCharType="end"/>
      </w:r>
      <w:r w:rsidRPr="00E10B6E">
        <w:t>.</w:t>
      </w:r>
      <w:r w:rsidR="004D2A88" w:rsidRPr="00E10B6E">
        <w:t xml:space="preserve"> Some case studies suggest that the payback period of bio-CHP is the 5-11 years range </w:t>
      </w:r>
      <w:r w:rsidR="004D2A88" w:rsidRPr="00E10B6E">
        <w:fldChar w:fldCharType="begin" w:fldLock="1"/>
      </w:r>
      <w:r w:rsidR="004D2A88" w:rsidRPr="00E10B6E">
        <w:instrText xml:space="preserve">ADDIN CSL_CITATION {"citationItems":[{"id":"ITEM-1","itemData":{"DOI":"10.12720/joace.2.1.89-93","abstract":"Climate change, mainly caused by increased greenhouse gases, and reduced fossil fuel reserves, has launched a more intensive use of renewable energy on a global scale. One example of application of the renewable energy is the use of biogas which is produced from livestock manure at the farmyards. The most important goal of building a biogas plant is the environment protection. In addition, it is possible to realize the positive socioeconomic effects, promote rural development and make better use of human and material resources at the local level. However, the construction of cogeneration heat and power plant is a complex technical, organizational and investment venture. The objective of this paper is to present a feasibility analysis of biogas power plants for combined heat and power generation including different aspects such as available biomass resources, heat and electricity producing, verification of the requirements for connecting power plant to the grid, as well as analysis of the economic viability. </w:instrText>
      </w:r>
      <w:r w:rsidR="004D2A88" w:rsidRPr="00E10B6E">
        <w:instrText>","author":[{"dropping-particle":"","family":"Ciric","given":"Rade M","non-dropping-particle":"","parse-names":false,"suffix":""},{"dropping-particle":"","family":"Kuzmanovic","given":"Zoran","non-dropping-particle":"","parse-names":false,"suffix":""}],"container-title":"Journal of Automation and Control Engineering","id":"ITEM-1","issue":"1","issued":{"date-parts":[["2014"]]},"page":"89-93","title":"Techno-Economic Analysis of Biogas Powered Cogeneration","type":"article-journal","volume":"2"},"uris":["http://www.mendeley.com/documents/?uuid=04ddd992-e129-3aa2-844e-2d7009a856c0"]}],"mendeley":{"formattedCitation":"(Ciric &amp; Kuzmanovic, 2014)","plainTextFormattedCitation":"(Ciric &amp; Kuzmanovic, 2014)","previouslyFormattedCitation":"(Ciric &amp; Kuzmanovic, 2014)"},"properties":{"noteIndex":0},"schema":"https://github.com/citation-style-language/schema/raw/master/csl-citation.json"}</w:instrText>
      </w:r>
      <w:r w:rsidR="004D2A88" w:rsidRPr="00E10B6E">
        <w:fldChar w:fldCharType="separate"/>
      </w:r>
      <w:r w:rsidR="004D2A88" w:rsidRPr="00E10B6E">
        <w:rPr>
          <w:noProof/>
        </w:rPr>
        <w:t>(Ciric &amp; Kuzmanovic, 2014)</w:t>
      </w:r>
      <w:r w:rsidR="004D2A88" w:rsidRPr="00E10B6E">
        <w:fldChar w:fldCharType="end"/>
      </w:r>
      <w:r w:rsidR="004D2A88" w:rsidRPr="00E10B6E">
        <w:t xml:space="preserve">, while the actual environmental performance depends on the supply chain, the </w:t>
      </w:r>
      <w:r w:rsidR="004D2A88" w:rsidRPr="00E10B6E">
        <w:lastRenderedPageBreak/>
        <w:t xml:space="preserve">type of biomass and the competition for soil with edible crops, but in the best-case scenario the overall emissions can be ten times lower than when using natural gas </w:t>
      </w:r>
      <w:r w:rsidR="004D2A88" w:rsidRPr="00E10B6E">
        <w:fldChar w:fldCharType="begin" w:fldLock="1"/>
      </w:r>
      <w:r w:rsidR="004D2A88" w:rsidRPr="00E10B6E">
        <w:instrText>ADDIN CSL_CITATION {"citationItems":[{"id":"ITEM-1","itemData":{"abstract":"As part of its efforts to reduce the environmental impacts of energy production and use, the U.S.\nEnvironmental Protection Agency (EPA) has engaged in outreach and technical assistance to broadly\nincrease understanding and use of highly efficient combined heat and power (CHP) applications through\nthe efforts of the CHP Partnership program. Over the past three years, market and policy forces have\ndriven strong interest and early implementation of new biomass-fueled CHP projects by Partners and\nother clean energy stakeholders. In the interest of continuing the trend toward greater utilization of\nbiomass fuels to power clean, efficient electricity and thermal energy generation, this document provides\nresource owners, facility managers, developers, policymakers, and other interested parties with a detailed\ntechnology characterization of biomass CHP systems. The report reviews the technical and economic\ncharacterization of biomass resources, biomass preparation, energy conversion technologies, power\nproduction systems, and complete integrated systems. ","author":[{"dropping-particle":"","family":"US EPA","given":"","non-dropping-particle":"","parse-names":false,"suffix":""}],"id":"ITEM-1","issued":{"date-parts":[["2007"]]},"title":"Biomass Combined Heat and Power Catalog of Technologies.","type":"report"},"uris":["http://www.mendeley.com/documents/?uuid=1f4a0e78-fffe-32d1-890d-e81d94ec55fd"]}],"mendeley":{"formattedCitation":"(US EPA, 2007)","plainTextFormattedCitation":"(US EPA, 2007)","previouslyFormattedCitation":"(US EPA, 2007)"},"properties":{"noteIndex":0},"schema":"https://github.com/citation-style-language/schema/raw/master/csl-citation.json"}</w:instrText>
      </w:r>
      <w:r w:rsidR="004D2A88" w:rsidRPr="00E10B6E">
        <w:fldChar w:fldCharType="separate"/>
      </w:r>
      <w:r w:rsidR="004D2A88" w:rsidRPr="00E10B6E">
        <w:rPr>
          <w:noProof/>
        </w:rPr>
        <w:t>(US EPA, 2007)</w:t>
      </w:r>
      <w:r w:rsidR="004D2A88" w:rsidRPr="00E10B6E">
        <w:fldChar w:fldCharType="end"/>
      </w:r>
      <w:r w:rsidR="004D2A88" w:rsidRPr="00E10B6E">
        <w:t>.</w:t>
      </w:r>
    </w:p>
    <w:p w14:paraId="51E78F0A" w14:textId="6AF5CF55" w:rsidR="007A6517" w:rsidRPr="00E10B6E" w:rsidRDefault="007A6517" w:rsidP="002326F1">
      <w:pPr>
        <w:pStyle w:val="ListParagraph"/>
        <w:numPr>
          <w:ilvl w:val="0"/>
          <w:numId w:val="25"/>
        </w:numPr>
        <w:jc w:val="both"/>
      </w:pPr>
      <w:r w:rsidRPr="00E10B6E">
        <w:rPr>
          <w:b/>
          <w:bCs/>
        </w:rPr>
        <w:t>Heat pumps</w:t>
      </w:r>
      <w:r w:rsidRPr="00E10B6E">
        <w:t>:</w:t>
      </w:r>
      <w:r w:rsidR="002326F1" w:rsidRPr="00E10B6E">
        <w:t xml:space="preserve"> Industrial Heat Pumps (IHPs) can recover the waste heat of an industrial process and increase its temperature to make it useful for an adjacent process, thus reducing the overall energy consumption and relative GHG emissions </w:t>
      </w:r>
      <w:r w:rsidR="002326F1" w:rsidRPr="00E10B6E">
        <w:fldChar w:fldCharType="begin" w:fldLock="1"/>
      </w:r>
      <w:r w:rsidR="002326F1" w:rsidRPr="00E10B6E">
        <w:instrText>ADDIN CSL_CITATION {"citationItems":[{"id":"ITEM-1","itemData":{"DOI":"10.1016/j.apenergy.2016.06.049","ISSN":"03062619","abstract":"An industrial heat pump can upgrade heat from a low temperature level to a high temperature level with the aid of an external energy source. It has received considerable attention as an efficient means of waste energy recovery in the recent years in China. This paper summarizes the research work done and advances in the application of industrial heat pump systems in China, including advances in refrigerants, multistage system, double-effect absorption system, compression–absorption system, solar assisted system, and chemical heat pump system. Industrial heat pumps used in three industrial fields (drying of wastewater sludge, crude oil heating in oil field, and process heating in printing and dyeing) are discussed in detail. Three basic problems in designing an engineering heat pump system, i.e., selection of the type of heat pump and determination of its capacity, energetic and exergetic analyses of the heat pump, and estimation of investment payback time are discussed in the above three industries, respectively. Further research needs in China on industrial heat pumps are proposed, which may also be beneficial to the international community.","author":[{"dropping-particle":"","family":"Zhang","given":"Jing","non-dropping-particle":"","parse-names":false,"suffix":""},{"dropping-particle":"","family":"Zhang","given":"Hong Hu","non-dropping-particle":"","parse-names":false,"suffix":""},{"dropping-particle":"","family":"He","given":"Ya Ling","non-dropping-particle":"","parse-names":false,"suffix":""},{"dropping-particle":"","family":"Tao","given":"Wen Quan","non-dropping-particle":"","parse-names":false,"suffix":""}],"container-title":"Applied Energy","id":"ITEM-1","issued":{"date-parts":[["2016","9","15"]]},"page":"800-825","publisher":"Elsevier Ltd","title":"A comprehensive review on advances and applications of industrial heat pumps based on the practices in China","type":"article-journal","volume":"178"},"uris":["http://www.mendeley.com/documents/?uuid=ea9818b8-c065-3e1d-8873-7a03233aeded"]}],"mendeley":{"formattedCitation":"(J. Zhang et al., 2016)","plainTextFormattedCitation":"(J. Zhang et al., 2016)","previouslyFormattedCitation":"(J. Zhang et al., 2016)"},"properties":{"noteIndex":0},"schema":"https://github.com/citation-style-language/schema/raw/master/csl-citation.json"}</w:instrText>
      </w:r>
      <w:r w:rsidR="002326F1" w:rsidRPr="00E10B6E">
        <w:fldChar w:fldCharType="separate"/>
      </w:r>
      <w:r w:rsidR="002326F1" w:rsidRPr="00E10B6E">
        <w:rPr>
          <w:noProof/>
        </w:rPr>
        <w:t>(J. Zhang et al., 2016)</w:t>
      </w:r>
      <w:r w:rsidR="002326F1" w:rsidRPr="00E10B6E">
        <w:fldChar w:fldCharType="end"/>
      </w:r>
      <w:r w:rsidR="002326F1" w:rsidRPr="00E10B6E">
        <w:t xml:space="preserve">. Although many heat pumps for residential and district heating can only reach temperatures around the 50-90°C range, there are now IHP systems able to supply heat at temperatures higher than 100°C </w:t>
      </w:r>
      <w:r w:rsidR="002326F1" w:rsidRPr="00E10B6E">
        <w:fldChar w:fldCharType="begin" w:fldLock="1"/>
      </w:r>
      <w:r w:rsidR="002326F1" w:rsidRPr="00E10B6E">
        <w:instrText>ADDIN CSL_CITATION {"citationItems":[{"id":"ITEM-1","itemData":{"author":[{"dropping-particle":"","family":"IETS TCP","given":"","non-dropping-particle":"","parse-names":false,"suffix":""}],"id":"ITEM-1","issued":{"date-parts":[["2014"]]},"title":"Application of Industrial Heat Pumps","type":"report"},"uris":["http://www.mendeley.com/documents/?uuid=e9214faa-5c25-3144-8c9f-0404986754e7"]}],"mendeley":{"formattedCitation":"(IETS TCP, 2014)","plainTextFormattedCitation":"(IETS TCP, 2014)","previouslyFormattedCitation":"(IETS TCP, 2014)"},"properties":{"noteIndex":0},"schema":"https://github.com/citation-style-language/schema/raw/master/csl-citation.json"}</w:instrText>
      </w:r>
      <w:r w:rsidR="002326F1" w:rsidRPr="00E10B6E">
        <w:fldChar w:fldCharType="separate"/>
      </w:r>
      <w:r w:rsidR="002326F1" w:rsidRPr="00E10B6E">
        <w:rPr>
          <w:noProof/>
        </w:rPr>
        <w:t>(IETS TCP, 2014)</w:t>
      </w:r>
      <w:r w:rsidR="002326F1" w:rsidRPr="00E10B6E">
        <w:fldChar w:fldCharType="end"/>
      </w:r>
      <w:r w:rsidR="002326F1" w:rsidRPr="00E10B6E">
        <w:t xml:space="preserve">. Within polyolefins production, IHPs could be used to prepare the feedstock for polymerisation and to dry the resulting polymer. Especially for the drying process, IHPs could be convenient thanks to their ability to control the gas temperature and humidity while extracting the latent heat of condensation </w:t>
      </w:r>
      <w:r w:rsidR="002326F1" w:rsidRPr="00E10B6E">
        <w:fldChar w:fldCharType="begin" w:fldLock="1"/>
      </w:r>
      <w:r w:rsidR="002326F1" w:rsidRPr="00E10B6E">
        <w:instrText>ADDIN CSL_CITATION {"citationItems":[{"id":"ITEM-1","itemData":{"DOI":"10.1016/j.apenergy.2010.06.014","ISSN":"03062619","abstract":"Heat pump systems offer economical alternatives of recovering heat from different sources for use in various industrial, commercial and residential applications. As the cost of energy continues to rise, it becomes imperative to save energy and improve overall energy efficiency. In this light, the heat pump becomes a key component in an energy recovery system with great potential for energy saving. Improving heat pump performance, reliability, and its environmental impact has been an ongoing concern. Recent progresses in heat pump systems have centred upon advanced cycle designs for both heat- and work-actuated systems, improved cycle components (including choice of working fluid), and exploiting utilisation in a wider range of applications. For the heat pump to be an economical proposition, continuous efforts need to be devoted to improving its performance and reliability while discovering novel applications. Some recent research efforts have markedly improved the energy efficiency of heat pump. For example, the incorporation of a heat-driven ejector to the heat pump has improved system efficiency by more than 20%. Additionally, the development of better compressor technology has the potential to reduce energy consumption of heat pump systems by as much as 80%. The evolution of new hybrid systems has also enabled the heat pump to perform efficiently with wider applications. For example, incorporating a desiccant to a heat pump cycle allowed better humidity and temperature controls with achievable COP as high as 6. This review paper provides an update on recent developments in heat pump systems, and is intended to be a \"one-stop\" archive of known practical heat pump solutions. The paper, broadly divided into three main sections, begins with a review of the various methods of enhancing the performance of heat pumps. This is followed by a review of the major hybrid heat pump systems suitable for application with various heat sources. Lastly, the paper presents novel applications of heat pump systems used in select industries. © 2010 Elsevier Ltd.","author":[{"dropping-particle":"","family":"Chua","given":"K. J.","non-dropping-particle":"","parse-names":false,"suffix":""},{"dropping-particle":"","family":"Chou","given":"S. K.","non-dropping-particle":"","parse-names":false,"suffix":""},{"dropping-particle":"","family":"Yang","given":"W. M.","non-dropping-particle":"","parse-names":false,"suffix":""}],"container-title":"Applied Energy","id":"ITEM-1","issue":"12","issued":{"date-parts":[["2010","12","1"]]},"page":"3611-3624","publisher":"Elsevier Ltd","title":"Advances in heat pump systems: A review","type":"article-journal","volume":"87"},"uris":["http://www.mendeley.com/documents/?uuid=929c9df3-dcd1-3408-9a4e-9c15888119f9"]}],"mendeley":{"formattedCitation":"(Chua et al., 2010)","plainTextFormattedCitation":"(Chua et al., 2010)","previouslyFormattedCitation":"(Chua et al., 2010)"},"properties":{"noteIndex":0},"schema":"https://github.com/citation-style-language/schema/raw/master/csl-citation.json"}</w:instrText>
      </w:r>
      <w:r w:rsidR="002326F1" w:rsidRPr="00E10B6E">
        <w:fldChar w:fldCharType="separate"/>
      </w:r>
      <w:r w:rsidR="002326F1" w:rsidRPr="00E10B6E">
        <w:rPr>
          <w:noProof/>
        </w:rPr>
        <w:t>(Chua et al., 2010)</w:t>
      </w:r>
      <w:r w:rsidR="002326F1" w:rsidRPr="00E10B6E">
        <w:fldChar w:fldCharType="end"/>
      </w:r>
      <w:r w:rsidR="002326F1" w:rsidRPr="00E10B6E">
        <w:t xml:space="preserve">, potentially consuming between 30 and 50% less energy than conventional steam drying cycles and adopting low GWP refrigerants like R-1234yf and R-744 </w:t>
      </w:r>
      <w:r w:rsidR="002326F1" w:rsidRPr="00E10B6E">
        <w:fldChar w:fldCharType="begin" w:fldLock="1"/>
      </w:r>
      <w:r w:rsidR="002326F1" w:rsidRPr="00E10B6E">
        <w:instrText>ADDIN CSL_CITATION {"citationItems":[{"id":"ITEM-1","itemData":{"author":[{"dropping-particle":"","family":"IETS TCP","given":"","non-dropping-particle":"","parse-names":false,"suffix":""}],"id":"ITEM-1","issued":{"date-parts":[["2014"]]},"title":"Application of Industrial Heat Pumps","type":"report"},"uris":["http://www.mendeley.com/documents/?uuid=e9214faa-5c25-3144-8c9f-0404986754e7"]}],"mendeley":{"formattedCitation":"(IETS TCP, 2014)","plainTextFormattedCitation":"(IETS TCP, 2014)","previouslyFormattedCitation":"(IETS TCP, 2014)"},"properties":{"noteIndex":0},"schema":"https://github.com/citation-style-language/schema/raw/master/csl-citation.json"}</w:instrText>
      </w:r>
      <w:r w:rsidR="002326F1" w:rsidRPr="00E10B6E">
        <w:fldChar w:fldCharType="separate"/>
      </w:r>
      <w:r w:rsidR="002326F1" w:rsidRPr="00E10B6E">
        <w:rPr>
          <w:noProof/>
        </w:rPr>
        <w:t>(IETS TCP, 2014)</w:t>
      </w:r>
      <w:r w:rsidR="002326F1" w:rsidRPr="00E10B6E">
        <w:fldChar w:fldCharType="end"/>
      </w:r>
      <w:r w:rsidR="002326F1" w:rsidRPr="00E10B6E">
        <w:t>.</w:t>
      </w:r>
    </w:p>
    <w:p w14:paraId="0DEB0164" w14:textId="50941037" w:rsidR="007A6517" w:rsidRPr="00E10B6E" w:rsidRDefault="002326F1" w:rsidP="0053357D">
      <w:pPr>
        <w:pStyle w:val="ListParagraph"/>
        <w:numPr>
          <w:ilvl w:val="0"/>
          <w:numId w:val="25"/>
        </w:numPr>
        <w:jc w:val="both"/>
      </w:pPr>
      <w:r w:rsidRPr="00E10B6E">
        <w:rPr>
          <w:b/>
          <w:bCs/>
        </w:rPr>
        <w:t>Hydrogen fuel</w:t>
      </w:r>
      <w:r w:rsidRPr="00E10B6E">
        <w:t xml:space="preserve">: </w:t>
      </w:r>
      <w:r w:rsidR="0053357D" w:rsidRPr="00E10B6E">
        <w:t xml:space="preserve">Hydrogen has the potential to be a clean and renewable fuel used for transportation, industries, heating, and power generation, and in the last decades the industry has been rapidly growing </w:t>
      </w:r>
      <w:r w:rsidR="0053357D" w:rsidRPr="00E10B6E">
        <w:fldChar w:fldCharType="begin" w:fldLock="1"/>
      </w:r>
      <w:r w:rsidR="0053357D" w:rsidRPr="00E10B6E">
        <w:instrText>ADDIN CSL_CITATION {"citationItems":[{"id":"ITEM-1","itemData":{"abstract":"From Methane to Hydrogen—Making the Switch to a Cleaner Fuel Source\nThe world’s overdependence on fossil fuels has created environmental problems, such as air pollution and global warming, as well as political and economic unrest. With water as its only by-product and its availability in all parts of the world, hydrogen promises to be the next great fuel source.","author":[{"dropping-particle":"","family":"Gupta","given":"Ram B.","non-dropping-particle":"","parse-names":false,"suffix":""}],"id":"ITEM-1","issued":{"date-parts":[["2008","7","30"]]},"publisher":"CRC Press","title":"Hydrogen Fuel: Production, Transport, and Storage","type":"book"},"uris":["http://www.mendeley.com/documents/?uuid=0950bf15-3f1d-3c29-84e6-5a6925eb9ccd"]}],"mendeley":{"formattedCitation":"(Gupta, 2008)","plainTextFormattedCitation":"(Gupta, 2008)","previouslyFormattedCitation":"(Gupta, 2008)"},"properties":{"noteIndex":0},"schema":"https://github.com/citation-style-language/schema/raw/master/csl-citation.json"}</w:instrText>
      </w:r>
      <w:r w:rsidR="0053357D" w:rsidRPr="00E10B6E">
        <w:fldChar w:fldCharType="separate"/>
      </w:r>
      <w:r w:rsidR="0053357D" w:rsidRPr="00E10B6E">
        <w:rPr>
          <w:noProof/>
        </w:rPr>
        <w:t>(Gupta, 2008)</w:t>
      </w:r>
      <w:r w:rsidR="0053357D" w:rsidRPr="00E10B6E">
        <w:fldChar w:fldCharType="end"/>
      </w:r>
      <w:r w:rsidR="0053357D" w:rsidRPr="00E10B6E">
        <w:t xml:space="preserve">. Hydrogen is mainly produced through </w:t>
      </w:r>
      <w:r w:rsidR="00F52340" w:rsidRPr="00E10B6E">
        <w:t xml:space="preserve">the </w:t>
      </w:r>
      <w:r w:rsidR="0053357D" w:rsidRPr="00E10B6E">
        <w:t xml:space="preserve">reformation of natural gas and coal, or from water splitting using electrolysis, thermolysis, or photoelectrolysis, and there are many other processes under development, although not all of them are economically competitive </w:t>
      </w:r>
      <w:r w:rsidR="0053357D" w:rsidRPr="00E10B6E">
        <w:fldChar w:fldCharType="begin" w:fldLock="1"/>
      </w:r>
      <w:r w:rsidR="0053357D" w:rsidRPr="00E10B6E">
        <w:instrText>ADDIN CSL_CITATION {"citationItems":[{"id":"ITEM-1","itemData":{"DOI":"10.1016/j.cattod.2008.08.039","ISSN":"09205861","abstract":"Currently, hydrogen is primarily used in the chemical industry, but in the near future it will become a significant fuel. There are many processes for hydrogen production. This paper reviews the technologies related to hydrogen production from both fossil and renewable biomass resources including reforming (steam, partial oxidation, autothermal, plasma, and aqueous phase) and pyrolysis. In addition, electrolysis and other methods for generating hydrogen from water, hydrogen storage related approaches, and hydrogen purification methods such as desulfurization and water-gas-shift are discussed. © 2008 Elsevier B.V.","author":[{"dropping-particle":"","family":"Holladay","given":"J.D.","non-dropping-particle":"","parse-names":false,"suffix":""},{"dropping-particle":"","family":"Hu","given":"J.","non-dropping-particle":"","parse-names":false,"suffix":""},{"dropping-particle":"","family":"King","given":"D.L.","non-dropping-particle":"","parse-names":false,"suffix":""},{"dropping-particle":"","family":"Wang","given":"Y.","non-dropping-particle":"","parse-names":false,"suffix":""}],"container-title":"Catalysis Today","id":"ITEM-1","issue":"4","issued":{"date-parts":[["2009","1","30"]]},"page":"244-260","publisher":"Elsevier","title":"An overview of hydrogen production technologies","type":"article-journal","volume":"139"},"uris":["http://www.mendeley.com/documents/?uuid=bd652d91-66b1-3f14-abff-1d3aa46c8123"]}],"mendeley":{"formattedCitation":"(Holladay et al., 2009)","plainTextFormattedCitation":"(Holladay et al., 2009)","previouslyFormattedCitation":"(Holladay et al., 2009)"},"properties":{"noteIndex":0},"schema":"https://github.com/citation-style-language/schema/raw/master/csl-citation.json"}</w:instrText>
      </w:r>
      <w:r w:rsidR="0053357D" w:rsidRPr="00E10B6E">
        <w:fldChar w:fldCharType="separate"/>
      </w:r>
      <w:r w:rsidR="0053357D" w:rsidRPr="00E10B6E">
        <w:rPr>
          <w:noProof/>
        </w:rPr>
        <w:t>(Holladay et al., 2009)</w:t>
      </w:r>
      <w:r w:rsidR="0053357D" w:rsidRPr="00E10B6E">
        <w:fldChar w:fldCharType="end"/>
      </w:r>
      <w:r w:rsidR="0053357D" w:rsidRPr="00E10B6E">
        <w:t>. The current market is currently equal to 0.8 Mt/year but has the potential to grow tenfold by 2030, leading to a yearly emission reduction of 5 Mt of CO</w:t>
      </w:r>
      <w:r w:rsidR="0053357D" w:rsidRPr="00E10B6E">
        <w:rPr>
          <w:vertAlign w:val="subscript"/>
        </w:rPr>
        <w:t>2</w:t>
      </w:r>
      <w:r w:rsidR="0053357D" w:rsidRPr="00E10B6E">
        <w:t xml:space="preserve"> </w:t>
      </w:r>
      <w:r w:rsidR="0053357D" w:rsidRPr="00E10B6E">
        <w:fldChar w:fldCharType="begin" w:fldLock="1"/>
      </w:r>
      <w:r w:rsidR="0053357D" w:rsidRPr="00E10B6E">
        <w:instrText>ADDIN CSL_CITATION {"citationItems":[{"id":"ITEM-1","itemData":{"author":[{"dropping-particle":"","family":"CE Delft","given":"","non-dropping-particle":"","parse-names":false,"suffix":""}],"id":"ITEM-1","issued":{"date-parts":[["2018","7","2"]]},"title":"Hydrogen routes for the Netherlands","type":"report"},"uris":["http://www.mendeley.com/documents/?uuid=876b6934-e845-388a-bd37-bf2d2af69072"]}],"mendeley":{"formattedCitation":"(CE Delft, 2018)","plainTextFormattedCitation":"(CE Delft, 2018)","previouslyFormattedCitation":"(CE Delft, 2018)"},"properties":{"noteIndex":0},"schema":"https://github.com/citation-style-language/schema/raw/master/csl-citation.json"}</w:instrText>
      </w:r>
      <w:r w:rsidR="0053357D" w:rsidRPr="00E10B6E">
        <w:fldChar w:fldCharType="separate"/>
      </w:r>
      <w:r w:rsidR="0053357D" w:rsidRPr="00E10B6E">
        <w:rPr>
          <w:noProof/>
        </w:rPr>
        <w:t>(CE Delft, 2018)</w:t>
      </w:r>
      <w:r w:rsidR="0053357D" w:rsidRPr="00E10B6E">
        <w:fldChar w:fldCharType="end"/>
      </w:r>
      <w:r w:rsidR="0053357D" w:rsidRPr="00E10B6E">
        <w:t xml:space="preserve">. Looking at current and future projects in the Netherlands, the Port of Rotterdam is planning to invest 2 billion euros in the development of production infrastructures and related value chain to produce hydrogen to use as fuel, carrier, or raw material in industrial processes. The estimated production will be able to supply up to 20% of the heat and power required by the industries part of the Rotterdam Port, leading to a CO2 emission reduction of 16% </w:t>
      </w:r>
      <w:r w:rsidR="0053357D" w:rsidRPr="00E10B6E">
        <w:fldChar w:fldCharType="begin" w:fldLock="1"/>
      </w:r>
      <w:r w:rsidR="0053357D" w:rsidRPr="00E10B6E">
        <w:instrText>ADDIN CSL_CITATION {"citationItems":[{"id":"ITEM-1","itemData":{"URL":"https://www.portofrotterdam.com/en/news-and-press-releases/h-vision-kicks-off-the-hydrogen-economy-in-rotterdam","accessed":{"date-parts":[["2020","7","15"]]},"author":[{"dropping-particle":"","family":"Port of Rotterdam","given":"","non-dropping-particle":"","parse-names":false,"suffix":""}],"id":"ITEM-1","issued":{"date-parts":[["2020"]]},"title":"H-vision kicks off the hydrogen economy in Rotterdam | Port of Rotterdam","type":"webpage"},"uris":["http://www.mendeley.com/documents/?uuid=fcef515b-a6aa-367d-a54f-ab381917a62b"]}],"mendeley":{"formattedCitation":"(Port of Rotterdam, 2020)","plainTextFormattedCitation":"(Port of Rotterdam, 2020)","previouslyFormattedCitation":"(Port of Rotterdam, 2020)"},"properties":{"noteIndex":0},"schema":"https://github.com/citation-style-language/schema/raw/master/csl-citation.json"}</w:instrText>
      </w:r>
      <w:r w:rsidR="0053357D" w:rsidRPr="00E10B6E">
        <w:fldChar w:fldCharType="separate"/>
      </w:r>
      <w:r w:rsidR="0053357D" w:rsidRPr="00E10B6E">
        <w:rPr>
          <w:noProof/>
        </w:rPr>
        <w:t>(Port of Rotterdam, 2020)</w:t>
      </w:r>
      <w:r w:rsidR="0053357D" w:rsidRPr="00E10B6E">
        <w:fldChar w:fldCharType="end"/>
      </w:r>
      <w:r w:rsidR="0053357D" w:rsidRPr="00E10B6E">
        <w:t>.</w:t>
      </w:r>
    </w:p>
    <w:p w14:paraId="479FBEC7" w14:textId="14A28B07" w:rsidR="009A6965" w:rsidRPr="00E10B6E" w:rsidRDefault="0053357D" w:rsidP="009A6965">
      <w:pPr>
        <w:pStyle w:val="ListParagraph"/>
        <w:numPr>
          <w:ilvl w:val="0"/>
          <w:numId w:val="26"/>
        </w:numPr>
        <w:spacing w:after="0" w:line="260" w:lineRule="atLeast"/>
        <w:jc w:val="both"/>
      </w:pPr>
      <w:r w:rsidRPr="00E10B6E">
        <w:rPr>
          <w:b/>
          <w:bCs/>
        </w:rPr>
        <w:t>Process design</w:t>
      </w:r>
      <w:r w:rsidRPr="00E10B6E">
        <w:t xml:space="preserve">: </w:t>
      </w:r>
      <w:r w:rsidR="009A6965" w:rsidRPr="00E10B6E">
        <w:t xml:space="preserve">The key concept of process design improvements is to change the manufacturing process of polymers to reduce the energy consumption and GHG emissions, while at the same time preserving the productivity and quality of the products. Ever minor </w:t>
      </w:r>
      <w:r w:rsidR="00F52340" w:rsidRPr="00E10B6E">
        <w:t xml:space="preserve">energy efficiency </w:t>
      </w:r>
      <w:r w:rsidR="009A6965" w:rsidRPr="00E10B6E">
        <w:t xml:space="preserve">improvements could have big impacts over time. It is estimated that the total primary energy losses related to the production of polyolefins in Western Europe are exceeding 100 PJ for PE and 50 PJ for PP </w:t>
      </w:r>
      <w:r w:rsidR="009A6965" w:rsidRPr="00E10B6E">
        <w:fldChar w:fldCharType="begin" w:fldLock="1"/>
      </w:r>
      <w:r w:rsidR="009A6965" w:rsidRPr="00E10B6E">
        <w:instrText>ADDIN CSL_CITATION {"citationItems":[{"id":"ITEM-1","itemData":{"DOI":"10.1016/j.energy.2006.08.005","ISSN":"03605442","abstract":"We prepared energy and carbon balances for 68 petrochemical processes in the petrochemical industry for Western Europe, the Netherlands and the world. We analysed the process energy use in relation to the heat effects of the chemical reactions and quantified in this way the sum of all energy inputs into the processes that do not end up in the useful products of the process, but are lost as waste heat to the environment. We showed that both process energy use and heat effects of reaction contribute significantly to the overall energy loss of the processes studied and recommend addressing reaction effects explicitly in energy-efficiency studies. We estimated the energy loss in Western Europe in the year 2000 at 1620 PJ of final energy and 1936 PJ of primary energy, resulting in a total of 127 Mt CO2. The losses identified can be regarded as good approximations of the theoretical energy-saving potentials of the processes analysed. The processes with large energy losses in relative (per tonne of product) and absolute (in PJ per year) terms are recommended for more detailed analysis taking into account further thermodynamic, economic, and practical considerations to identify technical and economic energy-saving potentials. © 2006 Elsevier Ltd. All rights reserved.","author":[{"dropping-particle":"","family":"Neelis","given":"Maarten","non-dropping-particle":"","parse-names":false,"suffix":""},{"dropping-particle":"","family":"Patel","given":"Martin","non-dropping-particle":"","parse-names":false,"suffix":""},{"dropping-particle":"","family":"Blok","given":"Kornelis","non-dropping-particle":"","parse-names":false,"suffix":""},{"dropping-particle":"","family":"Haije","given":"Wim","non-dropping-particle":"","parse-names":false,"suffix":""},{"dropping-particle":"","family":"Bach","given":"Pieter","non-dropping-particle":"","parse-names":false,"suffix":""}],"container-title":"Energy","id":"ITEM-1","issue":"7","issued":{"date-parts":[["2007","7","1"]]},"page":"1104-1123","publisher":"Elsevier Ltd","title":"Approximation of theoretical energy-saving potentials for the petrochemical industry using energy balances for 68 key processes","type":"article-journal","volume":"32"},"uris":["http://www.mendeley.com/documents/?uuid=775a4620-8779-3c5b-9ddf-86978437afe9"]}],"mendeley":{"formattedCitation":"(Neelis et al., 2007)","plainTextFormattedCitation":"(Neelis et al., 2007)","previouslyFormattedCitation":"(Neelis et al., 2007)"},"properties":{"noteIndex":0},"schema":"https://github.com/citation-style-language/schema/raw/master/csl-citation.json"}</w:instrText>
      </w:r>
      <w:r w:rsidR="009A6965" w:rsidRPr="00E10B6E">
        <w:fldChar w:fldCharType="separate"/>
      </w:r>
      <w:r w:rsidR="009A6965" w:rsidRPr="00E10B6E">
        <w:rPr>
          <w:noProof/>
        </w:rPr>
        <w:t>(Neelis et al., 2007)</w:t>
      </w:r>
      <w:r w:rsidR="009A6965" w:rsidRPr="00E10B6E">
        <w:fldChar w:fldCharType="end"/>
      </w:r>
      <w:r w:rsidR="009A6965" w:rsidRPr="00E10B6E">
        <w:t xml:space="preserve">. Example of technologies and process that could help to achieve this goal are: (1) Design optimisation (e.g. reduced leakage) and energy efficiency improvements (e.g. power factor) for the industrial compressors used during the polymerisation process </w:t>
      </w:r>
      <w:r w:rsidR="009A6965" w:rsidRPr="00E10B6E">
        <w:fldChar w:fldCharType="begin" w:fldLock="1"/>
      </w:r>
      <w:r w:rsidR="009A6965" w:rsidRPr="00E10B6E">
        <w:instrText>ADDIN CSL_CITATION {"citationItems":[{"id":"ITEM-1","itemData":{"DOI":"10.1016/j.jclepro.2019.05.158","ISSN":"09596526","abstract":"As industrial air compressors are the most energy intensive, a comprehensive energy and exergy analysis, reducing energy usage by various energy savings measures are highly important to reduce their energy consumption and emission for the sustainable future growth. A comprehensive analysis on energy performance, exergy efficiency, CO2 emission, sustainability, and the associated economic implications were studied in a typical industrial air compressor system of a TiO2 manufacturing industry, located in Bahia, Brazil. Necessary input data were taken from this industry to analyze energy, exergy, emission, economic, and sustainability performance of the air compressor. The predicted overall exergy efficiency of the compressors varies from to 5.27%–21.94%. Sustainability indicators like Sustainability Index (SI), Depletion Number (DN), Waste Exergy Ratio (WER), &amp; Environmental Effect Factor (EEF) were analyzed and the evaluated sustainability index found to vary from 1.05 to 1.28. Waste exergy ratio is estimated to be 0.95 and environmental effect factor is found to be 17.95 for compressor A. Discharge pressure reduction, power factor improvement, waste heat recoveries are the main areas where improvement have been identified. Reducing discharge pressure can save annually 3515.180 MWh of electricity leading to a reduction of 347.7 ton of CO2 emission per year. It is also noted that the reduced discharge pressure lead to an increased exergetic efficiency. Among various options, reducing discharge pressure came out to be the most cost effective measure with lesser internal rate of return. The industry could save a total of 5634.2 MWh of electricity and reduce CO2 emission by 557 ton per annum with an investment of US$ 570,000. The return on investment for the investment is estimated to be 9 months.","author":[{"dropping-particle":"","family":"Mascarenhas","given":"Jefferson dos Santos","non-dropping-particle":"","parse-names":false,"suffix":""},{"dropping-particle":"","family":"Chowdhury","given":"Hemal","non-dropping-particle":"","parse-names":false,"suffix":""},{"dropping-particle":"","family":"Thirugnanasambandam","given":"M.","non-dropping-particle":"","parse-names":false,"suffix":""},{"dropping-particle":"","family":"Chowdhury","given":"Tamal","non-dropping-particle":"","parse-names":false,"suffix":""},{"dropping-particle":"","family":"Saidur","given":"R.","non-dropping-particle":"","parse-names":false,"suffix":""}],"container-title":"Journal of Cleaner Production","id":"ITEM-1","issued":{"date-parts":[["2019","9","10"]]},"page":"183-195","publisher":"Elsevier Ltd","title":"Energy, exergy, sustainability, and emission analysis of industrial air compressors","type":"article-journal","volume":"231"},"uris":["http://www.mendeley.com/documents/?uuid=dc8355d8-b4a4-31a2-aeed-5fe65b859b52"]},{"id":"ITEM-2","itemData":{"DOI":"10.1016/j.energy.2020.117582","ISSN":"03605442","abstract":"This paper presents a procedure for three-dimensional optimization of a transonic centrifugal compressor impeller with splitter blades by integrating 3D blade parameterization method, a genetic algorithm (GA), an artificial neural network, and a CFD solver. Because computational fluid dynamics (CFD) is a time-consuming method, an artificial neural network is coupled with GA to evaluate the objective function. SRV2-O, a typical high-pressure ratio centrifugal impeller, is selected as the test case. A good understanding of flow characteristics in the passage of SRV2-O is obtained using 3D Reynolds Averaged Navier-Stokes solver. Twenty-eight design variables defining the impeller blade angle distribution are used to parametrize the blade geometry. Isentropic efficiency of the impeller is selected as the objective function while the total pressure ratio and mass flow rate are defined as constraints. The optimization results indicate that the performance of the optimum geometry is improved in comparison with the original impeller at both design and off-design conditions. The isentropic efficiency is increased by 0.97% at the design point, and total pressure ratio and mass flow rate are increased by 0.74%, 0.65%, respectively.","author":[{"dropping-particle":"","family":"Ekradi","given":"Khalil","non-dropping-particle":"","parse-names":false,"suffix":""},{"dropping-particle":"","family":"Madadi","given":"Ali","non-dropping-particle":"","parse-names":false,"suffix":""}],"container-title":"Energy","id":"ITEM-2","issued":{"date-parts":[["2020","6","15"]]},"page":"117582","publisher":"Elsevier Ltd","title":"Performance improvement of a transonic centrifugal compressor impeller with splitter blade by three-dimensional optimization","type":"article-journal","volume":"201"},"uris":["http://www.mendeley.com/documents/?uuid=92bf9286-87da-3955-93f5-08f4320b5453"]},{"id":"ITEM-3","itemData":{"DOI":"10.1016/j.ast.2018.12.033","ISSN":"12709638","abstract":"The performance and the stability of axial compressors are seriously concerned as it's widely used in aero-engines and power machines. A new combined flow control approach was developed previously using blade slot and vortex generator, which was used to reduce flow loss and improve flow stability. The approach was experimentally proved to be very effective in linear compressor cascades. To further evaluate its availability in actual compressors, the new approach is implemented in a single-stage transonic compressor, which introduces a part-span slot into the rotor while a full-span slot and a vortex generator into the stator. CFD simulations are performed to evaluate the gains of compressor performance, and flow structures are analyzed to explain the corresponding mechanisms. Results show great improvements of performance and stability of the compressor. The averaged total pressure ratio and isentropic efficiency improve by 1.82% and 0.88% respectively due to the great reduction of separations in both the rotor and the stator. Because the compressor instability is initiated by the stator corner stall, the delay of the corner separations leads to a great increase of the stable mass-flow range by 26.1%. The compressor flow structures are also well improved because the detrimental backflows and large-scale vortices are mostly removed by the combined approach.","author":[{"dropping-particle":"","family":"Hu","given":"Jiaguo","non-dropping-particle":"","parse-names":false,"suffix":""},{"dropping-particle":"","family":"Wang","given":"Rugen","non-dropping-particle":"","parse-names":false,"suffix":""},{"dropping-particle":"","family":"Huang","given":"Danqin","non-dropping-particle":"","parse-names":false,"suffix":""}],"container-title":"Aerospace Science and Technology","id":"ITEM-3","issued":{"date-parts":[["2019","3","1"]]},"page":"283-295","publisher":"Elsevier Masson SAS","title":"Improvements of performance and stability of a single-stage transonic axial compressor using a combined flow control approach","type":"article-journal","volume":"86"},"uris":["http://www.mendeley.com/documents/?uuid=f7d74bf3-4d49-332f-b20f-f1984e9a386e"]}],"mendeley":{"formattedCitation":"(Ekradi &amp; Madadi, 2020; Hu et al., 2019; Mascarenhas et al., 2019)","plainTextFormattedCitation":"(Ekradi &amp; Madadi, 2020; Hu et al., 2019; Mascarenhas et al., 2019)","previouslyFormattedCitation":"(Ekradi &amp; Madadi, 2020; Hu et al., 2019; Mascarenhas et al., 2019)"},"properties":{"noteIndex":0},"schema":"https://github.com/citation-style-language/schema/raw/master/csl-citation.json"}</w:instrText>
      </w:r>
      <w:r w:rsidR="009A6965" w:rsidRPr="00E10B6E">
        <w:fldChar w:fldCharType="separate"/>
      </w:r>
      <w:r w:rsidR="009A6965" w:rsidRPr="00E10B6E">
        <w:rPr>
          <w:noProof/>
        </w:rPr>
        <w:t>(Ekradi &amp; Madadi, 2020; Hu et al., 2019; Mascarenhas et al., 2019)</w:t>
      </w:r>
      <w:r w:rsidR="009A6965" w:rsidRPr="00E10B6E">
        <w:fldChar w:fldCharType="end"/>
      </w:r>
      <w:r w:rsidR="009A6965" w:rsidRPr="00E10B6E">
        <w:t xml:space="preserve">. (2) Use of better catalysts to lower the temperature and pressure requirements for the polymerization process and increase the copolymerisation performance </w:t>
      </w:r>
      <w:r w:rsidR="009A6965" w:rsidRPr="00E10B6E">
        <w:fldChar w:fldCharType="begin" w:fldLock="1"/>
      </w:r>
      <w:r w:rsidR="009A6965" w:rsidRPr="00E10B6E">
        <w:instrText>ADDIN CSL_CITATION {"citationItems":[{"id":"ITEM-1","itemData":{"DOI":"10.1016/S1004-9541(09)60176-2","ISSN":"10049541","abstract":"The study concerns the use of MgCl2-supported high-activity Ziegler-Natta catalysts for the polymerization of ethylene. In particular, two types of catalysts were investigated, which were N-catalyst (BRICI) and improved polyethylene catalyst. The effects of catalyst structure on kinetic behavior were examined. The distribution of active centers in these catalysts was investigated by energy dispersive analysis by X-rays (EDAX), and morphologies of catalyst particles and polymer products were examined by scanning electron microscope (SEM). Hydrogen response and copolymerization performance were investigated and compared with the two catalysts. The results were correlated with the kinetic behavior of the two catalysts and appropriate models for polymer particle growth were presented. The improved polyethylene catalyst showed higher activity, better hydrogen response and copolymerization performance. © 2011 Chemical Industry and Engineering Society of China (CIESC) and Chemical Industry Press (CIP).","author":[{"dropping-particle":"","family":"Zhu","given":"Xiaoheng","non-dropping-particle":"","parse-names":false,"suffix":""},{"dropping-particle":"","family":"Guo","given":"Zifang","non-dropping-particle":"","parse-names":false,"suffix":""},{"dropping-particle":"","family":"Cen","given":"Wei","non-dropping-particle":"","parse-names":false,"suffix":""},{"dropping-particle":"","family":"Mao","given":"Bingquan","non-dropping-particle":"","parse-names":false,"suffix":""}],"container-title":"Chinese Journal of Chemical Engineering","id":"ITEM-1","issue":"1","issued":{"date-parts":[["2011","2","1"]]},"page":"52-56","publisher":"Elsevier","title":"Ethylene polymerization using improved polyethylene catalyst","type":"article-journal","volume":"19"},"uris":["http://www.mendeley.com/documents/?uuid=65b42c73-edfa-31c4-9b81-56620a23c1ea"]}],"mendeley":{"formattedCitation":"(Zhu et al., 2011)","plainTextFormattedCitation":"(Zhu et al., 2011)","previouslyFormattedCitation":"(Zhu et al., 2011)"},"properties":{"noteIndex":0},"schema":"https://github.com/citation-style-language/schema/raw/master/csl-citation.json"}</w:instrText>
      </w:r>
      <w:r w:rsidR="009A6965" w:rsidRPr="00E10B6E">
        <w:fldChar w:fldCharType="separate"/>
      </w:r>
      <w:r w:rsidR="009A6965" w:rsidRPr="00E10B6E">
        <w:rPr>
          <w:noProof/>
        </w:rPr>
        <w:t>(Zhu et al., 2011)</w:t>
      </w:r>
      <w:r w:rsidR="009A6965" w:rsidRPr="00E10B6E">
        <w:fldChar w:fldCharType="end"/>
      </w:r>
      <w:r w:rsidR="009A6965" w:rsidRPr="00E10B6E">
        <w:t xml:space="preserve">. (3) Renewal of existing process parts, integration of multi-functional equipment, and superstructure design optimization </w:t>
      </w:r>
      <w:r w:rsidR="009A6965" w:rsidRPr="00E10B6E">
        <w:fldChar w:fldCharType="begin" w:fldLock="1"/>
      </w:r>
      <w:r w:rsidR="009A6965" w:rsidRPr="00E10B6E">
        <w:instrText>ADDIN CSL_CITATION {"citationItems":[{"id":"ITEM-1","itemData":{"DOI":"10.1016/j.cep.2003.02.003","ISSN":"02552701","abstract":"The chemical process industry aims particularly at energy, capital expenditure and variable feedstock cost savings due to fierce global competition, the Kyoto Protocol and requirements for sustainable development.Increasingly conceptual process design methods are used in the industry to achieve these aims. They are used in: • existing processes to renew parts; • process re-designs based on existing feedstocks and catalysts; • innovative processes (new feed stocks, new catalysts, new process routes, new multifunctional equipment). This article is focused on the best industrial conceptual design practices applied for these application areas. To this end we have reviewed methods, which are used in the chemical process industry in the last 15 years. Capital, energy and variable cost savings are indicated for each method. Specific attention is paid to: • functional integration to multi-functional equipment; • heuristic based selection of unit operations and recycle structure; • superstructure based design optimisation with mixed-integer-non-linear programming (MINLP). © 2003 G.J. Harmsen. Published by Elsevier B.V. All rights reserved.","author":[{"dropping-particle":"","family":"Harmsen","given":"G. J.","non-dropping-particle":"","parse-names":false,"suffix":""}],"container-title":"Chemical Engineering and Processing: Process Intensification","id":"ITEM-1","issue":"5","issued":{"date-parts":[["2004","5","1"]]},"page":"671-675","publisher":"Elsevier","title":"Industrial best practices of conceptual process design","type":"article-journal","volume":"43"},"uris":["http://www.mendeley.com/documents/?uuid=eaa95d00-5db9-30da-b66d-2253ee31e857"]}],"mendeley":{"formattedCitation":"(Harmsen, 2004)","plainTextFormattedCitation":"(Harmsen, 2004)","previouslyFormattedCitation":"(Harmsen, 2004)"},"properties":{"noteIndex":0},"schema":"https://github.com/citation-style-language/schema/raw/master/csl-citation.json"}</w:instrText>
      </w:r>
      <w:r w:rsidR="009A6965" w:rsidRPr="00E10B6E">
        <w:fldChar w:fldCharType="separate"/>
      </w:r>
      <w:r w:rsidR="009A6965" w:rsidRPr="00E10B6E">
        <w:rPr>
          <w:noProof/>
        </w:rPr>
        <w:t>(Harmsen, 2004)</w:t>
      </w:r>
      <w:r w:rsidR="009A6965" w:rsidRPr="00E10B6E">
        <w:fldChar w:fldCharType="end"/>
      </w:r>
      <w:r w:rsidR="009A6965" w:rsidRPr="00E10B6E">
        <w:t>.</w:t>
      </w:r>
    </w:p>
    <w:p w14:paraId="725384C4" w14:textId="075B6C71" w:rsidR="0053357D" w:rsidRPr="00E10B6E" w:rsidRDefault="005A2CDA" w:rsidP="0053357D">
      <w:pPr>
        <w:pStyle w:val="ListParagraph"/>
        <w:numPr>
          <w:ilvl w:val="0"/>
          <w:numId w:val="25"/>
        </w:numPr>
        <w:jc w:val="both"/>
      </w:pPr>
      <w:r w:rsidRPr="00E10B6E">
        <w:rPr>
          <w:b/>
          <w:bCs/>
        </w:rPr>
        <w:t>Carbon capture</w:t>
      </w:r>
      <w:r w:rsidRPr="00E10B6E">
        <w:t xml:space="preserve">: The key concept of this decarbonisation option is not to reduce the GHG emissions, but to capture the carbon dioxide before it is released into the atmosphere and store it in protected reservoirs. In short, the term CCS (Carbon Capture and Storage) refers to technologies which capture carbon dioxide from processes such as gasification and power generation. The CO2 is then pressurised to 100 bar or more, transported, and stored underground (e.g. in a depleted natural gas reservoir) </w:t>
      </w:r>
      <w:r w:rsidRPr="00E10B6E">
        <w:fldChar w:fldCharType="begin" w:fldLock="1"/>
      </w:r>
      <w:r w:rsidRPr="00E10B6E">
        <w:instrText>ADDIN CSL_CITATION {"citationItems":[{"id":"ITEM-1","itemData":{"DOI":"10.1039/c3ee42350f","ISSN":"17545706","abstract":"In recent years, Carbon Capture and Storage (Sequestration) (CCS) has been proposed as a potential method to allow the continued use of fossil-fuelled power stations whilst preventing emissions of CO&lt;inf&gt;2&lt;/inf&gt; from reaching the atmosphere. Gas, coal (and biomass)-fired power stations can respond to changes in demand more readily than many other sources of electricity production, hence the importance of retaining them as an option in the energy mix. Here, we review the leading CO&lt;inf&gt;2&lt;/inf&gt; capture technologies, available in the short and long term, and their technological maturity, before discussing CO&lt;inf&gt;2&lt;/inf&gt; transport and storage. Current pilot plants and demonstrations are highlighted, as is the importance of optimising the CCS system as a whole. Other topics briefly discussed include the viability of both the capture of CO&lt;inf&gt;2&lt;/inf&gt; from the air and CO&lt;inf&gt;2&lt;/inf&gt; reutilisation as climate change mitigation strategies. Finally, we discuss the economic and legal aspects of CCS. © 2014 The Royal Society of Chemistry.","author":[{"dropping-particle":"","family":"Boot-Handford","given":"Matthew E.","non-dropping-particle":"","parse-names":false,"suffix":""},{"dropping-particle":"","family":"Abanades","given":"Juan C.","non-dropping-particle":"","parse-names":false,"suffix":""},{"dropping-particle":"","family":"Anthony","given":"Edward J.","non-dropping-particle":"","parse-names":false,"suffix":""},{"dropping-particle":"","family":"Blunt","given":"Martin J.","non-dropping-particle":"","parse-names":false,"suffix":""},{"dropping-particle":"","family":"Brandani","given":"Stefano","non-dropping-particle":"","parse-names":false,"suffix":""},{"dropping-particle":"","family":"Dowell","given":"Niall","non-dropping-particle":"Mac","parse-names":false,"suffix":""},{"dropping-particle":"","family":"Fernández","given":"José R.","non-dropping-particle":"","parse-names":false,"suffix":""},{"dropping-particle":"","family":"Ferrari","given":"Maria Chiara","non-dropping-particle":"","parse-names":false,"suffix":""},{"dropping-particle":"","family":"Gross","given":"Robert","non-dropping-particle":"","parse-names":false,"suffix":""},{"dropping-particle":"","family":"Hallett","given":"Jason P.","non-dropping-particle":"","parse-names":false,"suffix":""},{"dropping-particle":"","family":"Haszeldine","given":"R. Stuart","non-dropping-particle":"","parse-names":false,"suffix":""},{"dropping-particle":"","family":"Heptonstall","given":"Philip","non-dropping-particle":"","parse-names":false,"suffix":""},{"dropping-particle":"","family":"Lyngfelt","given":"Anders","non-dropping-particle":"","parse-names":false,"suffix":""},{"dropping-particle":"","family":"Makuch","given":"Zen","non-dropping-particle":"","parse-names":false,"suffix":""},{"dropping-particle":"","family":"Mangano","given":"Enzo","non-dropping-particle":"","parse-names":false,"suffix":""},{"dropping-particle":"","family":"Porter","given":"Richard T.J.","non-dropping-particle":"","parse-names":false,"suffix":""},{"dropping-particle":"","family":"Pourkashanian","given":"Mohamed","non-dropping-particle":"","parse-names":false,"suffix":""},{"dropping-particle":"","family":"Rochelle","given":"Gary T.","non-dropping-particle":"","parse-names":false,"suffix":""},{"dropping-particle":"","family":"Shah","given":"Nilay","non-dropping-particle":"","parse-names":false,"suffix":""},{"dropping-particle":"","family":"Yao","given":"Joseph G.","non-dropping-particle":"","parse-names":false,"suffix":""},{"dropping-particle":"","family":"Fennell","given":"Paul S.","non-dropping-particle":"","parse-names":false,"suffix":""}],"container-title":"Energy and Environmental Science","id":"ITEM-1","issue":"1","issued":{"date-parts":[["2014","12","11"]]},"page":"130-189","publisher":"Royal Society of Chemistry","title":"Carbon capture and storage update","type":"article-journal","volume":"7"},"uris":["http://www.mendeley.com/documents/?uuid=cb3eb00e-8950-3abb-840e-644ae3f3fc2a"]}],"mendeley":{"formattedCitation":"(Boot-Handford et al., 2014)","plainTextFormattedCitation":"(Boot-Handford et al., 2014)","previouslyFormattedCitation":"(Boot-Handford et al., 2014)"},"properties":{"noteIndex":0},"schema":"https://github.com/citation-style-language/schema/raw/master/csl-citation.json"}</w:instrText>
      </w:r>
      <w:r w:rsidRPr="00E10B6E">
        <w:fldChar w:fldCharType="separate"/>
      </w:r>
      <w:r w:rsidRPr="00E10B6E">
        <w:rPr>
          <w:noProof/>
        </w:rPr>
        <w:t>(Boot-Handford et al., 2014)</w:t>
      </w:r>
      <w:r w:rsidRPr="00E10B6E">
        <w:fldChar w:fldCharType="end"/>
      </w:r>
      <w:r w:rsidRPr="00E10B6E">
        <w:t xml:space="preserve">. An example of CCS project in the Netherlands can be found in the Rotterdam Port industrial cluster, where petrochemical companies such as Shell, ExxonMobil and Air Liquide have signed an agreement with the project organisation Porthos for the realisation of a CCS system. The carbon emitted by the companies will be captured, transported, and stored beneath the North Sea by the end of 2023 </w:t>
      </w:r>
      <w:r w:rsidRPr="00E10B6E">
        <w:fldChar w:fldCharType="begin" w:fldLock="1"/>
      </w:r>
      <w:r w:rsidRPr="00E10B6E">
        <w:instrText>ADDIN CSL_CITATION {"citationItems":[{"id":"ITEM-1","itemData":{"URL":"https://www.portofrotterdam.com/en/news-and-press-releases/ccs-project-porthos-a-step-closer","accessed":{"date-parts":[["2020","7","24"]]},"author":[{"dropping-particle":"","family":"Port of Rotterdam","given":"","non-dropping-particle":"","parse-names":false,"suffix":""}],"id":"ITEM-1","issued":{"date-parts":[["2019"]]},"title":"CCS project Porthos a step closer | Port of Rotterdam","type":"webpage"},"uris":["http://www.mendeley.com/documents/?uuid=00772d34-9f63-3f28-8129-da7cbe89a726"]}],"mendeley":{"formattedCitation":"(Port of Rotterdam, 2019a)","plainTextFormattedCitation":"(Port of Rotterdam, 2019a)","previouslyFormattedCitation":"(Port of Rotterdam, 2019a)"},"properties":{"noteIndex":0},"schema":"https://github.com/citation-style-language/schema/raw/master/csl-citation.json"}</w:instrText>
      </w:r>
      <w:r w:rsidRPr="00E10B6E">
        <w:fldChar w:fldCharType="separate"/>
      </w:r>
      <w:r w:rsidRPr="00E10B6E">
        <w:rPr>
          <w:noProof/>
        </w:rPr>
        <w:t>(Port of Rotterdam, 2019a)</w:t>
      </w:r>
      <w:r w:rsidRPr="00E10B6E">
        <w:fldChar w:fldCharType="end"/>
      </w:r>
      <w:r w:rsidRPr="00E10B6E">
        <w:t>.</w:t>
      </w:r>
    </w:p>
    <w:p w14:paraId="00E48DC2" w14:textId="5AD030E5" w:rsidR="00513648" w:rsidRPr="00E10B6E" w:rsidRDefault="00513648" w:rsidP="00513648">
      <w:pPr>
        <w:pStyle w:val="Heading1"/>
        <w:rPr>
          <w:b/>
          <w:bCs/>
        </w:rPr>
      </w:pPr>
      <w:bookmarkStart w:id="92" w:name="_Toc54274813"/>
      <w:r w:rsidRPr="00E10B6E">
        <w:rPr>
          <w:b/>
          <w:bCs/>
        </w:rPr>
        <w:lastRenderedPageBreak/>
        <w:t>5. DISCUSSION</w:t>
      </w:r>
      <w:bookmarkEnd w:id="92"/>
    </w:p>
    <w:p w14:paraId="399C7DAB" w14:textId="4EB7F98D" w:rsidR="002926B5" w:rsidRPr="00E10B6E" w:rsidRDefault="002926B5" w:rsidP="002926B5">
      <w:pPr>
        <w:pStyle w:val="Heading2"/>
      </w:pPr>
      <w:bookmarkStart w:id="93" w:name="_Toc54274814"/>
      <w:r w:rsidRPr="00E10B6E">
        <w:t xml:space="preserve">5.1 </w:t>
      </w:r>
      <w:r w:rsidR="008C6E05" w:rsidRPr="00E10B6E">
        <w:t>Limitations to the research</w:t>
      </w:r>
      <w:bookmarkEnd w:id="93"/>
    </w:p>
    <w:p w14:paraId="26D2C4B2" w14:textId="3ABC50B4" w:rsidR="003B1046" w:rsidRPr="00E10B6E" w:rsidRDefault="00B75E7A" w:rsidP="003D0936">
      <w:pPr>
        <w:jc w:val="both"/>
      </w:pPr>
      <w:r w:rsidRPr="00E10B6E">
        <w:t xml:space="preserve">The first </w:t>
      </w:r>
      <w:r w:rsidR="00E302E6" w:rsidRPr="00E10B6E">
        <w:t>restraint</w:t>
      </w:r>
      <w:r w:rsidRPr="00E10B6E">
        <w:t xml:space="preserve"> of this study was the </w:t>
      </w:r>
      <w:r w:rsidR="00E302E6" w:rsidRPr="00E10B6E">
        <w:t xml:space="preserve">limited </w:t>
      </w:r>
      <w:r w:rsidRPr="00E10B6E">
        <w:t>time</w:t>
      </w:r>
      <w:r w:rsidR="00E302E6" w:rsidRPr="00E10B6E">
        <w:t xml:space="preserve"> </w:t>
      </w:r>
      <w:r w:rsidRPr="00E10B6E">
        <w:t>frame</w:t>
      </w:r>
      <w:r w:rsidR="00E302E6" w:rsidRPr="00E10B6E">
        <w:t xml:space="preserve">, which </w:t>
      </w:r>
      <w:r w:rsidR="00F702FD" w:rsidRPr="00E10B6E">
        <w:t xml:space="preserve">only allowed to focus on two categories of decarbonisation options, namely bio-based feedstock and recycling technologies. </w:t>
      </w:r>
      <w:r w:rsidR="00841E89" w:rsidRPr="00E10B6E">
        <w:t>If more time was allocated for the research, o</w:t>
      </w:r>
      <w:r w:rsidR="00302E72" w:rsidRPr="00E10B6E">
        <w:t xml:space="preserve">ther technologies </w:t>
      </w:r>
      <w:r w:rsidR="00841E89" w:rsidRPr="00E10B6E">
        <w:t xml:space="preserve">such as CCS (Carbon Capture and Storage) </w:t>
      </w:r>
      <w:r w:rsidR="00850BC2" w:rsidRPr="00E10B6E">
        <w:t xml:space="preserve">or electrification </w:t>
      </w:r>
      <w:r w:rsidR="009D2B84" w:rsidRPr="00E10B6E">
        <w:t xml:space="preserve">(e.g. heat pumps) </w:t>
      </w:r>
      <w:r w:rsidR="00EF2320" w:rsidRPr="00E10B6E">
        <w:t xml:space="preserve">powered by RES (Renewable Energy Sources) </w:t>
      </w:r>
      <w:r w:rsidR="00841E89" w:rsidRPr="00E10B6E">
        <w:t>may have been analysed</w:t>
      </w:r>
      <w:r w:rsidR="007055F5" w:rsidRPr="00E10B6E">
        <w:t xml:space="preserve"> in detail</w:t>
      </w:r>
      <w:r w:rsidR="00850BC2" w:rsidRPr="00E10B6E">
        <w:t xml:space="preserve">. </w:t>
      </w:r>
      <w:r w:rsidR="00EF2320" w:rsidRPr="00E10B6E">
        <w:t xml:space="preserve">This issue, however, is partially solved by the fact that </w:t>
      </w:r>
      <w:r w:rsidR="00BA2573" w:rsidRPr="00E10B6E">
        <w:t xml:space="preserve">CCS, RES, and many other technologies that are non-specific for polyolefins, </w:t>
      </w:r>
      <w:r w:rsidR="00BA4CEA" w:rsidRPr="00E10B6E">
        <w:t xml:space="preserve">have been already included in the MIDDEN dataset </w:t>
      </w:r>
      <w:r w:rsidR="0013118B" w:rsidRPr="00E10B6E">
        <w:t xml:space="preserve">by other researchers </w:t>
      </w:r>
      <w:r w:rsidR="00BA4CEA" w:rsidRPr="00E10B6E">
        <w:t>over the last two years.</w:t>
      </w:r>
      <w:r w:rsidR="00555BAA" w:rsidRPr="00E10B6E">
        <w:t xml:space="preserve"> The MIDDEN report on the PVC industry, for example, </w:t>
      </w:r>
      <w:r w:rsidR="006B0B80" w:rsidRPr="00E10B6E">
        <w:t>evaluates</w:t>
      </w:r>
      <w:r w:rsidR="00555BAA" w:rsidRPr="00E10B6E">
        <w:t xml:space="preserve"> </w:t>
      </w:r>
      <w:r w:rsidR="00966C5A" w:rsidRPr="00E10B6E">
        <w:t>a cost of 150 €/ton CO</w:t>
      </w:r>
      <w:r w:rsidR="00966C5A" w:rsidRPr="00E10B6E">
        <w:rPr>
          <w:vertAlign w:val="subscript"/>
        </w:rPr>
        <w:t>2</w:t>
      </w:r>
      <w:r w:rsidR="00966C5A" w:rsidRPr="00E10B6E">
        <w:t xml:space="preserve"> captured and stored </w:t>
      </w:r>
      <w:r w:rsidR="00966C5A" w:rsidRPr="00E10B6E">
        <w:fldChar w:fldCharType="begin" w:fldLock="1"/>
      </w:r>
      <w:r w:rsidR="004E2E26" w:rsidRPr="00E10B6E">
        <w:instrText>ADDIN CSL_CITATION {"citationItems":[{"id":"ITEM-1","itemData":{"author":[{"dropping-particle":"","family":"Semeijn","given":"V P","non-dropping-particle":"","parse-names":false,"suffix":""},{"dropping-particle":"","family":"Schure","given":"K M","non-dropping-particle":"","parse-names":false,"suffix":""}],"id":"ITEM-1","issued":{"date-parts":[["2020","2","10"]]},"title":"DECARBONISATION OPTIONS FOR THE DUTCH PVC INDUSTRY Manufacturing Industry Decarbonisation Data Exchange Network PBL-ECN part of TNO | 2-A MIDDEN report","type":"report"},"uris":["http://www.mendeley.com/documents/?uuid=cce96f20-04cd-37e8-b698-9a798bde530f"]}],"mendeley":{"formattedCitation":"(Semeijn &amp; Schure, 2020)","plainTextFormattedCitation":"(Semeijn &amp; Schure, 2020)","previouslyFormattedCitation":"(Semeijn &amp; Schure, 2020)"},"properties":{"noteIndex":0},"schema":"https://github.com/citation-style-language/schema/raw/master/csl-citation.json"}</w:instrText>
      </w:r>
      <w:r w:rsidR="00966C5A" w:rsidRPr="00E10B6E">
        <w:fldChar w:fldCharType="separate"/>
      </w:r>
      <w:r w:rsidR="00966C5A" w:rsidRPr="00E10B6E">
        <w:rPr>
          <w:noProof/>
        </w:rPr>
        <w:t>(Semeijn &amp; Schure, 2020)</w:t>
      </w:r>
      <w:r w:rsidR="00966C5A" w:rsidRPr="00E10B6E">
        <w:fldChar w:fldCharType="end"/>
      </w:r>
      <w:r w:rsidR="00966C5A" w:rsidRPr="00E10B6E">
        <w:t xml:space="preserve">, while the total </w:t>
      </w:r>
      <w:r w:rsidR="004E2E26" w:rsidRPr="00E10B6E">
        <w:t xml:space="preserve">abatement </w:t>
      </w:r>
      <w:r w:rsidR="00966C5A" w:rsidRPr="00E10B6E">
        <w:t xml:space="preserve">potential </w:t>
      </w:r>
      <w:r w:rsidR="004E2E26" w:rsidRPr="00E10B6E">
        <w:t xml:space="preserve">for the Dutch petrochemical industry </w:t>
      </w:r>
      <w:r w:rsidR="00966C5A" w:rsidRPr="00E10B6E">
        <w:t>is</w:t>
      </w:r>
      <w:r w:rsidR="004E2E26" w:rsidRPr="00E10B6E">
        <w:t xml:space="preserve"> </w:t>
      </w:r>
      <w:r w:rsidR="006B0B80" w:rsidRPr="00E10B6E">
        <w:t xml:space="preserve">estimated to be </w:t>
      </w:r>
      <w:r w:rsidR="004E2E26" w:rsidRPr="00E10B6E">
        <w:t xml:space="preserve">11.4 Mton per year </w:t>
      </w:r>
      <w:r w:rsidR="004E2E26" w:rsidRPr="00E10B6E">
        <w:fldChar w:fldCharType="begin" w:fldLock="1"/>
      </w:r>
      <w:r w:rsidR="00082500" w:rsidRPr="00E10B6E">
        <w:instrText>ADDIN CSL_CITATION {"citationItems":[{"id":"ITEM-1","itemData":{"author":[{"dropping-particle":"","family":"VNCI","given":"","non-dropping-particle":"","parse-names":false,"suffix":""}],"id":"ITEM-1","issued":{"date-parts":[["2018"]]},"title":"Chemistry for Climate - Roadmap for the Dutch Chemical Industry towards 2050","type":"report"},"uris":["http://www.mendeley.com/documents/?uuid=837720ec-d9d6-3717-b374-33e77cdb2883"]}],"mendeley":{"formattedCitation":"(VNCI, 2018)","plainTextFormattedCitation":"(VNCI, 2018)","previouslyFormattedCitation":"(VNCI, 2018)"},"properties":{"noteIndex":0},"schema":"https://github.com/citation-style-language/schema/raw/master/csl-citation.json"}</w:instrText>
      </w:r>
      <w:r w:rsidR="004E2E26" w:rsidRPr="00E10B6E">
        <w:fldChar w:fldCharType="separate"/>
      </w:r>
      <w:r w:rsidR="004E2E26" w:rsidRPr="00E10B6E">
        <w:rPr>
          <w:noProof/>
        </w:rPr>
        <w:t>(VNCI, 2018)</w:t>
      </w:r>
      <w:r w:rsidR="004E2E26" w:rsidRPr="00E10B6E">
        <w:fldChar w:fldCharType="end"/>
      </w:r>
      <w:r w:rsidR="004E2E26" w:rsidRPr="00E10B6E">
        <w:t>.</w:t>
      </w:r>
    </w:p>
    <w:p w14:paraId="0EC7F8CD" w14:textId="7B540F38" w:rsidR="008E2967" w:rsidRPr="00E10B6E" w:rsidRDefault="00063403" w:rsidP="003D0936">
      <w:pPr>
        <w:jc w:val="both"/>
      </w:pPr>
      <w:r w:rsidRPr="00E10B6E">
        <w:t xml:space="preserve">There were also two barriers </w:t>
      </w:r>
      <w:r w:rsidR="006B1ED0" w:rsidRPr="00E10B6E">
        <w:t>concerning the gathering of data</w:t>
      </w:r>
      <w:r w:rsidR="00156C1C" w:rsidRPr="00E10B6E">
        <w:t>.</w:t>
      </w:r>
      <w:r w:rsidRPr="00E10B6E">
        <w:t xml:space="preserve"> </w:t>
      </w:r>
      <w:r w:rsidR="00156C1C" w:rsidRPr="00E10B6E">
        <w:t>O</w:t>
      </w:r>
      <w:r w:rsidRPr="00E10B6E">
        <w:t>n one side, polyolefins producers are reluctant to share all the information about the</w:t>
      </w:r>
      <w:r w:rsidR="007F18F5" w:rsidRPr="00E10B6E">
        <w:t xml:space="preserve"> technologies adopted in their production sites, the energy consumption, and their plans for the future</w:t>
      </w:r>
      <w:r w:rsidR="00156C1C" w:rsidRPr="00E10B6E">
        <w:t>. Althou</w:t>
      </w:r>
      <w:r w:rsidR="00B24017" w:rsidRPr="00E10B6E">
        <w:t xml:space="preserve">gh they agreed to share </w:t>
      </w:r>
      <w:r w:rsidR="00CC55F6" w:rsidRPr="00E10B6E">
        <w:t>some of the</w:t>
      </w:r>
      <w:r w:rsidR="00B24017" w:rsidRPr="00E10B6E">
        <w:t xml:space="preserve"> data for the MIDDEN dataset, they did not agree to show it to the public</w:t>
      </w:r>
      <w:r w:rsidR="00CC55F6" w:rsidRPr="00E10B6E">
        <w:t>, and they kept the details of their future strategies hidden</w:t>
      </w:r>
      <w:r w:rsidR="00B24017" w:rsidRPr="00E10B6E">
        <w:t>.</w:t>
      </w:r>
      <w:r w:rsidR="006B0B80" w:rsidRPr="00E10B6E">
        <w:t xml:space="preserve"> </w:t>
      </w:r>
      <w:r w:rsidR="004236F5" w:rsidRPr="00E10B6E">
        <w:t>Th</w:t>
      </w:r>
      <w:r w:rsidR="00BC2F9E" w:rsidRPr="00E10B6E">
        <w:t>is lack of transparency led to som</w:t>
      </w:r>
      <w:r w:rsidR="004236F5" w:rsidRPr="00E10B6E">
        <w:t xml:space="preserve">e missing data </w:t>
      </w:r>
      <w:r w:rsidR="00D17D38" w:rsidRPr="00E10B6E">
        <w:t xml:space="preserve">(e.g. the yearly energy consumption of </w:t>
      </w:r>
      <w:r w:rsidR="003A5B0A" w:rsidRPr="00E10B6E">
        <w:t>one</w:t>
      </w:r>
      <w:r w:rsidR="00D17D38" w:rsidRPr="00E10B6E">
        <w:t xml:space="preserve"> production site)</w:t>
      </w:r>
      <w:r w:rsidR="00BC2F9E" w:rsidRPr="00E10B6E">
        <w:t>, which</w:t>
      </w:r>
      <w:r w:rsidR="00D17D38" w:rsidRPr="00E10B6E">
        <w:t xml:space="preserve"> </w:t>
      </w:r>
      <w:r w:rsidR="004236F5" w:rsidRPr="00E10B6E">
        <w:t xml:space="preserve">had to be estimated </w:t>
      </w:r>
      <w:r w:rsidR="00D17D38" w:rsidRPr="00E10B6E">
        <w:t>using the available information</w:t>
      </w:r>
      <w:r w:rsidR="003A5B0A" w:rsidRPr="00E10B6E">
        <w:t xml:space="preserve"> (e.g. installed capacity and technologies adopted)</w:t>
      </w:r>
      <w:r w:rsidR="0008046E" w:rsidRPr="00E10B6E">
        <w:t xml:space="preserve">, </w:t>
      </w:r>
      <w:r w:rsidR="003D4DB0" w:rsidRPr="00E10B6E">
        <w:t>attaining</w:t>
      </w:r>
      <w:r w:rsidR="008E2967" w:rsidRPr="00E10B6E">
        <w:t xml:space="preserve"> an approximation </w:t>
      </w:r>
      <w:r w:rsidR="003D4DB0" w:rsidRPr="00E10B6E">
        <w:t>to reality</w:t>
      </w:r>
      <w:r w:rsidR="00BC2F9E" w:rsidRPr="00E10B6E">
        <w:t xml:space="preserve">. </w:t>
      </w:r>
      <w:r w:rsidR="00CC55F6" w:rsidRPr="00E10B6E">
        <w:t>O</w:t>
      </w:r>
      <w:r w:rsidR="007F18F5" w:rsidRPr="00E10B6E">
        <w:t>n the other side, many decarbonisation options are still under development</w:t>
      </w:r>
      <w:r w:rsidR="00156C1C" w:rsidRPr="00E10B6E">
        <w:t>, making it difficult to get accurate data regarding their techno-economic and environmental indicators.</w:t>
      </w:r>
      <w:r w:rsidR="004203AE" w:rsidRPr="00E10B6E">
        <w:t xml:space="preserve"> Especially when analysing thermochemical recycling processes, it is </w:t>
      </w:r>
      <w:r w:rsidR="00EC5A20" w:rsidRPr="00E10B6E">
        <w:t xml:space="preserve">currently </w:t>
      </w:r>
      <w:r w:rsidR="004203AE" w:rsidRPr="00E10B6E">
        <w:t>difficult to assess the feasibility and convenienc</w:t>
      </w:r>
      <w:r w:rsidR="00F52340" w:rsidRPr="00E10B6E">
        <w:t>e</w:t>
      </w:r>
      <w:r w:rsidR="004203AE" w:rsidRPr="00E10B6E">
        <w:t xml:space="preserve"> of their deployment.</w:t>
      </w:r>
      <w:r w:rsidR="00156C1C" w:rsidRPr="00E10B6E">
        <w:t xml:space="preserve"> </w:t>
      </w:r>
      <w:r w:rsidR="00163127" w:rsidRPr="00E10B6E">
        <w:t xml:space="preserve">Hopefully, </w:t>
      </w:r>
      <w:r w:rsidR="00EC5A20" w:rsidRPr="00E10B6E">
        <w:t>however, more research and pilot-</w:t>
      </w:r>
      <w:r w:rsidR="00BA4895" w:rsidRPr="00E10B6E">
        <w:t xml:space="preserve">projects will make </w:t>
      </w:r>
      <w:r w:rsidR="00163127" w:rsidRPr="00E10B6E">
        <w:t xml:space="preserve">the performance improve in the next years, </w:t>
      </w:r>
      <w:r w:rsidR="00BA4895" w:rsidRPr="00E10B6E">
        <w:t>meaning that the data</w:t>
      </w:r>
      <w:r w:rsidR="00B31950" w:rsidRPr="00E10B6E">
        <w:t xml:space="preserve"> </w:t>
      </w:r>
      <w:r w:rsidR="00A5144D" w:rsidRPr="00E10B6E">
        <w:t xml:space="preserve">presented in this thesis still has value as </w:t>
      </w:r>
      <w:r w:rsidR="00F52340" w:rsidRPr="00E10B6E">
        <w:t xml:space="preserve">a </w:t>
      </w:r>
      <w:r w:rsidR="00A5144D" w:rsidRPr="00E10B6E">
        <w:t>“pessimistic” scenario.</w:t>
      </w:r>
      <w:r w:rsidR="002E660B" w:rsidRPr="00E10B6E">
        <w:t xml:space="preserve"> </w:t>
      </w:r>
    </w:p>
    <w:p w14:paraId="4852A58E" w14:textId="53C48556" w:rsidR="002D26CA" w:rsidRPr="002D26CA" w:rsidRDefault="00A5144D" w:rsidP="002D26CA">
      <w:pPr>
        <w:jc w:val="both"/>
        <w:rPr>
          <w:rFonts w:ascii="Calibri" w:eastAsia="Times New Roman" w:hAnsi="Calibri" w:cs="Calibri"/>
          <w:lang w:eastAsia="en-GB"/>
        </w:rPr>
      </w:pPr>
      <w:r w:rsidRPr="00E10B6E">
        <w:t xml:space="preserve">Finally, </w:t>
      </w:r>
      <w:r w:rsidR="00671DA4" w:rsidRPr="00E10B6E">
        <w:t xml:space="preserve">the </w:t>
      </w:r>
      <w:r w:rsidR="00B56EAD" w:rsidRPr="00E10B6E">
        <w:t>scope of this research</w:t>
      </w:r>
      <w:r w:rsidR="00671DA4" w:rsidRPr="00E10B6E">
        <w:t xml:space="preserve"> </w:t>
      </w:r>
      <w:r w:rsidR="00B56EAD" w:rsidRPr="00E10B6E">
        <w:t xml:space="preserve">is </w:t>
      </w:r>
      <w:r w:rsidR="00671DA4" w:rsidRPr="00E10B6E">
        <w:t>the producers’ side</w:t>
      </w:r>
      <w:r w:rsidR="001E0905" w:rsidRPr="00E10B6E">
        <w:t xml:space="preserve"> only</w:t>
      </w:r>
      <w:r w:rsidR="00671DA4" w:rsidRPr="00E10B6E">
        <w:t xml:space="preserve">, completely ignoring the consumers’ side. </w:t>
      </w:r>
      <w:r w:rsidR="00B56EAD" w:rsidRPr="00E10B6E">
        <w:t>This is due to the nature of the MIDDEN project</w:t>
      </w:r>
      <w:r w:rsidR="001E0905" w:rsidRPr="00E10B6E">
        <w:t xml:space="preserve">, which is focused on finding decarbonisation options for the Dutch industrial sector, but it is clear the </w:t>
      </w:r>
      <w:r w:rsidR="00AB7676" w:rsidRPr="00E10B6E">
        <w:t xml:space="preserve">supply and demand influence each other, and that acting on consumers’ behaviour would have a great impact on the </w:t>
      </w:r>
      <w:r w:rsidR="00D91D7B" w:rsidRPr="00E10B6E">
        <w:t xml:space="preserve">amount of </w:t>
      </w:r>
      <w:r w:rsidR="00AB7676" w:rsidRPr="00E10B6E">
        <w:t>carbon emissions</w:t>
      </w:r>
      <w:r w:rsidR="00D91D7B" w:rsidRPr="00E10B6E">
        <w:t xml:space="preserve"> caused by polyolefins. It is thus recommended </w:t>
      </w:r>
      <w:r w:rsidR="00C47BF7" w:rsidRPr="00E10B6E">
        <w:t>for future studies to include products regulation</w:t>
      </w:r>
      <w:r w:rsidR="00A133B4" w:rsidRPr="00E10B6E">
        <w:t xml:space="preserve"> and </w:t>
      </w:r>
      <w:r w:rsidR="00C47BF7" w:rsidRPr="00E10B6E">
        <w:t>consumers’ awareness</w:t>
      </w:r>
      <w:r w:rsidR="00A133B4" w:rsidRPr="00E10B6E">
        <w:t xml:space="preserve"> </w:t>
      </w:r>
      <w:r w:rsidR="00C47BF7" w:rsidRPr="00E10B6E">
        <w:t>within their research boundaries</w:t>
      </w:r>
      <w:r w:rsidR="009D4AE5">
        <w:t xml:space="preserve">. In the last few years, </w:t>
      </w:r>
      <w:r w:rsidR="00B95C27">
        <w:t>the demand for polyolefins in Europe has been stagnating, and the European Union is working on measures to further reduce the consumption of single-use plastics</w:t>
      </w:r>
      <w:r w:rsidR="001452DE">
        <w:t xml:space="preserve"> (e.g. banning disposable cutlery and plates), but </w:t>
      </w:r>
      <w:r w:rsidR="008D75D9">
        <w:t>the growth of Asian</w:t>
      </w:r>
      <w:r w:rsidR="006B7F65">
        <w:t>, Middle-Eastern,</w:t>
      </w:r>
      <w:r w:rsidR="008D75D9">
        <w:t xml:space="preserve"> and African countries may</w:t>
      </w:r>
      <w:r w:rsidR="00923FAE">
        <w:t xml:space="preserve"> keep the </w:t>
      </w:r>
      <w:r w:rsidR="006B7F65">
        <w:t xml:space="preserve">global </w:t>
      </w:r>
      <w:r w:rsidR="00923FAE">
        <w:t xml:space="preserve">demand </w:t>
      </w:r>
      <w:r w:rsidR="006B7F65">
        <w:t>(</w:t>
      </w:r>
      <w:r w:rsidR="00923FAE">
        <w:t>and consequently the supply</w:t>
      </w:r>
      <w:r w:rsidR="006B7F65">
        <w:t>)</w:t>
      </w:r>
      <w:r w:rsidR="00923FAE">
        <w:t xml:space="preserve"> steady.</w:t>
      </w:r>
      <w:r w:rsidR="002D26CA">
        <w:t xml:space="preserve"> </w:t>
      </w:r>
      <w:r w:rsidR="002D26CA" w:rsidRPr="002D26CA">
        <w:rPr>
          <w:rFonts w:ascii="Calibri" w:eastAsia="Times New Roman" w:hAnsi="Calibri" w:cs="Calibri"/>
          <w:lang w:eastAsia="en-GB"/>
        </w:rPr>
        <w:t xml:space="preserve">Either way, studying the </w:t>
      </w:r>
      <w:r w:rsidR="006B7F65">
        <w:rPr>
          <w:rFonts w:ascii="Calibri" w:eastAsia="Times New Roman" w:hAnsi="Calibri" w:cs="Calibri"/>
          <w:lang w:eastAsia="en-GB"/>
        </w:rPr>
        <w:t>international</w:t>
      </w:r>
      <w:r w:rsidR="002D26CA" w:rsidRPr="002D26CA">
        <w:rPr>
          <w:rFonts w:ascii="Calibri" w:eastAsia="Times New Roman" w:hAnsi="Calibri" w:cs="Calibri"/>
          <w:lang w:eastAsia="en-GB"/>
        </w:rPr>
        <w:t xml:space="preserve"> market and forecasting the future of plastic production would be helpful to guide the change of the Dutch polyolefins industry.</w:t>
      </w:r>
    </w:p>
    <w:p w14:paraId="2A98A9DC" w14:textId="25A60697" w:rsidR="00A5144D" w:rsidRPr="00E10B6E" w:rsidRDefault="00A5144D" w:rsidP="003D0936">
      <w:pPr>
        <w:jc w:val="both"/>
      </w:pPr>
    </w:p>
    <w:p w14:paraId="396D7C0F" w14:textId="77777777" w:rsidR="002C7156" w:rsidRDefault="002C7156">
      <w:pPr>
        <w:rPr>
          <w:rFonts w:asciiTheme="majorHAnsi" w:eastAsiaTheme="majorEastAsia" w:hAnsiTheme="majorHAnsi" w:cstheme="majorBidi"/>
          <w:color w:val="2F5496" w:themeColor="accent1" w:themeShade="BF"/>
          <w:sz w:val="28"/>
          <w:szCs w:val="26"/>
        </w:rPr>
      </w:pPr>
      <w:bookmarkStart w:id="94" w:name="_Toc54274815"/>
      <w:r>
        <w:br w:type="page"/>
      </w:r>
    </w:p>
    <w:p w14:paraId="5975C239" w14:textId="40F95CE4" w:rsidR="00A03A6D" w:rsidRPr="00E10B6E" w:rsidRDefault="00A03A6D" w:rsidP="00A03A6D">
      <w:pPr>
        <w:pStyle w:val="Heading2"/>
      </w:pPr>
      <w:r w:rsidRPr="00E10B6E">
        <w:lastRenderedPageBreak/>
        <w:t>5.</w:t>
      </w:r>
      <w:r w:rsidR="007C1D98" w:rsidRPr="00E10B6E">
        <w:t>2</w:t>
      </w:r>
      <w:r w:rsidRPr="00E10B6E">
        <w:t xml:space="preserve"> </w:t>
      </w:r>
      <w:r w:rsidR="007C1D98" w:rsidRPr="00E10B6E">
        <w:t>Impact on the results on the f</w:t>
      </w:r>
      <w:r w:rsidRPr="00E10B6E">
        <w:t>u</w:t>
      </w:r>
      <w:r w:rsidR="007F3D91" w:rsidRPr="00E10B6E">
        <w:t>ture of the Dutch polyolefins industry</w:t>
      </w:r>
      <w:bookmarkEnd w:id="94"/>
    </w:p>
    <w:p w14:paraId="19542185" w14:textId="77777777" w:rsidR="002C7156" w:rsidRDefault="002436C3" w:rsidP="00840AFD">
      <w:pPr>
        <w:jc w:val="both"/>
      </w:pPr>
      <w:r w:rsidRPr="00E10B6E">
        <w:t xml:space="preserve">Even considering all the aforementioned limitations, this study is considered a valuable contribution to the MIDDEN project. The results </w:t>
      </w:r>
      <w:r w:rsidR="00945826" w:rsidRPr="00E10B6E">
        <w:t xml:space="preserve">are supported by both scientific literature and interviews with the </w:t>
      </w:r>
      <w:r w:rsidR="002125CE" w:rsidRPr="00E10B6E">
        <w:t>polyolefins</w:t>
      </w:r>
      <w:r w:rsidR="00945826" w:rsidRPr="00E10B6E">
        <w:t xml:space="preserve"> producers, meaning that they </w:t>
      </w:r>
      <w:r w:rsidR="002125CE" w:rsidRPr="00E10B6E">
        <w:t xml:space="preserve">are as precise and relevant as possible to the situation of the Dutch industry. </w:t>
      </w:r>
      <w:r w:rsidR="002D4373" w:rsidRPr="00E10B6E">
        <w:t xml:space="preserve">The Netherlands can thus use </w:t>
      </w:r>
      <w:r w:rsidR="002D553B" w:rsidRPr="00E10B6E">
        <w:t>the MIDDEN dataset to develop decarbonisation strategies and achieve its national targets for 2050, in accord with the “klimaat</w:t>
      </w:r>
      <w:r w:rsidR="008C6D29" w:rsidRPr="00E10B6E">
        <w:t>-</w:t>
      </w:r>
      <w:r w:rsidR="002D553B" w:rsidRPr="00E10B6E">
        <w:t>akkord”</w:t>
      </w:r>
      <w:r w:rsidR="008C6D29" w:rsidRPr="00E10B6E">
        <w:t xml:space="preserve">. </w:t>
      </w:r>
    </w:p>
    <w:p w14:paraId="6ABE4F28" w14:textId="383D0E23" w:rsidR="00F67810" w:rsidRDefault="00860BC9" w:rsidP="00840AFD">
      <w:pPr>
        <w:jc w:val="both"/>
      </w:pPr>
      <w:r w:rsidRPr="00E10B6E">
        <w:t xml:space="preserve">This research also highlights the need </w:t>
      </w:r>
      <w:r w:rsidR="00F52340" w:rsidRPr="00E10B6E">
        <w:t>for</w:t>
      </w:r>
      <w:r w:rsidRPr="00E10B6E">
        <w:t xml:space="preserve"> </w:t>
      </w:r>
      <w:r w:rsidR="006D3B14" w:rsidRPr="00E10B6E">
        <w:t>economic support for decarbonisation options such as bio-based feedstock</w:t>
      </w:r>
      <w:r w:rsidR="00AA0C1E" w:rsidRPr="00E10B6E">
        <w:t xml:space="preserve">, which is not competitive </w:t>
      </w:r>
      <w:r w:rsidR="00840AFD" w:rsidRPr="00E10B6E">
        <w:t xml:space="preserve">unless a carbon price </w:t>
      </w:r>
      <w:r w:rsidR="00FC5473" w:rsidRPr="00E10B6E">
        <w:t>between 150 and 400 €/kg CO</w:t>
      </w:r>
      <w:r w:rsidR="00FC5473" w:rsidRPr="00E10B6E">
        <w:rPr>
          <w:vertAlign w:val="subscript"/>
        </w:rPr>
        <w:t>2</w:t>
      </w:r>
      <w:r w:rsidR="00FC5473" w:rsidRPr="00E10B6E">
        <w:t xml:space="preserve">-eq </w:t>
      </w:r>
      <w:r w:rsidR="00840AFD" w:rsidRPr="00E10B6E">
        <w:t>is applied to the market.</w:t>
      </w:r>
      <w:r w:rsidR="0045255E" w:rsidRPr="00E10B6E">
        <w:t xml:space="preserve"> The price range is wide due to the influence of the recycling rate: the more plastic waste is recycled </w:t>
      </w:r>
      <w:r w:rsidR="007E3E72" w:rsidRPr="00E10B6E">
        <w:t xml:space="preserve">and kept in the circular economy loop, the more it will be the abatement potential of bio-based sources, </w:t>
      </w:r>
      <w:r w:rsidR="009A6D93" w:rsidRPr="00E10B6E">
        <w:t>thanks to the absorption of CO</w:t>
      </w:r>
      <w:r w:rsidR="009A6D93" w:rsidRPr="00E10B6E">
        <w:rPr>
          <w:vertAlign w:val="subscript"/>
        </w:rPr>
        <w:t>2</w:t>
      </w:r>
      <w:r w:rsidR="009A6D93" w:rsidRPr="00E10B6E">
        <w:t xml:space="preserve"> during the crops’ growth. Import taxes are another factor to consider when evaluating the feasibility of bio-based feedstock</w:t>
      </w:r>
      <w:r w:rsidR="005572D3" w:rsidRPr="00E10B6E">
        <w:t xml:space="preserve">, as producing ethanol in Europe is currently </w:t>
      </w:r>
      <w:r w:rsidR="009778BC" w:rsidRPr="00E10B6E">
        <w:t xml:space="preserve">50% </w:t>
      </w:r>
      <w:r w:rsidR="005572D3" w:rsidRPr="00E10B6E">
        <w:t>more expensive than producing in abroad (e.g. Brazil). If the tariffs were lowered and the Netherlands could import</w:t>
      </w:r>
      <w:r w:rsidR="00CA0CBF" w:rsidRPr="00E10B6E">
        <w:t xml:space="preserve"> cheap</w:t>
      </w:r>
      <w:r w:rsidR="005572D3" w:rsidRPr="00E10B6E">
        <w:t xml:space="preserve"> bio-ethanol from abroad, </w:t>
      </w:r>
      <w:r w:rsidR="00CA0CBF" w:rsidRPr="00E10B6E">
        <w:t xml:space="preserve">the cost of bio-polyolefins could be </w:t>
      </w:r>
      <w:r w:rsidR="009778BC" w:rsidRPr="00E10B6E">
        <w:t xml:space="preserve">almost </w:t>
      </w:r>
      <w:r w:rsidR="00CA0CBF" w:rsidRPr="00E10B6E">
        <w:t xml:space="preserve">30% lower. </w:t>
      </w:r>
      <w:r w:rsidR="00ED48B4" w:rsidRPr="00E10B6E">
        <w:t xml:space="preserve">Cost-learning and </w:t>
      </w:r>
      <w:r w:rsidR="00CF732B" w:rsidRPr="00E10B6E">
        <w:t>innovation will probably decrease the cost of bio-polyolefins</w:t>
      </w:r>
      <w:r w:rsidR="00FC637B" w:rsidRPr="00E10B6E">
        <w:t xml:space="preserve"> </w:t>
      </w:r>
      <w:r w:rsidR="004739F3" w:rsidRPr="00E10B6E">
        <w:t>while scaling-up</w:t>
      </w:r>
      <w:r w:rsidR="00FC637B" w:rsidRPr="00E10B6E">
        <w:t>, but regulations and financial</w:t>
      </w:r>
      <w:r w:rsidR="001B0251" w:rsidRPr="00E10B6E">
        <w:t xml:space="preserve"> help (e.g. subsidies, </w:t>
      </w:r>
      <w:r w:rsidR="0034052B" w:rsidRPr="00E10B6E">
        <w:t xml:space="preserve">reduced taxes, public investments) are essential to foster the </w:t>
      </w:r>
      <w:r w:rsidR="004739F3" w:rsidRPr="00E10B6E">
        <w:t xml:space="preserve">initial </w:t>
      </w:r>
      <w:r w:rsidR="0034052B" w:rsidRPr="00E10B6E">
        <w:t xml:space="preserve">deployment </w:t>
      </w:r>
      <w:r w:rsidR="004739F3" w:rsidRPr="00E10B6E">
        <w:t xml:space="preserve">of these technologies in the Netherlands. </w:t>
      </w:r>
    </w:p>
    <w:p w14:paraId="65018309" w14:textId="21EF926A" w:rsidR="00860BC9" w:rsidRPr="00E10B6E" w:rsidRDefault="00980374" w:rsidP="00840AFD">
      <w:pPr>
        <w:jc w:val="both"/>
      </w:pPr>
      <w:r w:rsidRPr="00E10B6E">
        <w:t xml:space="preserve">When considering </w:t>
      </w:r>
      <w:r w:rsidR="00EB5385" w:rsidRPr="00E10B6E">
        <w:t xml:space="preserve">circular economy options, it appears that collaboration between companies is </w:t>
      </w:r>
      <w:r w:rsidR="009D76A8" w:rsidRPr="00E10B6E">
        <w:t>crucial</w:t>
      </w:r>
      <w:r w:rsidR="00D117FA" w:rsidRPr="00E10B6E">
        <w:t>, as one plant’s waste can become another plant feedstock. A good example in the Netherlands is the pilot project between Renewi (</w:t>
      </w:r>
      <w:r w:rsidR="00A7319C" w:rsidRPr="00E10B6E">
        <w:t xml:space="preserve">a </w:t>
      </w:r>
      <w:r w:rsidR="00CC310F" w:rsidRPr="00E10B6E">
        <w:t xml:space="preserve">plastic </w:t>
      </w:r>
      <w:r w:rsidR="00A7319C" w:rsidRPr="00E10B6E">
        <w:t>recycling company), Plastic Energy (</w:t>
      </w:r>
      <w:r w:rsidR="00CC310F" w:rsidRPr="00E10B6E">
        <w:t xml:space="preserve">holder of </w:t>
      </w:r>
      <w:r w:rsidR="000919E4" w:rsidRPr="00E10B6E">
        <w:t xml:space="preserve">a patented </w:t>
      </w:r>
      <w:r w:rsidR="00CC310F" w:rsidRPr="00E10B6E">
        <w:t>thermochemical conversion</w:t>
      </w:r>
      <w:r w:rsidR="000919E4" w:rsidRPr="00E10B6E">
        <w:t xml:space="preserve"> process) and SABIC (a polyolefins producer), which is only possible thanks to the combination of technical expertise.</w:t>
      </w:r>
      <w:r w:rsidR="00A237AF" w:rsidRPr="00E10B6E">
        <w:t xml:space="preserve"> </w:t>
      </w:r>
      <w:r w:rsidR="002C5C7E" w:rsidRPr="00E10B6E">
        <w:t>T</w:t>
      </w:r>
      <w:r w:rsidR="00A237AF" w:rsidRPr="00E10B6E">
        <w:t xml:space="preserve">he knowledge of the MIDDEN reports and dataset </w:t>
      </w:r>
      <w:r w:rsidR="00C30DE4" w:rsidRPr="00E10B6E">
        <w:t xml:space="preserve">provides </w:t>
      </w:r>
      <w:r w:rsidR="002C5C7E" w:rsidRPr="00E10B6E">
        <w:t>valuable tool</w:t>
      </w:r>
      <w:r w:rsidR="00C30DE4" w:rsidRPr="00E10B6E">
        <w:t>s</w:t>
      </w:r>
      <w:r w:rsidR="002C5C7E" w:rsidRPr="00E10B6E">
        <w:t xml:space="preserve"> for the Dutch government and </w:t>
      </w:r>
      <w:r w:rsidR="00C30DE4" w:rsidRPr="00E10B6E">
        <w:t xml:space="preserve">industry to foster collaboration and innovation, and eventually re-shape the sector </w:t>
      </w:r>
      <w:r w:rsidR="005A0561" w:rsidRPr="00E10B6E">
        <w:t>to fight the global climate change.</w:t>
      </w:r>
    </w:p>
    <w:p w14:paraId="30D879E7" w14:textId="77777777" w:rsidR="000858A6" w:rsidRPr="00E10B6E" w:rsidRDefault="000858A6">
      <w:r w:rsidRPr="00E10B6E">
        <w:br w:type="page"/>
      </w:r>
    </w:p>
    <w:p w14:paraId="4A19A742" w14:textId="47901DC3" w:rsidR="00513648" w:rsidRPr="00E10B6E" w:rsidRDefault="00513648" w:rsidP="00513648">
      <w:pPr>
        <w:pStyle w:val="Heading1"/>
        <w:rPr>
          <w:b/>
          <w:bCs/>
        </w:rPr>
      </w:pPr>
      <w:bookmarkStart w:id="95" w:name="_Toc54274816"/>
      <w:r w:rsidRPr="00E10B6E">
        <w:rPr>
          <w:b/>
          <w:bCs/>
        </w:rPr>
        <w:lastRenderedPageBreak/>
        <w:t>6. CONCLUSION</w:t>
      </w:r>
      <w:bookmarkEnd w:id="95"/>
    </w:p>
    <w:p w14:paraId="2544080C" w14:textId="44C74DAB" w:rsidR="00F42098" w:rsidRPr="00E10B6E" w:rsidRDefault="00F42098" w:rsidP="00C47673">
      <w:pPr>
        <w:jc w:val="both"/>
      </w:pPr>
      <w:r w:rsidRPr="00E10B6E">
        <w:t xml:space="preserve">This research started with the goal of answering the </w:t>
      </w:r>
      <w:r w:rsidR="00DE793B" w:rsidRPr="00E10B6E">
        <w:t>research question:</w:t>
      </w:r>
      <w:r w:rsidR="00B943E7" w:rsidRPr="00E10B6E">
        <w:t xml:space="preserve"> </w:t>
      </w:r>
      <w:r w:rsidR="00D56E21" w:rsidRPr="00E10B6E">
        <w:t>“</w:t>
      </w:r>
      <w:r w:rsidR="00B943E7" w:rsidRPr="00E10B6E">
        <w:rPr>
          <w:i/>
          <w:iCs/>
        </w:rPr>
        <w:t>What</w:t>
      </w:r>
      <w:r w:rsidR="00DE793B" w:rsidRPr="00E10B6E">
        <w:rPr>
          <w:i/>
          <w:iCs/>
        </w:rPr>
        <w:t xml:space="preserve"> is the current state of polyolefins production in the Netherlands, and what are the potential decarbonisation options to mitigate its impact on climate change?</w:t>
      </w:r>
      <w:r w:rsidR="00DE793B" w:rsidRPr="00E10B6E">
        <w:t xml:space="preserve">”. </w:t>
      </w:r>
      <w:r w:rsidR="001A5597" w:rsidRPr="00E10B6E">
        <w:t xml:space="preserve">The first step was to investigate the yearly consumption </w:t>
      </w:r>
      <w:r w:rsidR="00B517E9" w:rsidRPr="00E10B6E">
        <w:t xml:space="preserve">of polyolefins in the </w:t>
      </w:r>
      <w:r w:rsidR="00ED7B8D" w:rsidRPr="00E10B6E">
        <w:t>Netherlands</w:t>
      </w:r>
      <w:r w:rsidR="00B517E9" w:rsidRPr="00E10B6E">
        <w:t xml:space="preserve">, which altogether is equal to </w:t>
      </w:r>
      <w:r w:rsidR="00ED7B8D" w:rsidRPr="00E10B6E">
        <w:t>over 1,000 kt, or around 62 kg per capita</w:t>
      </w:r>
      <w:r w:rsidR="00B517E9" w:rsidRPr="00E10B6E">
        <w:t xml:space="preserve">. </w:t>
      </w:r>
      <w:r w:rsidR="00B943E7" w:rsidRPr="00E10B6E">
        <w:t xml:space="preserve">The analysis of the </w:t>
      </w:r>
      <w:r w:rsidR="00C47673" w:rsidRPr="00E10B6E">
        <w:t>Dutch polyolefin market revealed that over two</w:t>
      </w:r>
      <w:r w:rsidR="00F52340" w:rsidRPr="00E10B6E">
        <w:t>-</w:t>
      </w:r>
      <w:r w:rsidR="00C47673" w:rsidRPr="00E10B6E">
        <w:t xml:space="preserve">thirds of LDPE </w:t>
      </w:r>
      <w:r w:rsidR="009546A8" w:rsidRPr="00E10B6E">
        <w:t xml:space="preserve">(Low-density Polyethylene) </w:t>
      </w:r>
      <w:r w:rsidR="00C47673" w:rsidRPr="00E10B6E">
        <w:t xml:space="preserve">and LLDPE </w:t>
      </w:r>
      <w:r w:rsidR="009546A8" w:rsidRPr="00E10B6E">
        <w:t xml:space="preserve">(Linear Low-density Polyethylene) </w:t>
      </w:r>
      <w:r w:rsidR="00C47673" w:rsidRPr="00E10B6E">
        <w:t>is used by the packaging sector</w:t>
      </w:r>
      <w:r w:rsidR="00943AC1" w:rsidRPr="00E10B6E">
        <w:t xml:space="preserve">, while HDPE </w:t>
      </w:r>
      <w:r w:rsidR="009546A8" w:rsidRPr="00E10B6E">
        <w:t xml:space="preserve">(High-density Polyethylene) </w:t>
      </w:r>
      <w:r w:rsidR="00943AC1" w:rsidRPr="00E10B6E">
        <w:t xml:space="preserve">and PP </w:t>
      </w:r>
      <w:r w:rsidR="009546A8" w:rsidRPr="00E10B6E">
        <w:t xml:space="preserve">(Polypropylene) </w:t>
      </w:r>
      <w:r w:rsidR="00943AC1" w:rsidRPr="00E10B6E">
        <w:t xml:space="preserve">have a more diversified market, still dominated by packaging applications but also including the automotive, </w:t>
      </w:r>
      <w:r w:rsidR="00F239ED" w:rsidRPr="00E10B6E">
        <w:t xml:space="preserve">construction and household sectors. </w:t>
      </w:r>
      <w:r w:rsidR="00B517E9" w:rsidRPr="00E10B6E">
        <w:t xml:space="preserve">Moving to the </w:t>
      </w:r>
      <w:r w:rsidR="002001D6" w:rsidRPr="00E10B6E">
        <w:t>Dutch industry, the production sites of Dow in Terneuzen (Zeeland), SABIC in Geleen (Limburg)</w:t>
      </w:r>
      <w:r w:rsidR="002C3295" w:rsidRPr="00E10B6E">
        <w:t>, and Ducor in Rozenburg (South-Holland) have been investigate</w:t>
      </w:r>
      <w:r w:rsidR="002E660B" w:rsidRPr="00E10B6E">
        <w:t>d</w:t>
      </w:r>
      <w:r w:rsidR="002C3295" w:rsidRPr="00E10B6E">
        <w:t xml:space="preserve">. The aggregate polyolefins production of these three manufacturers is 2,570 kt/year, </w:t>
      </w:r>
      <w:r w:rsidR="00862E00" w:rsidRPr="00E10B6E">
        <w:t xml:space="preserve">which is equal to </w:t>
      </w:r>
      <w:r w:rsidR="00FB7CD4" w:rsidRPr="00E10B6E">
        <w:t>8.5% of the total production of polyolefins in Europe</w:t>
      </w:r>
      <w:r w:rsidR="0021411D" w:rsidRPr="00E10B6E">
        <w:t xml:space="preserve">, while their electricity consumption is equal to 1.2% of all the Dutch electricity. </w:t>
      </w:r>
      <w:r w:rsidR="007671D0" w:rsidRPr="00E10B6E">
        <w:t xml:space="preserve">Dow, SABIC, and Ducor adopt four main </w:t>
      </w:r>
      <w:r w:rsidR="004473E0" w:rsidRPr="00E10B6E">
        <w:t>technologies to produce polyolefins: high-pressure</w:t>
      </w:r>
      <w:r w:rsidR="00996774" w:rsidRPr="00E10B6E">
        <w:t xml:space="preserve"> polymerisation in a tubular reactor</w:t>
      </w:r>
      <w:r w:rsidR="004473E0" w:rsidRPr="00E10B6E">
        <w:t>, solution</w:t>
      </w:r>
      <w:r w:rsidR="00996774" w:rsidRPr="00E10B6E">
        <w:t xml:space="preserve"> </w:t>
      </w:r>
      <w:r w:rsidR="005051D7" w:rsidRPr="00E10B6E">
        <w:t>and</w:t>
      </w:r>
      <w:r w:rsidR="004473E0" w:rsidRPr="00E10B6E">
        <w:t xml:space="preserve"> slurry</w:t>
      </w:r>
      <w:r w:rsidR="005051D7" w:rsidRPr="00E10B6E">
        <w:t xml:space="preserve"> polymerisation in a fluidised bed reactor</w:t>
      </w:r>
      <w:r w:rsidR="004473E0" w:rsidRPr="00E10B6E">
        <w:t>, and gas phase</w:t>
      </w:r>
      <w:r w:rsidR="005051D7" w:rsidRPr="00E10B6E">
        <w:t xml:space="preserve"> in a loop reactor</w:t>
      </w:r>
      <w:r w:rsidR="004473E0" w:rsidRPr="00E10B6E">
        <w:t xml:space="preserve">, with the </w:t>
      </w:r>
      <w:r w:rsidR="005051D7" w:rsidRPr="00E10B6E">
        <w:t>GHG</w:t>
      </w:r>
      <w:r w:rsidR="004473E0" w:rsidRPr="00E10B6E">
        <w:t xml:space="preserve"> emissions ranging from 0.20 to 0.32 kg CO</w:t>
      </w:r>
      <w:r w:rsidR="004473E0" w:rsidRPr="00E10B6E">
        <w:rPr>
          <w:vertAlign w:val="subscript"/>
        </w:rPr>
        <w:t>2</w:t>
      </w:r>
      <w:r w:rsidR="004473E0" w:rsidRPr="00E10B6E">
        <w:t>-eq/kg of product</w:t>
      </w:r>
      <w:r w:rsidR="00996774" w:rsidRPr="00E10B6E">
        <w:t>.</w:t>
      </w:r>
      <w:r w:rsidR="005051D7" w:rsidRPr="00E10B6E">
        <w:t xml:space="preserve"> </w:t>
      </w:r>
    </w:p>
    <w:p w14:paraId="50464216" w14:textId="79FE1011" w:rsidR="00085963" w:rsidRPr="00E10B6E" w:rsidRDefault="00085963" w:rsidP="00C47673">
      <w:pPr>
        <w:jc w:val="both"/>
      </w:pPr>
      <w:r w:rsidRPr="00E10B6E">
        <w:t xml:space="preserve">The final part of the thesis concerned the techno-economic and environmental analysis of </w:t>
      </w:r>
      <w:r w:rsidR="00FA3F09" w:rsidRPr="00E10B6E">
        <w:t xml:space="preserve">decarbonisation options for the Dutch polyolefins industry, focusing on bio-based feedstock </w:t>
      </w:r>
      <w:r w:rsidR="00224209" w:rsidRPr="00E10B6E">
        <w:t xml:space="preserve">and </w:t>
      </w:r>
      <w:r w:rsidR="00DC1AD4" w:rsidRPr="00E10B6E">
        <w:t xml:space="preserve">innovative </w:t>
      </w:r>
      <w:r w:rsidR="004A19B0" w:rsidRPr="00E10B6E">
        <w:t xml:space="preserve">recycling </w:t>
      </w:r>
      <w:r w:rsidR="00DC1AD4" w:rsidRPr="00E10B6E">
        <w:t xml:space="preserve">technologies. Olefin monomers such as ethylene and propylene can be produced from the dehydration of bio-ethanol, which can be made </w:t>
      </w:r>
      <w:r w:rsidR="0076092A" w:rsidRPr="00E10B6E">
        <w:t>from the fermentation of sugar-rich crops (e.g. sugar beets)</w:t>
      </w:r>
      <w:r w:rsidR="00F71D51" w:rsidRPr="00E10B6E">
        <w:t>. The resulting bio-plastics have the same</w:t>
      </w:r>
      <w:r w:rsidR="000A1F59" w:rsidRPr="00E10B6E">
        <w:t xml:space="preserve"> properties of the fossil-based ones, but the overall carbon emissions are way lower, as the crops </w:t>
      </w:r>
      <w:r w:rsidR="00673B7B" w:rsidRPr="00E10B6E">
        <w:t>absorb CO</w:t>
      </w:r>
      <w:r w:rsidR="00673B7B" w:rsidRPr="00E10B6E">
        <w:rPr>
          <w:vertAlign w:val="subscript"/>
        </w:rPr>
        <w:t>2</w:t>
      </w:r>
      <w:r w:rsidR="00673B7B" w:rsidRPr="00E10B6E">
        <w:t xml:space="preserve"> while they grow.</w:t>
      </w:r>
      <w:r w:rsidR="00F71D51" w:rsidRPr="00E10B6E">
        <w:t xml:space="preserve"> </w:t>
      </w:r>
      <w:r w:rsidR="00F976FD" w:rsidRPr="00E10B6E">
        <w:t xml:space="preserve">Bio-based olefins can also be produced from the gasification of bio-waste </w:t>
      </w:r>
      <w:r w:rsidR="0093431A" w:rsidRPr="00E10B6E">
        <w:t xml:space="preserve">from forestry, agriculture, the paper </w:t>
      </w:r>
      <w:r w:rsidR="008C1588" w:rsidRPr="00E10B6E">
        <w:t>industry,</w:t>
      </w:r>
      <w:r w:rsidR="0093431A" w:rsidRPr="00E10B6E">
        <w:t xml:space="preserve"> and the food industry (e.g. cooking oils). The same </w:t>
      </w:r>
      <w:r w:rsidR="00051302" w:rsidRPr="00E10B6E">
        <w:t>process</w:t>
      </w:r>
      <w:r w:rsidR="0093431A" w:rsidRPr="00E10B6E">
        <w:t xml:space="preserve"> </w:t>
      </w:r>
      <w:r w:rsidR="00AC74D9" w:rsidRPr="00E10B6E">
        <w:t xml:space="preserve">can </w:t>
      </w:r>
      <w:r w:rsidR="006D75F3" w:rsidRPr="00E10B6E">
        <w:t xml:space="preserve">be </w:t>
      </w:r>
      <w:r w:rsidR="00AC74D9" w:rsidRPr="00E10B6E">
        <w:t xml:space="preserve">applied to mixed plastic </w:t>
      </w:r>
      <w:r w:rsidR="00C30BDF" w:rsidRPr="00E10B6E">
        <w:t>waste, even</w:t>
      </w:r>
      <w:r w:rsidR="00AC74D9" w:rsidRPr="00E10B6E">
        <w:t xml:space="preserve"> </w:t>
      </w:r>
      <w:r w:rsidR="006D75F3" w:rsidRPr="00E10B6E">
        <w:t>in</w:t>
      </w:r>
      <w:r w:rsidR="00AC74D9" w:rsidRPr="00E10B6E">
        <w:t xml:space="preserve"> combination </w:t>
      </w:r>
      <w:r w:rsidR="006D75F3" w:rsidRPr="00E10B6E">
        <w:t>with</w:t>
      </w:r>
      <w:r w:rsidR="00AC74D9" w:rsidRPr="00E10B6E">
        <w:t xml:space="preserve"> bio</w:t>
      </w:r>
      <w:r w:rsidR="006D75F3" w:rsidRPr="00E10B6E">
        <w:t>mass</w:t>
      </w:r>
      <w:r w:rsidR="00213FD5" w:rsidRPr="00E10B6E">
        <w:t xml:space="preserve">, although </w:t>
      </w:r>
      <w:r w:rsidR="00051302" w:rsidRPr="00E10B6E">
        <w:t>the technology is not yet ready for large scale deployment. Other recycling technologies still under innovation are dissolution (also called purification), which directly recycles the olefin polymer</w:t>
      </w:r>
      <w:r w:rsidR="00E35CC5" w:rsidRPr="00E10B6E">
        <w:t>, and pyrolysis, which thermochemically splits the plastic waste in</w:t>
      </w:r>
      <w:r w:rsidR="00F52340" w:rsidRPr="00E10B6E">
        <w:t>to</w:t>
      </w:r>
      <w:r w:rsidR="00E35CC5" w:rsidRPr="00E10B6E">
        <w:t xml:space="preserve"> its </w:t>
      </w:r>
      <w:r w:rsidR="00C30BDF" w:rsidRPr="00E10B6E">
        <w:t xml:space="preserve">monomer components. Both processes </w:t>
      </w:r>
      <w:r w:rsidR="00E1031D" w:rsidRPr="00E10B6E">
        <w:t xml:space="preserve">are considered promising by industry and experts and </w:t>
      </w:r>
      <w:r w:rsidR="00783C01" w:rsidRPr="00E10B6E">
        <w:t>could contribute</w:t>
      </w:r>
      <w:r w:rsidR="00C30BDF" w:rsidRPr="00E10B6E">
        <w:t xml:space="preserve"> </w:t>
      </w:r>
      <w:r w:rsidR="008B2585" w:rsidRPr="00E10B6E">
        <w:t>to</w:t>
      </w:r>
      <w:r w:rsidR="00C30BDF" w:rsidRPr="00E10B6E">
        <w:t xml:space="preserve"> </w:t>
      </w:r>
      <w:r w:rsidR="00761305" w:rsidRPr="00E10B6E">
        <w:t>dealing with the huge problem of plastic waste, but they are not expected to be commercially ready before 5 to 10 years.</w:t>
      </w:r>
      <w:r w:rsidR="00E1031D" w:rsidRPr="00E10B6E">
        <w:t xml:space="preserve"> Therefore, it still needs to be proven if they are the best options, or </w:t>
      </w:r>
      <w:r w:rsidR="00EB57AE" w:rsidRPr="00E10B6E">
        <w:t>if more sustainable end-of-life processes will be discovered and developed.</w:t>
      </w:r>
    </w:p>
    <w:p w14:paraId="49CB026F" w14:textId="1044B544" w:rsidR="003C2E87" w:rsidRPr="00E10B6E" w:rsidRDefault="003A2AF0" w:rsidP="003C2E87">
      <w:pPr>
        <w:jc w:val="both"/>
      </w:pPr>
      <w:r w:rsidRPr="00E10B6E">
        <w:t>As energy can be produced from a multitude of renewable sources</w:t>
      </w:r>
      <w:r w:rsidR="00544B54" w:rsidRPr="00E10B6E">
        <w:t xml:space="preserve">, the final recommendation is to focus on the material side of the plastics issues and </w:t>
      </w:r>
      <w:r w:rsidR="003F6B58" w:rsidRPr="00E10B6E">
        <w:t>stimulate a plastic-to-plastic circular economy loop that recycle</w:t>
      </w:r>
      <w:r w:rsidR="00F52340" w:rsidRPr="00E10B6E">
        <w:t>s</w:t>
      </w:r>
      <w:r w:rsidR="003F6B58" w:rsidRPr="00E10B6E">
        <w:t xml:space="preserve"> as much olefin monomers as possible, relying on bio-based technologies to </w:t>
      </w:r>
      <w:r w:rsidR="00A43F15" w:rsidRPr="00E10B6E">
        <w:t xml:space="preserve">satisfy the demand for virgin polyolefins. On top of reducing the impact of the industry on the global climate change and the </w:t>
      </w:r>
      <w:r w:rsidR="00521658" w:rsidRPr="00E10B6E">
        <w:t>diffusion of plastic waste in the natural environment, this model has the additional benefit of reducing our dependency to oil and natural gas.</w:t>
      </w:r>
      <w:r w:rsidR="00B636F2" w:rsidRPr="00E10B6E">
        <w:t xml:space="preserve"> Of course, the full decarbonisation of the Dutch polyolefins industry can only be achieved by collaborating together and deploying </w:t>
      </w:r>
      <w:r w:rsidR="005B6EAD" w:rsidRPr="00E10B6E">
        <w:t xml:space="preserve">all the </w:t>
      </w:r>
      <w:r w:rsidR="002D5A0D" w:rsidRPr="00E10B6E">
        <w:t xml:space="preserve">other </w:t>
      </w:r>
      <w:r w:rsidR="005B6EAD" w:rsidRPr="00E10B6E">
        <w:t xml:space="preserve">available </w:t>
      </w:r>
      <w:r w:rsidR="002D5A0D" w:rsidRPr="00E10B6E">
        <w:t xml:space="preserve">decarbonisation </w:t>
      </w:r>
      <w:r w:rsidR="005B6EAD" w:rsidRPr="00E10B6E">
        <w:t>options</w:t>
      </w:r>
      <w:r w:rsidR="00C53A4D" w:rsidRPr="00E10B6E">
        <w:t xml:space="preserve">, such as energy efficiency, heat recovery, </w:t>
      </w:r>
      <w:r w:rsidR="002D5A0D" w:rsidRPr="00E10B6E">
        <w:t>green hydrogen, and industrial heat pumps</w:t>
      </w:r>
      <w:r w:rsidR="005B6EAD" w:rsidRPr="00E10B6E">
        <w:t xml:space="preserve">. </w:t>
      </w:r>
      <w:r w:rsidR="003C2E87" w:rsidRPr="00E10B6E">
        <w:t xml:space="preserve">Many other reports confirm the importance of integrating multiple decarbonisation options when developing a strategy for the industrial sector, with the main technologies being bio-based materials, electrification powered by renewable sources, and CCS </w:t>
      </w:r>
      <w:r w:rsidR="003C2E87" w:rsidRPr="00E10B6E">
        <w:fldChar w:fldCharType="begin" w:fldLock="1"/>
      </w:r>
      <w:r w:rsidR="00966C5A" w:rsidRPr="00E10B6E">
        <w:instrText>ADDIN CSL_CITATION {"citationItems":[{"id":"ITEM-1","itemData":{"author":[{"dropping-particle":"","family":"VNCI","given":"","non-dropping-particle":"","parse-names":false,"suffix":""}],"id":"ITEM-1","issued":{"date-parts":[["2018"]]},"title":"Chemistry for Climate - Roadmap for the Dutch Chemical Industry towards 2050","type":"report"},"uris":["http://www.mendeley.com/documents/?uuid=837720ec-d9d6-3717-b374-33e77cdb2883"]},{"id":"ITEM-2","itemData":{"author":[{"dropping-particle":"","family":"McKinsey&amp;Company","given":"","non-dropping-particle":"","parse-names":false,"suffix":""}],"id":"ITEM-2","issued":{"date-parts":[["2018"]]},"title":"Decarbonization of industrial sectors: the next frontiers","type":"report"},"uris":["http://www.mendeley.com/documents/?uuid=cbdb0e6c-8081-3535-87cf-25cadfc267be"]},{"id":"ITEM-3","itemData":{"DOI":"10.2760/035301","ISBN":"978-92-79-89118-2","ISSN":"1018-5593","abstract":"Energy efficiency and GHG emissions: Prospective scenarios for the pulp and paper industry This study analyses the role of technology innovation in the European pulp and paper industry from 2015 to 2050. The baseline scenario describes a decrease in energy consumption and GHG emissions by 14 % and 63 %, respectively, in a context in which the demand grows by 7 %. Without the technological improvement the respective variations would register an increase of 1 % and 5 %. Unlike the biorefineries concept, the carbon capture and storage technology does not become cost effective; although higher CO 2 prices and rewarding the bio-CO 2 captured could turn the industry into a carbon sink. i","author":[{"dropping-particle":"","family":"Boulamanti","given":"A","non-dropping-particle":"","parse-names":false,"suffix":""},{"dropping-particle":"","family":"Moya Rivera","given":"JA","non-dropping-particle":"","parse-names":false,"suffix":""}],"id":"ITEM-3","issued":{"date-parts":[["2018"]]},"title":"Energy efficiency and GHG emissions: Prospective scenarios for the pulp and paper industry","type":"report"},"uris":["http://www.mendeley.com/documents/?uuid=08009e73-efab-3bf3-a37b-62b484885490"]}],"mendeley":{"formattedCitation":"(Boulamanti &amp; Moya Rivera, 2018; McKinsey&amp;Company, 2018; VNCI, 2018)","plainTextFormattedCitation":"(Boulamanti &amp; Moya Rivera, 2018; McKinsey&amp;Company, 2018; VNCI, 2018)","previouslyFormattedCitation":"(Boulamanti &amp; Moya Rivera, 2018; McKinsey&amp;Company, 2018; VNCI, 2018)"},"properties":{"noteIndex":0},"schema":"https://github.com/citation-style-language/schema/raw/master/csl-citation.json"}</w:instrText>
      </w:r>
      <w:r w:rsidR="003C2E87" w:rsidRPr="00E10B6E">
        <w:fldChar w:fldCharType="separate"/>
      </w:r>
      <w:r w:rsidR="003C2E87" w:rsidRPr="00E10B6E">
        <w:rPr>
          <w:noProof/>
        </w:rPr>
        <w:t>(Boulamanti &amp; Moya Rivera, 2018; McKinsey&amp;Company, 2018; VNCI, 2018)</w:t>
      </w:r>
      <w:r w:rsidR="003C2E87" w:rsidRPr="00E10B6E">
        <w:fldChar w:fldCharType="end"/>
      </w:r>
      <w:r w:rsidR="003C2E87" w:rsidRPr="00E10B6E">
        <w:t>.</w:t>
      </w:r>
      <w:r w:rsidR="004F1F15" w:rsidRPr="00E10B6E">
        <w:t xml:space="preserve"> </w:t>
      </w:r>
      <w:r w:rsidR="00E21103" w:rsidRPr="00E10B6E">
        <w:t>As most of the emissions are caused by the production of feedstock and by the end-of-life of the products, though, this research has focu</w:t>
      </w:r>
      <w:r w:rsidR="00816E35" w:rsidRPr="00E10B6E">
        <w:t xml:space="preserve">sed on </w:t>
      </w:r>
      <w:r w:rsidR="0062230D" w:rsidRPr="00E10B6E">
        <w:t xml:space="preserve">the decarbonisation technologies shown in </w:t>
      </w:r>
      <w:r w:rsidR="0062230D" w:rsidRPr="00E10B6E">
        <w:fldChar w:fldCharType="begin"/>
      </w:r>
      <w:r w:rsidR="0062230D" w:rsidRPr="00E10B6E">
        <w:instrText xml:space="preserve"> REF _Ref54086939 \h </w:instrText>
      </w:r>
      <w:r w:rsidR="0062230D" w:rsidRPr="00E10B6E">
        <w:fldChar w:fldCharType="separate"/>
      </w:r>
      <w:r w:rsidR="00983F73" w:rsidRPr="00E10B6E">
        <w:t xml:space="preserve">Figure </w:t>
      </w:r>
      <w:r w:rsidR="00983F73">
        <w:rPr>
          <w:noProof/>
        </w:rPr>
        <w:t>38</w:t>
      </w:r>
      <w:r w:rsidR="0062230D" w:rsidRPr="00E10B6E">
        <w:fldChar w:fldCharType="end"/>
      </w:r>
      <w:r w:rsidR="00816E35" w:rsidRPr="00E10B6E">
        <w:t xml:space="preserve">, which presents a possible </w:t>
      </w:r>
      <w:r w:rsidR="00816E35" w:rsidRPr="00E10B6E">
        <w:lastRenderedPageBreak/>
        <w:t xml:space="preserve">integrated model between bio-based </w:t>
      </w:r>
      <w:r w:rsidR="00B40192" w:rsidRPr="00E10B6E">
        <w:t xml:space="preserve">olefin productions and recycling of the plastic waste. </w:t>
      </w:r>
      <w:r w:rsidR="004F1F15" w:rsidRPr="00E10B6E">
        <w:t>In conclusion, this thesis has achieved its goals of answering the research questions</w:t>
      </w:r>
      <w:r w:rsidR="00B40192" w:rsidRPr="00E10B6E">
        <w:t>,</w:t>
      </w:r>
      <w:r w:rsidR="004F1F15" w:rsidRPr="00E10B6E">
        <w:t xml:space="preserve"> and </w:t>
      </w:r>
      <w:r w:rsidR="00B40192" w:rsidRPr="00E10B6E">
        <w:t xml:space="preserve">the knowledge collected will hopefully be used to </w:t>
      </w:r>
      <w:r w:rsidR="004F1F15" w:rsidRPr="00E10B6E">
        <w:t>provid</w:t>
      </w:r>
      <w:r w:rsidR="00B40192" w:rsidRPr="00E10B6E">
        <w:t>e</w:t>
      </w:r>
      <w:r w:rsidR="004F1F15" w:rsidRPr="00E10B6E">
        <w:t xml:space="preserve"> valuable insight to the scientific community and </w:t>
      </w:r>
      <w:r w:rsidR="00F52340" w:rsidRPr="00E10B6E">
        <w:t xml:space="preserve">the </w:t>
      </w:r>
      <w:r w:rsidR="004F1F15" w:rsidRPr="00E10B6E">
        <w:t xml:space="preserve">Dutch </w:t>
      </w:r>
      <w:r w:rsidR="00082500" w:rsidRPr="00E10B6E">
        <w:t>government, leading the national decarbonisation strategies and re-shaping the polyolefins industry.</w:t>
      </w:r>
    </w:p>
    <w:p w14:paraId="5EC86B58" w14:textId="77777777" w:rsidR="003C2E87" w:rsidRPr="00E10B6E" w:rsidRDefault="003C2E87" w:rsidP="00513648"/>
    <w:p w14:paraId="6A55A4B7" w14:textId="77777777" w:rsidR="004A48CE" w:rsidRPr="00E10B6E" w:rsidRDefault="00C91E84" w:rsidP="004A48CE">
      <w:pPr>
        <w:keepNext/>
      </w:pPr>
      <w:r w:rsidRPr="00E10B6E">
        <w:rPr>
          <w:noProof/>
        </w:rPr>
        <w:drawing>
          <wp:inline distT="0" distB="0" distL="0" distR="0" wp14:anchorId="7A7635B5" wp14:editId="27FE8CFA">
            <wp:extent cx="5759450" cy="652843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6528435"/>
                    </a:xfrm>
                    <a:prstGeom prst="rect">
                      <a:avLst/>
                    </a:prstGeom>
                  </pic:spPr>
                </pic:pic>
              </a:graphicData>
            </a:graphic>
          </wp:inline>
        </w:drawing>
      </w:r>
    </w:p>
    <w:p w14:paraId="5D7C7D4A" w14:textId="11890E7B" w:rsidR="00C91E84" w:rsidRPr="00E10B6E" w:rsidRDefault="004A48CE" w:rsidP="009A6D94">
      <w:pPr>
        <w:pStyle w:val="Caption"/>
        <w:jc w:val="both"/>
      </w:pPr>
      <w:bookmarkStart w:id="96" w:name="_Ref54086939"/>
      <w:r w:rsidRPr="00E10B6E">
        <w:t xml:space="preserve">Figure </w:t>
      </w:r>
      <w:r w:rsidR="00722F9A">
        <w:fldChar w:fldCharType="begin"/>
      </w:r>
      <w:r w:rsidR="00722F9A">
        <w:instrText xml:space="preserve"> SEQ Figure \* ARABIC </w:instrText>
      </w:r>
      <w:r w:rsidR="00722F9A">
        <w:fldChar w:fldCharType="separate"/>
      </w:r>
      <w:r w:rsidR="00983F73">
        <w:rPr>
          <w:noProof/>
        </w:rPr>
        <w:t>38</w:t>
      </w:r>
      <w:r w:rsidR="00722F9A">
        <w:rPr>
          <w:noProof/>
        </w:rPr>
        <w:fldChar w:fldCharType="end"/>
      </w:r>
      <w:bookmarkEnd w:id="96"/>
      <w:r w:rsidRPr="00E10B6E">
        <w:t xml:space="preserve">: Combination of decarbonisation options for the Dutch polyolefins industry. The blocks connected with dotted lines (energy efficiency and renewable energy supply) are the improvements that could potentially be applied </w:t>
      </w:r>
      <w:r w:rsidR="00F52340" w:rsidRPr="00E10B6E">
        <w:t>to</w:t>
      </w:r>
      <w:r w:rsidRPr="00E10B6E">
        <w:t xml:space="preserve"> every other industrial process</w:t>
      </w:r>
    </w:p>
    <w:p w14:paraId="4834EE3E" w14:textId="213D06BD" w:rsidR="00E947FB" w:rsidRPr="00E10B6E" w:rsidRDefault="00E947FB" w:rsidP="00513648">
      <w:r w:rsidRPr="00E10B6E">
        <w:br w:type="page"/>
      </w:r>
    </w:p>
    <w:p w14:paraId="76CF5400" w14:textId="654CF899" w:rsidR="00C2375F" w:rsidRPr="00E10B6E" w:rsidRDefault="00513648" w:rsidP="00C2375F">
      <w:pPr>
        <w:pStyle w:val="Heading1"/>
        <w:rPr>
          <w:b/>
          <w:bCs/>
        </w:rPr>
      </w:pPr>
      <w:bookmarkStart w:id="97" w:name="_Toc54274817"/>
      <w:r w:rsidRPr="00E10B6E">
        <w:rPr>
          <w:b/>
          <w:bCs/>
        </w:rPr>
        <w:lastRenderedPageBreak/>
        <w:t>7</w:t>
      </w:r>
      <w:r w:rsidR="000D70BF" w:rsidRPr="00E10B6E">
        <w:rPr>
          <w:b/>
          <w:bCs/>
        </w:rPr>
        <w:t>.</w:t>
      </w:r>
      <w:r w:rsidR="00C2375F" w:rsidRPr="00E10B6E">
        <w:rPr>
          <w:b/>
          <w:bCs/>
        </w:rPr>
        <w:t xml:space="preserve"> </w:t>
      </w:r>
      <w:r w:rsidR="000D70BF" w:rsidRPr="00E10B6E">
        <w:rPr>
          <w:b/>
          <w:bCs/>
        </w:rPr>
        <w:t>REFERENCES</w:t>
      </w:r>
      <w:bookmarkEnd w:id="97"/>
    </w:p>
    <w:p w14:paraId="40082F87" w14:textId="15C2F5AD" w:rsidR="007A2905" w:rsidRPr="00E10B6E" w:rsidRDefault="00C2375F" w:rsidP="007A2905">
      <w:pPr>
        <w:widowControl w:val="0"/>
        <w:autoSpaceDE w:val="0"/>
        <w:autoSpaceDN w:val="0"/>
        <w:adjustRightInd w:val="0"/>
        <w:spacing w:line="240" w:lineRule="auto"/>
        <w:ind w:left="480" w:hanging="480"/>
        <w:rPr>
          <w:rFonts w:ascii="Calibri" w:hAnsi="Calibri" w:cs="Calibri"/>
          <w:noProof/>
          <w:szCs w:val="24"/>
        </w:rPr>
      </w:pPr>
      <w:r w:rsidRPr="00E10B6E">
        <w:rPr>
          <w:b/>
          <w:bCs/>
        </w:rPr>
        <w:fldChar w:fldCharType="begin" w:fldLock="1"/>
      </w:r>
      <w:r w:rsidRPr="00E10B6E">
        <w:rPr>
          <w:b/>
          <w:bCs/>
        </w:rPr>
        <w:instrText xml:space="preserve">ADDIN Mendeley Bibliography CSL_BIBLIOGRAPHY </w:instrText>
      </w:r>
      <w:r w:rsidRPr="00E10B6E">
        <w:rPr>
          <w:b/>
          <w:bCs/>
        </w:rPr>
        <w:fldChar w:fldCharType="separate"/>
      </w:r>
      <w:r w:rsidR="007A2905" w:rsidRPr="00E10B6E">
        <w:rPr>
          <w:rFonts w:ascii="Calibri" w:hAnsi="Calibri" w:cs="Calibri"/>
          <w:noProof/>
          <w:szCs w:val="24"/>
        </w:rPr>
        <w:t xml:space="preserve">A&amp;C Plastics. (2020). </w:t>
      </w:r>
      <w:r w:rsidR="007A2905" w:rsidRPr="00E10B6E">
        <w:rPr>
          <w:rFonts w:ascii="Calibri" w:hAnsi="Calibri" w:cs="Calibri"/>
          <w:i/>
          <w:iCs/>
          <w:noProof/>
          <w:szCs w:val="24"/>
        </w:rPr>
        <w:t>What is Plastic Made Of - 7 Types of Plastic to Use for Your Project</w:t>
      </w:r>
      <w:r w:rsidR="007A2905" w:rsidRPr="00E10B6E">
        <w:rPr>
          <w:rFonts w:ascii="Calibri" w:hAnsi="Calibri" w:cs="Calibri"/>
          <w:noProof/>
          <w:szCs w:val="24"/>
        </w:rPr>
        <w:t>. https://www.acplasticsinc.com/informationcenter/r/7-different-types-of-plastic-and-how-they-are-used</w:t>
      </w:r>
    </w:p>
    <w:p w14:paraId="1514306D"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ABN AMRO. (2017). </w:t>
      </w:r>
      <w:r w:rsidRPr="00E10B6E">
        <w:rPr>
          <w:rFonts w:ascii="Calibri" w:hAnsi="Calibri" w:cs="Calibri"/>
          <w:i/>
          <w:iCs/>
          <w:noProof/>
          <w:szCs w:val="24"/>
        </w:rPr>
        <w:t>Revenue of the Dutch packaging industry set to reach €6.5bn in 2018</w:t>
      </w:r>
      <w:r w:rsidRPr="00E10B6E">
        <w:rPr>
          <w:rFonts w:ascii="Calibri" w:hAnsi="Calibri" w:cs="Calibri"/>
          <w:noProof/>
          <w:szCs w:val="24"/>
        </w:rPr>
        <w:t>. https://insights.abnamro.nl/en/2017/05/revenue-of-the-dutch-packaging-industry-set-to-reach-e6-5bn-in-2018/</w:t>
      </w:r>
    </w:p>
    <w:p w14:paraId="42928C0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Acme Plastics. (2020). </w:t>
      </w:r>
      <w:r w:rsidRPr="00E10B6E">
        <w:rPr>
          <w:rFonts w:ascii="Calibri" w:hAnsi="Calibri" w:cs="Calibri"/>
          <w:i/>
          <w:iCs/>
          <w:noProof/>
          <w:szCs w:val="24"/>
        </w:rPr>
        <w:t>What is High Density Polyethylene (HDPE)?</w:t>
      </w:r>
      <w:r w:rsidRPr="00E10B6E">
        <w:rPr>
          <w:rFonts w:ascii="Calibri" w:hAnsi="Calibri" w:cs="Calibri"/>
          <w:noProof/>
          <w:szCs w:val="24"/>
        </w:rPr>
        <w:t xml:space="preserve"> https://www.acmeplastics.com/what-is-hdpe</w:t>
      </w:r>
    </w:p>
    <w:p w14:paraId="0B12DED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Al-Salem, S. M., Antelava, A., Constantinou, A., Manos, G., &amp; Dutta, A. (2017). </w:t>
      </w:r>
      <w:r w:rsidRPr="00E10B6E">
        <w:rPr>
          <w:rFonts w:ascii="Calibri" w:hAnsi="Calibri" w:cs="Calibri"/>
          <w:noProof/>
          <w:szCs w:val="24"/>
        </w:rPr>
        <w:t xml:space="preserve">A review on thermal and catalytic pyrolysis of plastic solid waste (PSW). </w:t>
      </w:r>
      <w:r w:rsidRPr="00E10B6E">
        <w:rPr>
          <w:rFonts w:ascii="Calibri" w:hAnsi="Calibri" w:cs="Calibri"/>
          <w:i/>
          <w:iCs/>
          <w:noProof/>
          <w:szCs w:val="24"/>
        </w:rPr>
        <w:t>Journal of Environmental Management</w:t>
      </w:r>
      <w:r w:rsidRPr="00E10B6E">
        <w:rPr>
          <w:rFonts w:ascii="Calibri" w:hAnsi="Calibri" w:cs="Calibri"/>
          <w:noProof/>
          <w:szCs w:val="24"/>
        </w:rPr>
        <w:t xml:space="preserve">, </w:t>
      </w:r>
      <w:r w:rsidRPr="00E10B6E">
        <w:rPr>
          <w:rFonts w:ascii="Calibri" w:hAnsi="Calibri" w:cs="Calibri"/>
          <w:i/>
          <w:iCs/>
          <w:noProof/>
          <w:szCs w:val="24"/>
        </w:rPr>
        <w:t>197</w:t>
      </w:r>
      <w:r w:rsidRPr="00E10B6E">
        <w:rPr>
          <w:rFonts w:ascii="Calibri" w:hAnsi="Calibri" w:cs="Calibri"/>
          <w:noProof/>
          <w:szCs w:val="24"/>
        </w:rPr>
        <w:t>, 177–198. https://doi.org/10.1016/j.jenvman.2017.03.084</w:t>
      </w:r>
    </w:p>
    <w:p w14:paraId="6DFC4A2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Al-Salem, S. M., Lettieri, P., &amp; Baeyens, J. (2009). Recycling and recovery routes of plastic solid waste (PSW): A review. </w:t>
      </w:r>
      <w:r w:rsidRPr="00E10B6E">
        <w:rPr>
          <w:rFonts w:ascii="Calibri" w:hAnsi="Calibri" w:cs="Calibri"/>
          <w:i/>
          <w:iCs/>
          <w:noProof/>
          <w:szCs w:val="24"/>
        </w:rPr>
        <w:t>Waste Management</w:t>
      </w:r>
      <w:r w:rsidRPr="00E10B6E">
        <w:rPr>
          <w:rFonts w:ascii="Calibri" w:hAnsi="Calibri" w:cs="Calibri"/>
          <w:noProof/>
          <w:szCs w:val="24"/>
        </w:rPr>
        <w:t xml:space="preserve">, </w:t>
      </w:r>
      <w:r w:rsidRPr="00E10B6E">
        <w:rPr>
          <w:rFonts w:ascii="Calibri" w:hAnsi="Calibri" w:cs="Calibri"/>
          <w:i/>
          <w:iCs/>
          <w:noProof/>
          <w:szCs w:val="24"/>
        </w:rPr>
        <w:t>29</w:t>
      </w:r>
      <w:r w:rsidRPr="00E10B6E">
        <w:rPr>
          <w:rFonts w:ascii="Calibri" w:hAnsi="Calibri" w:cs="Calibri"/>
          <w:noProof/>
          <w:szCs w:val="24"/>
        </w:rPr>
        <w:t>(10), 2625–2643. https://doi.org/10.1016/j.wasman.2009.06.004</w:t>
      </w:r>
    </w:p>
    <w:p w14:paraId="02B4B44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Althoff, J., Biesheuvel, K., De Kok, A., Pelt, H., Ruitenbeek, M., Spork, G., Tange, J., &amp; Wevers, R. (2013). Economic Feasibility of the Sugar Beet-to-Ethylene Value Chain. </w:t>
      </w:r>
      <w:r w:rsidRPr="00E10B6E">
        <w:rPr>
          <w:rFonts w:ascii="Calibri" w:hAnsi="Calibri" w:cs="Calibri"/>
          <w:i/>
          <w:iCs/>
          <w:noProof/>
          <w:szCs w:val="24"/>
        </w:rPr>
        <w:t>ChemSusChem</w:t>
      </w:r>
      <w:r w:rsidRPr="00E10B6E">
        <w:rPr>
          <w:rFonts w:ascii="Calibri" w:hAnsi="Calibri" w:cs="Calibri"/>
          <w:noProof/>
          <w:szCs w:val="24"/>
        </w:rPr>
        <w:t xml:space="preserve">, </w:t>
      </w:r>
      <w:r w:rsidRPr="00E10B6E">
        <w:rPr>
          <w:rFonts w:ascii="Calibri" w:hAnsi="Calibri" w:cs="Calibri"/>
          <w:i/>
          <w:iCs/>
          <w:noProof/>
          <w:szCs w:val="24"/>
        </w:rPr>
        <w:t>6</w:t>
      </w:r>
      <w:r w:rsidRPr="00E10B6E">
        <w:rPr>
          <w:rFonts w:ascii="Calibri" w:hAnsi="Calibri" w:cs="Calibri"/>
          <w:noProof/>
          <w:szCs w:val="24"/>
        </w:rPr>
        <w:t>(9), 1625–1630. https://doi.org/10.1002/cssc.201300478</w:t>
      </w:r>
    </w:p>
    <w:p w14:paraId="6974A4A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Anuar Sharuddin, S. D., Abnisa, F., Wan Daud, W. M. A., &amp; Aroua, M. K. (2016). A review on pyrolysis of plastic wastes. </w:t>
      </w:r>
      <w:r w:rsidRPr="00E10B6E">
        <w:rPr>
          <w:rFonts w:ascii="Calibri" w:hAnsi="Calibri" w:cs="Calibri"/>
          <w:i/>
          <w:iCs/>
          <w:noProof/>
          <w:szCs w:val="24"/>
        </w:rPr>
        <w:t>Energy Conversion and Management</w:t>
      </w:r>
      <w:r w:rsidRPr="00E10B6E">
        <w:rPr>
          <w:rFonts w:ascii="Calibri" w:hAnsi="Calibri" w:cs="Calibri"/>
          <w:noProof/>
          <w:szCs w:val="24"/>
        </w:rPr>
        <w:t xml:space="preserve">, </w:t>
      </w:r>
      <w:r w:rsidRPr="00E10B6E">
        <w:rPr>
          <w:rFonts w:ascii="Calibri" w:hAnsi="Calibri" w:cs="Calibri"/>
          <w:i/>
          <w:iCs/>
          <w:noProof/>
          <w:szCs w:val="24"/>
        </w:rPr>
        <w:t>115</w:t>
      </w:r>
      <w:r w:rsidRPr="00E10B6E">
        <w:rPr>
          <w:rFonts w:ascii="Calibri" w:hAnsi="Calibri" w:cs="Calibri"/>
          <w:noProof/>
          <w:szCs w:val="24"/>
        </w:rPr>
        <w:t>, 308–326. https://doi.org/10.1016/j.enconman.2016.02.037</w:t>
      </w:r>
    </w:p>
    <w:p w14:paraId="3ADCFEC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APK AG. (2020). </w:t>
      </w:r>
      <w:r w:rsidRPr="00E10B6E">
        <w:rPr>
          <w:rFonts w:ascii="Calibri" w:hAnsi="Calibri" w:cs="Calibri"/>
          <w:i/>
          <w:iCs/>
          <w:noProof/>
          <w:szCs w:val="24"/>
        </w:rPr>
        <w:t>History - APK AG</w:t>
      </w:r>
      <w:r w:rsidRPr="00E10B6E">
        <w:rPr>
          <w:rFonts w:ascii="Calibri" w:hAnsi="Calibri" w:cs="Calibri"/>
          <w:noProof/>
          <w:szCs w:val="24"/>
        </w:rPr>
        <w:t>. https://www.apk-ag.de/en/about-us/history/</w:t>
      </w:r>
    </w:p>
    <w:p w14:paraId="4B27B31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Arena, U., Di Gregorio, F., Amorese, C., &amp; Mastellone, M. L. (2011). </w:t>
      </w:r>
      <w:r w:rsidRPr="00E10B6E">
        <w:rPr>
          <w:rFonts w:ascii="Calibri" w:hAnsi="Calibri" w:cs="Calibri"/>
          <w:noProof/>
          <w:szCs w:val="24"/>
        </w:rPr>
        <w:t xml:space="preserve">A techno-economic comparison of fluidized bed gasification of two mixed plastic wastes. </w:t>
      </w:r>
      <w:r w:rsidRPr="00E10B6E">
        <w:rPr>
          <w:rFonts w:ascii="Calibri" w:hAnsi="Calibri" w:cs="Calibri"/>
          <w:i/>
          <w:iCs/>
          <w:noProof/>
          <w:szCs w:val="24"/>
        </w:rPr>
        <w:t>Waste Management</w:t>
      </w:r>
      <w:r w:rsidRPr="00E10B6E">
        <w:rPr>
          <w:rFonts w:ascii="Calibri" w:hAnsi="Calibri" w:cs="Calibri"/>
          <w:noProof/>
          <w:szCs w:val="24"/>
        </w:rPr>
        <w:t xml:space="preserve">, </w:t>
      </w:r>
      <w:r w:rsidRPr="00E10B6E">
        <w:rPr>
          <w:rFonts w:ascii="Calibri" w:hAnsi="Calibri" w:cs="Calibri"/>
          <w:i/>
          <w:iCs/>
          <w:noProof/>
          <w:szCs w:val="24"/>
        </w:rPr>
        <w:t>31</w:t>
      </w:r>
      <w:r w:rsidRPr="00E10B6E">
        <w:rPr>
          <w:rFonts w:ascii="Calibri" w:hAnsi="Calibri" w:cs="Calibri"/>
          <w:noProof/>
          <w:szCs w:val="24"/>
        </w:rPr>
        <w:t>(7), 1494–1504. https://doi.org/10.1016/j.wasman.2011.02.004</w:t>
      </w:r>
    </w:p>
    <w:p w14:paraId="4D0DA70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BioPlastic Magazine. (2019). </w:t>
      </w:r>
      <w:r w:rsidRPr="00E10B6E">
        <w:rPr>
          <w:rFonts w:ascii="Calibri" w:hAnsi="Calibri" w:cs="Calibri"/>
          <w:i/>
          <w:iCs/>
          <w:noProof/>
          <w:szCs w:val="24"/>
        </w:rPr>
        <w:t>Borealis to start Bio-PP production before end 2019</w:t>
      </w:r>
      <w:r w:rsidRPr="00E10B6E">
        <w:rPr>
          <w:rFonts w:ascii="Calibri" w:hAnsi="Calibri" w:cs="Calibri"/>
          <w:noProof/>
          <w:szCs w:val="24"/>
        </w:rPr>
        <w:t>. https://www.bioplasticsmagazine.com/en/news/meldungen/20191016Borealis-to-start-Bio-PP-production-before-end-2019.php</w:t>
      </w:r>
    </w:p>
    <w:p w14:paraId="1FCCE00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Boot-Handford, M. E., Abanades, J. C., Anthony, E. J., Blunt, M. J., Brandani, S., Mac Dowell, N., Fernández, J. R., Ferrari, M. C., Gross, R., Hallett, J. P., Haszeldine, R. S., Heptonstall, P., Lyngfelt, A., Makuch, Z., Mangano, E., Porter, R. T. J., Pourkashanian, M., Rochelle, G. T., Shah, N., … Fennell, P. S. (2014). Carbon capture and storage update. </w:t>
      </w:r>
      <w:r w:rsidRPr="00E10B6E">
        <w:rPr>
          <w:rFonts w:ascii="Calibri" w:hAnsi="Calibri" w:cs="Calibri"/>
          <w:i/>
          <w:iCs/>
          <w:noProof/>
          <w:szCs w:val="24"/>
        </w:rPr>
        <w:t>Energy and Environmental Science</w:t>
      </w:r>
      <w:r w:rsidRPr="00E10B6E">
        <w:rPr>
          <w:rFonts w:ascii="Calibri" w:hAnsi="Calibri" w:cs="Calibri"/>
          <w:noProof/>
          <w:szCs w:val="24"/>
        </w:rPr>
        <w:t xml:space="preserve">, </w:t>
      </w:r>
      <w:r w:rsidRPr="00E10B6E">
        <w:rPr>
          <w:rFonts w:ascii="Calibri" w:hAnsi="Calibri" w:cs="Calibri"/>
          <w:i/>
          <w:iCs/>
          <w:noProof/>
          <w:szCs w:val="24"/>
        </w:rPr>
        <w:t>7</w:t>
      </w:r>
      <w:r w:rsidRPr="00E10B6E">
        <w:rPr>
          <w:rFonts w:ascii="Calibri" w:hAnsi="Calibri" w:cs="Calibri"/>
          <w:noProof/>
          <w:szCs w:val="24"/>
        </w:rPr>
        <w:t>(1), 130–189. https://doi.org/10.1039/c3ee42350f</w:t>
      </w:r>
    </w:p>
    <w:p w14:paraId="11BB406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Boulamanti, A., &amp; Moya Rivera, J. (2018). </w:t>
      </w:r>
      <w:r w:rsidRPr="00E10B6E">
        <w:rPr>
          <w:rFonts w:ascii="Calibri" w:hAnsi="Calibri" w:cs="Calibri"/>
          <w:i/>
          <w:iCs/>
          <w:noProof/>
          <w:szCs w:val="24"/>
        </w:rPr>
        <w:t>Energy efficiency and GHG emissions: Prospective scenarios for the pulp and paper industry</w:t>
      </w:r>
      <w:r w:rsidRPr="00E10B6E">
        <w:rPr>
          <w:rFonts w:ascii="Calibri" w:hAnsi="Calibri" w:cs="Calibri"/>
          <w:noProof/>
          <w:szCs w:val="24"/>
        </w:rPr>
        <w:t>. https://doi.org/10.2760/035301</w:t>
      </w:r>
    </w:p>
    <w:p w14:paraId="57A1F99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BPF. (2020). </w:t>
      </w:r>
      <w:r w:rsidRPr="00E10B6E">
        <w:rPr>
          <w:rFonts w:ascii="Calibri" w:hAnsi="Calibri" w:cs="Calibri"/>
          <w:i/>
          <w:iCs/>
          <w:noProof/>
          <w:szCs w:val="24"/>
        </w:rPr>
        <w:t>Polypropylene (PP)</w:t>
      </w:r>
      <w:r w:rsidRPr="00E10B6E">
        <w:rPr>
          <w:rFonts w:ascii="Calibri" w:hAnsi="Calibri" w:cs="Calibri"/>
          <w:noProof/>
          <w:szCs w:val="24"/>
        </w:rPr>
        <w:t>. https://www.bpf.co.uk/plastipedia/polymers/pp.aspx#physicalproperties</w:t>
      </w:r>
    </w:p>
    <w:p w14:paraId="7BF2129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Brachi, P., Chirone, R., Miccio, F., Miccio, M., Picarelli, A., &amp; Ruoppolo, G. (2014). </w:t>
      </w:r>
      <w:r w:rsidRPr="00E10B6E">
        <w:rPr>
          <w:rFonts w:ascii="Calibri" w:hAnsi="Calibri" w:cs="Calibri"/>
          <w:noProof/>
          <w:szCs w:val="24"/>
        </w:rPr>
        <w:t xml:space="preserve">Fluidized bed co-gasification of biomass and polymeric wastes for a flexible end-use of the syngas: Focus on bio-methanol. </w:t>
      </w:r>
      <w:r w:rsidRPr="00E10B6E">
        <w:rPr>
          <w:rFonts w:ascii="Calibri" w:hAnsi="Calibri" w:cs="Calibri"/>
          <w:i/>
          <w:iCs/>
          <w:noProof/>
          <w:szCs w:val="24"/>
        </w:rPr>
        <w:t>Fuel</w:t>
      </w:r>
      <w:r w:rsidRPr="00E10B6E">
        <w:rPr>
          <w:rFonts w:ascii="Calibri" w:hAnsi="Calibri" w:cs="Calibri"/>
          <w:noProof/>
          <w:szCs w:val="24"/>
        </w:rPr>
        <w:t xml:space="preserve">, </w:t>
      </w:r>
      <w:r w:rsidRPr="00E10B6E">
        <w:rPr>
          <w:rFonts w:ascii="Calibri" w:hAnsi="Calibri" w:cs="Calibri"/>
          <w:i/>
          <w:iCs/>
          <w:noProof/>
          <w:szCs w:val="24"/>
        </w:rPr>
        <w:t>128</w:t>
      </w:r>
      <w:r w:rsidRPr="00E10B6E">
        <w:rPr>
          <w:rFonts w:ascii="Calibri" w:hAnsi="Calibri" w:cs="Calibri"/>
          <w:noProof/>
          <w:szCs w:val="24"/>
        </w:rPr>
        <w:t>, 88–98. https://doi.org/10.1016/j.fuel.2014.02.070</w:t>
      </w:r>
    </w:p>
    <w:p w14:paraId="10BF1B4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Braskem. (2017). </w:t>
      </w:r>
      <w:r w:rsidRPr="00E10B6E">
        <w:rPr>
          <w:rFonts w:ascii="Calibri" w:hAnsi="Calibri" w:cs="Calibri"/>
          <w:i/>
          <w:iCs/>
          <w:noProof/>
          <w:szCs w:val="24"/>
        </w:rPr>
        <w:t>I’m green</w:t>
      </w:r>
      <w:r w:rsidRPr="00E10B6E">
        <w:rPr>
          <w:rFonts w:ascii="Calibri" w:hAnsi="Calibri" w:cs="Calibri"/>
          <w:i/>
          <w:iCs/>
          <w:noProof/>
          <w:szCs w:val="24"/>
          <w:vertAlign w:val="superscript"/>
        </w:rPr>
        <w:t>TM</w:t>
      </w:r>
      <w:r w:rsidRPr="00E10B6E">
        <w:rPr>
          <w:rFonts w:ascii="Calibri" w:hAnsi="Calibri" w:cs="Calibri"/>
          <w:i/>
          <w:iCs/>
          <w:noProof/>
          <w:szCs w:val="24"/>
        </w:rPr>
        <w:t xml:space="preserve"> PE Life Cycle Assessment</w:t>
      </w:r>
      <w:r w:rsidRPr="00E10B6E">
        <w:rPr>
          <w:rFonts w:ascii="Calibri" w:hAnsi="Calibri" w:cs="Calibri"/>
          <w:noProof/>
          <w:szCs w:val="24"/>
        </w:rPr>
        <w:t>.</w:t>
      </w:r>
    </w:p>
    <w:p w14:paraId="0E86E53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Braskem. (2020). </w:t>
      </w:r>
      <w:r w:rsidRPr="00E10B6E">
        <w:rPr>
          <w:rFonts w:ascii="Calibri" w:hAnsi="Calibri" w:cs="Calibri"/>
          <w:i/>
          <w:iCs/>
          <w:noProof/>
          <w:szCs w:val="24"/>
        </w:rPr>
        <w:t>I’m green Polyethylene - Frequent Asked Questions</w:t>
      </w:r>
      <w:r w:rsidRPr="00E10B6E">
        <w:rPr>
          <w:rFonts w:ascii="Calibri" w:hAnsi="Calibri" w:cs="Calibri"/>
          <w:noProof/>
          <w:szCs w:val="24"/>
        </w:rPr>
        <w:t xml:space="preserve">. </w:t>
      </w:r>
      <w:r w:rsidRPr="00E10B6E">
        <w:rPr>
          <w:rFonts w:ascii="Calibri" w:hAnsi="Calibri" w:cs="Calibri"/>
          <w:noProof/>
          <w:szCs w:val="24"/>
        </w:rPr>
        <w:lastRenderedPageBreak/>
        <w:t>http://plasticoverde.braskem.com.br/site.aspx/Frequent-Asked-Questions</w:t>
      </w:r>
    </w:p>
    <w:p w14:paraId="68132D3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Brightlands. (2020). </w:t>
      </w:r>
      <w:r w:rsidRPr="00E10B6E">
        <w:rPr>
          <w:rFonts w:ascii="Calibri" w:hAnsi="Calibri" w:cs="Calibri"/>
          <w:i/>
          <w:iCs/>
          <w:noProof/>
          <w:szCs w:val="24"/>
        </w:rPr>
        <w:t>Biobased process - The fight against climate change</w:t>
      </w:r>
      <w:r w:rsidRPr="00E10B6E">
        <w:rPr>
          <w:rFonts w:ascii="Calibri" w:hAnsi="Calibri" w:cs="Calibri"/>
          <w:noProof/>
          <w:szCs w:val="24"/>
        </w:rPr>
        <w:t>. https://www.brightlands.com/en/brightlands-chemelot-campus/sustainable-processes/biobased-processes</w:t>
      </w:r>
    </w:p>
    <w:p w14:paraId="42BA7B7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Broeren, M. (2013). </w:t>
      </w:r>
      <w:r w:rsidRPr="00E10B6E">
        <w:rPr>
          <w:rFonts w:ascii="Calibri" w:hAnsi="Calibri" w:cs="Calibri"/>
          <w:i/>
          <w:iCs/>
          <w:noProof/>
          <w:szCs w:val="24"/>
        </w:rPr>
        <w:t>IEA-ETSAP and IRENA - Technology Policy Brief</w:t>
      </w:r>
      <w:r w:rsidRPr="00E10B6E">
        <w:rPr>
          <w:rFonts w:ascii="Calibri" w:hAnsi="Calibri" w:cs="Calibri"/>
          <w:noProof/>
          <w:szCs w:val="24"/>
        </w:rPr>
        <w:t>. https://iea-etsap.org/E-TechDS/PDF/I13IR_Bioethy_MB_Jan2013_final_GSOK.pdf</w:t>
      </w:r>
    </w:p>
    <w:p w14:paraId="071F279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Burdett, I. D., &amp; Eisinger, R. S. (2016). Ethylene Polymerization Processes and Manufacture of Polyethylene. In </w:t>
      </w:r>
      <w:r w:rsidRPr="00E10B6E">
        <w:rPr>
          <w:rFonts w:ascii="Calibri" w:hAnsi="Calibri" w:cs="Calibri"/>
          <w:i/>
          <w:iCs/>
          <w:noProof/>
          <w:szCs w:val="24"/>
        </w:rPr>
        <w:t>Handbook of Industrial Polyethylene Technology</w:t>
      </w:r>
      <w:r w:rsidRPr="00E10B6E">
        <w:rPr>
          <w:rFonts w:ascii="Calibri" w:hAnsi="Calibri" w:cs="Calibri"/>
          <w:noProof/>
          <w:szCs w:val="24"/>
        </w:rPr>
        <w:t xml:space="preserve"> (pp. 61–103). Wiley Blackwell. https://doi.org/10.1002/9781119159797.ch3</w:t>
      </w:r>
    </w:p>
    <w:p w14:paraId="513EE83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Business Wire. (2011). </w:t>
      </w:r>
      <w:r w:rsidRPr="00E10B6E">
        <w:rPr>
          <w:rFonts w:ascii="Calibri" w:hAnsi="Calibri" w:cs="Calibri"/>
          <w:i/>
          <w:iCs/>
          <w:noProof/>
          <w:szCs w:val="24"/>
        </w:rPr>
        <w:t>Dow Announces Sale of Global Polypropylene Business to Braskem for $340 Million | Business Wire</w:t>
      </w:r>
      <w:r w:rsidRPr="00E10B6E">
        <w:rPr>
          <w:rFonts w:ascii="Calibri" w:hAnsi="Calibri" w:cs="Calibri"/>
          <w:noProof/>
          <w:szCs w:val="24"/>
        </w:rPr>
        <w:t>. https://www.businesswire.com/news/home/20110727006633/en/Dow-Announces-Sale-Global-Polypropylene-Business-Braskem</w:t>
      </w:r>
    </w:p>
    <w:p w14:paraId="755FFC7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C&amp;EN. (2019). C&amp;EN’s Global Top 50 Chemical Companies. </w:t>
      </w:r>
      <w:r w:rsidRPr="00E10B6E">
        <w:rPr>
          <w:rFonts w:ascii="Calibri" w:hAnsi="Calibri" w:cs="Calibri"/>
          <w:i/>
          <w:iCs/>
          <w:noProof/>
          <w:szCs w:val="24"/>
        </w:rPr>
        <w:t>C&amp;EN Global Enterprise</w:t>
      </w:r>
      <w:r w:rsidRPr="00E10B6E">
        <w:rPr>
          <w:rFonts w:ascii="Calibri" w:hAnsi="Calibri" w:cs="Calibri"/>
          <w:noProof/>
          <w:szCs w:val="24"/>
        </w:rPr>
        <w:t xml:space="preserve">, </w:t>
      </w:r>
      <w:r w:rsidRPr="00E10B6E">
        <w:rPr>
          <w:rFonts w:ascii="Calibri" w:hAnsi="Calibri" w:cs="Calibri"/>
          <w:i/>
          <w:iCs/>
          <w:noProof/>
          <w:szCs w:val="24"/>
        </w:rPr>
        <w:t>97</w:t>
      </w:r>
      <w:r w:rsidRPr="00E10B6E">
        <w:rPr>
          <w:rFonts w:ascii="Calibri" w:hAnsi="Calibri" w:cs="Calibri"/>
          <w:noProof/>
          <w:szCs w:val="24"/>
        </w:rPr>
        <w:t>(30), 30–35. https://doi.org/10.1021/cen-09730-cover</w:t>
      </w:r>
    </w:p>
    <w:p w14:paraId="7E665E8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CBS. (2020a). </w:t>
      </w:r>
      <w:r w:rsidRPr="00E10B6E">
        <w:rPr>
          <w:rFonts w:ascii="Calibri" w:hAnsi="Calibri" w:cs="Calibri"/>
          <w:i/>
          <w:iCs/>
          <w:noProof/>
          <w:szCs w:val="24"/>
        </w:rPr>
        <w:t>StatLine - Electricity balance</w:t>
      </w:r>
      <w:r w:rsidRPr="00E10B6E">
        <w:rPr>
          <w:rFonts w:ascii="Calibri" w:hAnsi="Calibri" w:cs="Calibri"/>
          <w:noProof/>
          <w:szCs w:val="24"/>
        </w:rPr>
        <w:t>. https://opendata.cbs.nl/statline/#/CBS/nl/dataset/84575NED/table?ts=1601150685532</w:t>
      </w:r>
    </w:p>
    <w:p w14:paraId="3845BC3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CBS. (2020b). </w:t>
      </w:r>
      <w:r w:rsidRPr="00E10B6E">
        <w:rPr>
          <w:rFonts w:ascii="Calibri" w:hAnsi="Calibri" w:cs="Calibri"/>
          <w:i/>
          <w:iCs/>
          <w:noProof/>
          <w:szCs w:val="24"/>
        </w:rPr>
        <w:t>StatLine - Emissions of greenhouse gases according to IPCC guide-lines</w:t>
      </w:r>
      <w:r w:rsidRPr="00E10B6E">
        <w:rPr>
          <w:rFonts w:ascii="Calibri" w:hAnsi="Calibri" w:cs="Calibri"/>
          <w:noProof/>
          <w:szCs w:val="24"/>
        </w:rPr>
        <w:t>. https://opendata.cbs.nl/statline/#/CBS/en/dataset/70946eng/table?dl=262E4</w:t>
      </w:r>
    </w:p>
    <w:p w14:paraId="665222A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CE Delft. (2018). </w:t>
      </w:r>
      <w:r w:rsidRPr="00E10B6E">
        <w:rPr>
          <w:rFonts w:ascii="Calibri" w:hAnsi="Calibri" w:cs="Calibri"/>
          <w:i/>
          <w:iCs/>
          <w:noProof/>
          <w:szCs w:val="24"/>
        </w:rPr>
        <w:t>Hydrogen routes for the Netherlands</w:t>
      </w:r>
      <w:r w:rsidRPr="00E10B6E">
        <w:rPr>
          <w:rFonts w:ascii="Calibri" w:hAnsi="Calibri" w:cs="Calibri"/>
          <w:noProof/>
          <w:szCs w:val="24"/>
        </w:rPr>
        <w:t>. https://www.cedelft.eu/en/publications/2139/hydrogen-routes-for-the-netherlands-blue-green-and-imports</w:t>
      </w:r>
    </w:p>
    <w:p w14:paraId="78077179" w14:textId="77777777" w:rsidR="007A2905" w:rsidRPr="00983F73" w:rsidRDefault="007A2905" w:rsidP="007A2905">
      <w:pPr>
        <w:widowControl w:val="0"/>
        <w:autoSpaceDE w:val="0"/>
        <w:autoSpaceDN w:val="0"/>
        <w:adjustRightInd w:val="0"/>
        <w:spacing w:line="240" w:lineRule="auto"/>
        <w:ind w:left="480" w:hanging="480"/>
        <w:rPr>
          <w:rFonts w:ascii="Calibri" w:hAnsi="Calibri" w:cs="Calibri"/>
          <w:noProof/>
          <w:szCs w:val="24"/>
          <w:lang w:val="it-IT"/>
        </w:rPr>
      </w:pPr>
      <w:r w:rsidRPr="00E10B6E">
        <w:rPr>
          <w:rFonts w:ascii="Calibri" w:hAnsi="Calibri" w:cs="Calibri"/>
          <w:noProof/>
          <w:szCs w:val="24"/>
        </w:rPr>
        <w:t xml:space="preserve">CE Delft. (2019). </w:t>
      </w:r>
      <w:r w:rsidRPr="00E10B6E">
        <w:rPr>
          <w:rFonts w:ascii="Calibri" w:hAnsi="Calibri" w:cs="Calibri"/>
          <w:i/>
          <w:iCs/>
          <w:noProof/>
          <w:szCs w:val="24"/>
        </w:rPr>
        <w:t xml:space="preserve">Exploratory study on chemical recycling. </w:t>
      </w:r>
      <w:r w:rsidRPr="00983F73">
        <w:rPr>
          <w:rFonts w:ascii="Calibri" w:hAnsi="Calibri" w:cs="Calibri"/>
          <w:i/>
          <w:iCs/>
          <w:noProof/>
          <w:szCs w:val="24"/>
          <w:lang w:val="it-IT"/>
        </w:rPr>
        <w:t>Update 2019 - CE Delft</w:t>
      </w:r>
      <w:r w:rsidRPr="00983F73">
        <w:rPr>
          <w:rFonts w:ascii="Calibri" w:hAnsi="Calibri" w:cs="Calibri"/>
          <w:noProof/>
          <w:szCs w:val="24"/>
          <w:lang w:val="it-IT"/>
        </w:rPr>
        <w:t>. https://www.cedelft.eu/en/publications/2173/exploratory-study-on-chemical-recycling-update-2019</w:t>
      </w:r>
    </w:p>
    <w:p w14:paraId="509919E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Chemelot. (2018, December 7). </w:t>
      </w:r>
      <w:r w:rsidRPr="00E10B6E">
        <w:rPr>
          <w:rFonts w:ascii="Calibri" w:hAnsi="Calibri" w:cs="Calibri"/>
          <w:i/>
          <w:iCs/>
          <w:noProof/>
          <w:szCs w:val="24"/>
        </w:rPr>
        <w:t>SABIC and PLASTIC ENERGY cooperation important step in further sustainability</w:t>
      </w:r>
      <w:r w:rsidRPr="00E10B6E">
        <w:rPr>
          <w:rFonts w:ascii="Calibri" w:hAnsi="Calibri" w:cs="Calibri"/>
          <w:noProof/>
          <w:szCs w:val="24"/>
        </w:rPr>
        <w:t>. https://www.chemelot.nl/nieuws/samenwerking-sabic-en-plastic-energy-stap-verduurzaming</w:t>
      </w:r>
    </w:p>
    <w:p w14:paraId="1C82AE5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Chemelot. (2020). </w:t>
      </w:r>
      <w:r w:rsidRPr="00E10B6E">
        <w:rPr>
          <w:rFonts w:ascii="Calibri" w:hAnsi="Calibri" w:cs="Calibri"/>
          <w:i/>
          <w:iCs/>
          <w:noProof/>
          <w:szCs w:val="24"/>
        </w:rPr>
        <w:t>Chemelot climate neutral by 2050</w:t>
      </w:r>
      <w:r w:rsidRPr="00E10B6E">
        <w:rPr>
          <w:rFonts w:ascii="Calibri" w:hAnsi="Calibri" w:cs="Calibri"/>
          <w:noProof/>
          <w:szCs w:val="24"/>
        </w:rPr>
        <w:t>. https://www.chemelot.nl/news/chemelot-climate-neutral-by-2050</w:t>
      </w:r>
    </w:p>
    <w:p w14:paraId="5C683FF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ChemEurope. (2001). </w:t>
      </w:r>
      <w:r w:rsidRPr="00E10B6E">
        <w:rPr>
          <w:rFonts w:ascii="Calibri" w:hAnsi="Calibri" w:cs="Calibri"/>
          <w:i/>
          <w:iCs/>
          <w:noProof/>
          <w:szCs w:val="24"/>
        </w:rPr>
        <w:t>DOMO to Acquire Basell PP manufacturing facilities in Rozenburg, The Netherlands</w:t>
      </w:r>
      <w:r w:rsidRPr="00E10B6E">
        <w:rPr>
          <w:rFonts w:ascii="Calibri" w:hAnsi="Calibri" w:cs="Calibri"/>
          <w:noProof/>
          <w:szCs w:val="24"/>
        </w:rPr>
        <w:t>. https://www.chemeurope.com/en/news/3123/domo-to-acquire-basell-pp-manufacturing-facilities-in-rozenburg-the-netherlands.html</w:t>
      </w:r>
    </w:p>
    <w:p w14:paraId="266B9FB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Chua, K. J., Chou, S. K., &amp; Yang, W. M. (2010). Advances in heat pump systems: A review. </w:t>
      </w:r>
      <w:r w:rsidRPr="00E10B6E">
        <w:rPr>
          <w:rFonts w:ascii="Calibri" w:hAnsi="Calibri" w:cs="Calibri"/>
          <w:i/>
          <w:iCs/>
          <w:noProof/>
          <w:szCs w:val="24"/>
        </w:rPr>
        <w:t>Applied Energy</w:t>
      </w:r>
      <w:r w:rsidRPr="00E10B6E">
        <w:rPr>
          <w:rFonts w:ascii="Calibri" w:hAnsi="Calibri" w:cs="Calibri"/>
          <w:noProof/>
          <w:szCs w:val="24"/>
        </w:rPr>
        <w:t xml:space="preserve">, </w:t>
      </w:r>
      <w:r w:rsidRPr="00E10B6E">
        <w:rPr>
          <w:rFonts w:ascii="Calibri" w:hAnsi="Calibri" w:cs="Calibri"/>
          <w:i/>
          <w:iCs/>
          <w:noProof/>
          <w:szCs w:val="24"/>
        </w:rPr>
        <w:t>87</w:t>
      </w:r>
      <w:r w:rsidRPr="00E10B6E">
        <w:rPr>
          <w:rFonts w:ascii="Calibri" w:hAnsi="Calibri" w:cs="Calibri"/>
          <w:noProof/>
          <w:szCs w:val="24"/>
        </w:rPr>
        <w:t>(12), 3611–3624. https://doi.org/10.1016/j.apenergy.2010.06.014</w:t>
      </w:r>
    </w:p>
    <w:p w14:paraId="09DAB19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Ciric, R. M., &amp; Kuzmanovic, Z. (2014). Techno-Economic Analysis of Biogas Powered Cogeneration. </w:t>
      </w:r>
      <w:r w:rsidRPr="00E10B6E">
        <w:rPr>
          <w:rFonts w:ascii="Calibri" w:hAnsi="Calibri" w:cs="Calibri"/>
          <w:i/>
          <w:iCs/>
          <w:noProof/>
          <w:szCs w:val="24"/>
        </w:rPr>
        <w:t>Journal of Automation and Control Engineering</w:t>
      </w:r>
      <w:r w:rsidRPr="00E10B6E">
        <w:rPr>
          <w:rFonts w:ascii="Calibri" w:hAnsi="Calibri" w:cs="Calibri"/>
          <w:noProof/>
          <w:szCs w:val="24"/>
        </w:rPr>
        <w:t xml:space="preserve">, </w:t>
      </w:r>
      <w:r w:rsidRPr="00E10B6E">
        <w:rPr>
          <w:rFonts w:ascii="Calibri" w:hAnsi="Calibri" w:cs="Calibri"/>
          <w:i/>
          <w:iCs/>
          <w:noProof/>
          <w:szCs w:val="24"/>
        </w:rPr>
        <w:t>2</w:t>
      </w:r>
      <w:r w:rsidRPr="00E10B6E">
        <w:rPr>
          <w:rFonts w:ascii="Calibri" w:hAnsi="Calibri" w:cs="Calibri"/>
          <w:noProof/>
          <w:szCs w:val="24"/>
        </w:rPr>
        <w:t>(1), 89–93. https://doi.org/10.12720/joace.2.1.89-93</w:t>
      </w:r>
    </w:p>
    <w:p w14:paraId="25DB57E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Dammer, L., Carus, M., Piotrowski, S., Puente, A., Breitmayer, E., &amp; de Beus, N. L. C. (2017). </w:t>
      </w:r>
      <w:r w:rsidRPr="00E10B6E">
        <w:rPr>
          <w:rFonts w:ascii="Calibri" w:hAnsi="Calibri" w:cs="Calibri"/>
          <w:i/>
          <w:iCs/>
          <w:noProof/>
          <w:szCs w:val="24"/>
        </w:rPr>
        <w:t>Sustainable First and Second Generation Bioethanol for Europe</w:t>
      </w:r>
      <w:r w:rsidRPr="00E10B6E">
        <w:rPr>
          <w:rFonts w:ascii="Calibri" w:hAnsi="Calibri" w:cs="Calibri"/>
          <w:noProof/>
          <w:szCs w:val="24"/>
        </w:rPr>
        <w:t>. www.bio-based.eu/policy</w:t>
      </w:r>
    </w:p>
    <w:p w14:paraId="6AC80A4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Davis, M. (2015). </w:t>
      </w:r>
      <w:r w:rsidRPr="00E10B6E">
        <w:rPr>
          <w:rFonts w:ascii="Calibri" w:hAnsi="Calibri" w:cs="Calibri"/>
          <w:i/>
          <w:iCs/>
          <w:noProof/>
          <w:szCs w:val="24"/>
        </w:rPr>
        <w:t>Living Hinge Design - RevPart</w:t>
      </w:r>
      <w:r w:rsidRPr="00E10B6E">
        <w:rPr>
          <w:rFonts w:ascii="Calibri" w:hAnsi="Calibri" w:cs="Calibri"/>
          <w:noProof/>
          <w:szCs w:val="24"/>
        </w:rPr>
        <w:t>. https://revpart.com/living-hinge-design-guide/</w:t>
      </w:r>
    </w:p>
    <w:p w14:paraId="173F9CC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De-León Almaraz, S., &amp; Azzaro-Pantel, C. (2017). </w:t>
      </w:r>
      <w:r w:rsidRPr="00E10B6E">
        <w:rPr>
          <w:rFonts w:ascii="Calibri" w:hAnsi="Calibri" w:cs="Calibri"/>
          <w:noProof/>
          <w:szCs w:val="24"/>
        </w:rPr>
        <w:t xml:space="preserve">Design and Optimization of Hydrogen Supply Chains </w:t>
      </w:r>
      <w:r w:rsidRPr="00E10B6E">
        <w:rPr>
          <w:rFonts w:ascii="Calibri" w:hAnsi="Calibri" w:cs="Calibri"/>
          <w:noProof/>
          <w:szCs w:val="24"/>
        </w:rPr>
        <w:lastRenderedPageBreak/>
        <w:t xml:space="preserve">for a Sustainable Future. In </w:t>
      </w:r>
      <w:r w:rsidRPr="00E10B6E">
        <w:rPr>
          <w:rFonts w:ascii="Calibri" w:hAnsi="Calibri" w:cs="Calibri"/>
          <w:i/>
          <w:iCs/>
          <w:noProof/>
          <w:szCs w:val="24"/>
        </w:rPr>
        <w:t>Hydrogen Economy: Supply Chain, Life Cycle Analysis and Energy Transition for Sustainability</w:t>
      </w:r>
      <w:r w:rsidRPr="00E10B6E">
        <w:rPr>
          <w:rFonts w:ascii="Calibri" w:hAnsi="Calibri" w:cs="Calibri"/>
          <w:noProof/>
          <w:szCs w:val="24"/>
        </w:rPr>
        <w:t xml:space="preserve"> (pp. 85–120). Elsevier Inc. https://doi.org/10.1016/B978-0-12-811132-1.00004-3</w:t>
      </w:r>
    </w:p>
    <w:p w14:paraId="7E6DC39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Demirbas, A. (2004). Pyrolysis of municipal plastic wastes for recovery of gasoline-range hydrocarbons. </w:t>
      </w:r>
      <w:r w:rsidRPr="00E10B6E">
        <w:rPr>
          <w:rFonts w:ascii="Calibri" w:hAnsi="Calibri" w:cs="Calibri"/>
          <w:i/>
          <w:iCs/>
          <w:noProof/>
          <w:szCs w:val="24"/>
        </w:rPr>
        <w:t>Journal of Analytical and Applied Pyrolysis</w:t>
      </w:r>
      <w:r w:rsidRPr="00E10B6E">
        <w:rPr>
          <w:rFonts w:ascii="Calibri" w:hAnsi="Calibri" w:cs="Calibri"/>
          <w:noProof/>
          <w:szCs w:val="24"/>
        </w:rPr>
        <w:t xml:space="preserve">, </w:t>
      </w:r>
      <w:r w:rsidRPr="00E10B6E">
        <w:rPr>
          <w:rFonts w:ascii="Calibri" w:hAnsi="Calibri" w:cs="Calibri"/>
          <w:i/>
          <w:iCs/>
          <w:noProof/>
          <w:szCs w:val="24"/>
        </w:rPr>
        <w:t>72</w:t>
      </w:r>
      <w:r w:rsidRPr="00E10B6E">
        <w:rPr>
          <w:rFonts w:ascii="Calibri" w:hAnsi="Calibri" w:cs="Calibri"/>
          <w:noProof/>
          <w:szCs w:val="24"/>
        </w:rPr>
        <w:t>(1), 97–102. https://doi.org/10.1016/j.jaap.2004.03.001</w:t>
      </w:r>
    </w:p>
    <w:p w14:paraId="53F6A25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Derraik, J. G. B. (2002). The pollution of the marine environment by plastic debris: A review. In </w:t>
      </w:r>
      <w:r w:rsidRPr="00E10B6E">
        <w:rPr>
          <w:rFonts w:ascii="Calibri" w:hAnsi="Calibri" w:cs="Calibri"/>
          <w:i/>
          <w:iCs/>
          <w:noProof/>
          <w:szCs w:val="24"/>
        </w:rPr>
        <w:t>Marine Pollution Bulletin</w:t>
      </w:r>
      <w:r w:rsidRPr="00E10B6E">
        <w:rPr>
          <w:rFonts w:ascii="Calibri" w:hAnsi="Calibri" w:cs="Calibri"/>
          <w:noProof/>
          <w:szCs w:val="24"/>
        </w:rPr>
        <w:t xml:space="preserve"> (Vol. 44, Issue 9, pp. 842–852). Pergamon. https://doi.org/10.1016/S0025-326X(02)00220-5</w:t>
      </w:r>
    </w:p>
    <w:p w14:paraId="37BF064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Donaj, P. J., Kaminsky, W., Buzeto, F., &amp; Yang, W. (2012). Pyrolysis of polyolefins for increasing the yield of monomers’ recovery. </w:t>
      </w:r>
      <w:r w:rsidRPr="00E10B6E">
        <w:rPr>
          <w:rFonts w:ascii="Calibri" w:hAnsi="Calibri" w:cs="Calibri"/>
          <w:i/>
          <w:iCs/>
          <w:noProof/>
          <w:szCs w:val="24"/>
        </w:rPr>
        <w:t>Waste Management</w:t>
      </w:r>
      <w:r w:rsidRPr="00E10B6E">
        <w:rPr>
          <w:rFonts w:ascii="Calibri" w:hAnsi="Calibri" w:cs="Calibri"/>
          <w:noProof/>
          <w:szCs w:val="24"/>
        </w:rPr>
        <w:t xml:space="preserve">, </w:t>
      </w:r>
      <w:r w:rsidRPr="00E10B6E">
        <w:rPr>
          <w:rFonts w:ascii="Calibri" w:hAnsi="Calibri" w:cs="Calibri"/>
          <w:i/>
          <w:iCs/>
          <w:noProof/>
          <w:szCs w:val="24"/>
        </w:rPr>
        <w:t>32</w:t>
      </w:r>
      <w:r w:rsidRPr="00E10B6E">
        <w:rPr>
          <w:rFonts w:ascii="Calibri" w:hAnsi="Calibri" w:cs="Calibri"/>
          <w:noProof/>
          <w:szCs w:val="24"/>
        </w:rPr>
        <w:t>(5), 840–846. https://doi.org/10.1016/j.wasman.2011.10.009</w:t>
      </w:r>
    </w:p>
    <w:p w14:paraId="3660926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Dow. (2017). </w:t>
      </w:r>
      <w:r w:rsidRPr="00E10B6E">
        <w:rPr>
          <w:rFonts w:ascii="Calibri" w:hAnsi="Calibri" w:cs="Calibri"/>
          <w:i/>
          <w:iCs/>
          <w:noProof/>
          <w:szCs w:val="24"/>
        </w:rPr>
        <w:t>Sustainability report 2017 Dow Terneuzen content</w:t>
      </w:r>
      <w:r w:rsidRPr="00E10B6E">
        <w:rPr>
          <w:rFonts w:ascii="Calibri" w:hAnsi="Calibri" w:cs="Calibri"/>
          <w:noProof/>
          <w:szCs w:val="24"/>
        </w:rPr>
        <w:t>.</w:t>
      </w:r>
    </w:p>
    <w:p w14:paraId="31DC831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Dow. (2019a). </w:t>
      </w:r>
      <w:r w:rsidRPr="00E10B6E">
        <w:rPr>
          <w:rFonts w:ascii="Calibri" w:hAnsi="Calibri" w:cs="Calibri"/>
          <w:i/>
          <w:iCs/>
          <w:noProof/>
          <w:szCs w:val="24"/>
        </w:rPr>
        <w:t>Dow and UPM partner to produce plastics made with renewable feedstock</w:t>
      </w:r>
      <w:r w:rsidRPr="00E10B6E">
        <w:rPr>
          <w:rFonts w:ascii="Calibri" w:hAnsi="Calibri" w:cs="Calibri"/>
          <w:noProof/>
          <w:szCs w:val="24"/>
        </w:rPr>
        <w:t>. https://corporate.dow.com/en-us/news/press-releases/dow-and-upm-partner-to-produce-plastics-made-with-renewable-feedstock.html</w:t>
      </w:r>
    </w:p>
    <w:p w14:paraId="739E83E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Dow. (2019b, August 29). </w:t>
      </w:r>
      <w:r w:rsidRPr="00E10B6E">
        <w:rPr>
          <w:rFonts w:ascii="Calibri" w:hAnsi="Calibri" w:cs="Calibri"/>
          <w:i/>
          <w:iCs/>
          <w:noProof/>
          <w:szCs w:val="24"/>
        </w:rPr>
        <w:t>Dow and Fuenix enter into a partnership for the production of 100% circular plastic</w:t>
      </w:r>
      <w:r w:rsidRPr="00E10B6E">
        <w:rPr>
          <w:rFonts w:ascii="Calibri" w:hAnsi="Calibri" w:cs="Calibri"/>
          <w:noProof/>
          <w:szCs w:val="24"/>
        </w:rPr>
        <w:t>. https://corporate.dow.com/en-us/news/press-releases/dow-and-fuenix-enter-into-a-partnership-for-the-production-of-10.html</w:t>
      </w:r>
    </w:p>
    <w:p w14:paraId="2337916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Dow. (2020a). </w:t>
      </w:r>
      <w:r w:rsidRPr="00E10B6E">
        <w:rPr>
          <w:rFonts w:ascii="Calibri" w:hAnsi="Calibri" w:cs="Calibri"/>
          <w:i/>
          <w:iCs/>
          <w:noProof/>
          <w:szCs w:val="24"/>
        </w:rPr>
        <w:t>CONTINUUM</w:t>
      </w:r>
      <w:r w:rsidRPr="00E10B6E">
        <w:rPr>
          <w:rFonts w:ascii="Calibri" w:hAnsi="Calibri" w:cs="Calibri"/>
          <w:i/>
          <w:iCs/>
          <w:noProof/>
          <w:szCs w:val="24"/>
          <w:vertAlign w:val="superscript"/>
        </w:rPr>
        <w:t>TM</w:t>
      </w:r>
      <w:r w:rsidRPr="00E10B6E">
        <w:rPr>
          <w:rFonts w:ascii="Calibri" w:hAnsi="Calibri" w:cs="Calibri"/>
          <w:i/>
          <w:iCs/>
          <w:noProof/>
          <w:szCs w:val="24"/>
        </w:rPr>
        <w:t xml:space="preserve"> Bimodal Polyethylene Resins | Dow Inc.</w:t>
      </w:r>
      <w:r w:rsidRPr="00E10B6E">
        <w:rPr>
          <w:rFonts w:ascii="Calibri" w:hAnsi="Calibri" w:cs="Calibri"/>
          <w:noProof/>
          <w:szCs w:val="24"/>
        </w:rPr>
        <w:t xml:space="preserve"> https://www.dow.com/en-us/brand/continuum.html</w:t>
      </w:r>
    </w:p>
    <w:p w14:paraId="25D318A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Dow. (2020b). </w:t>
      </w:r>
      <w:r w:rsidRPr="00E10B6E">
        <w:rPr>
          <w:rFonts w:ascii="Calibri" w:hAnsi="Calibri" w:cs="Calibri"/>
          <w:i/>
          <w:iCs/>
          <w:noProof/>
          <w:szCs w:val="24"/>
        </w:rPr>
        <w:t>Terneuzen - Dow Benelux</w:t>
      </w:r>
      <w:r w:rsidRPr="00E10B6E">
        <w:rPr>
          <w:rFonts w:ascii="Calibri" w:hAnsi="Calibri" w:cs="Calibri"/>
          <w:noProof/>
          <w:szCs w:val="24"/>
        </w:rPr>
        <w:t>. https://benelux.dow.com/en-us</w:t>
      </w:r>
    </w:p>
    <w:p w14:paraId="2E669E6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Ducor. (2018). </w:t>
      </w:r>
      <w:r w:rsidRPr="00E10B6E">
        <w:rPr>
          <w:rFonts w:ascii="Calibri" w:hAnsi="Calibri" w:cs="Calibri"/>
          <w:i/>
          <w:iCs/>
          <w:noProof/>
          <w:szCs w:val="24"/>
        </w:rPr>
        <w:t>Ducor Petrochemicals Corporate Brochure</w:t>
      </w:r>
      <w:r w:rsidRPr="00E10B6E">
        <w:rPr>
          <w:rFonts w:ascii="Calibri" w:hAnsi="Calibri" w:cs="Calibri"/>
          <w:noProof/>
          <w:szCs w:val="24"/>
        </w:rPr>
        <w:t>. www.ducorchem.com</w:t>
      </w:r>
    </w:p>
    <w:p w14:paraId="31D6E0E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Ducor. (2020a). </w:t>
      </w:r>
      <w:r w:rsidRPr="00E10B6E">
        <w:rPr>
          <w:rFonts w:ascii="Calibri" w:hAnsi="Calibri" w:cs="Calibri"/>
          <w:i/>
          <w:iCs/>
          <w:noProof/>
          <w:szCs w:val="24"/>
        </w:rPr>
        <w:t>DuPure - Ducor Petrochemicals</w:t>
      </w:r>
      <w:r w:rsidRPr="00E10B6E">
        <w:rPr>
          <w:rFonts w:ascii="Calibri" w:hAnsi="Calibri" w:cs="Calibri"/>
          <w:noProof/>
          <w:szCs w:val="24"/>
        </w:rPr>
        <w:t>. https://ducorchem.com/news/brands/dupure/</w:t>
      </w:r>
    </w:p>
    <w:p w14:paraId="1B7EECD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Ducor. (2020b). </w:t>
      </w:r>
      <w:r w:rsidRPr="00E10B6E">
        <w:rPr>
          <w:rFonts w:ascii="Calibri" w:hAnsi="Calibri" w:cs="Calibri"/>
          <w:i/>
          <w:iCs/>
          <w:noProof/>
          <w:szCs w:val="24"/>
        </w:rPr>
        <w:t>News - Ducor Petrochemicals</w:t>
      </w:r>
      <w:r w:rsidRPr="00E10B6E">
        <w:rPr>
          <w:rFonts w:ascii="Calibri" w:hAnsi="Calibri" w:cs="Calibri"/>
          <w:noProof/>
          <w:szCs w:val="24"/>
        </w:rPr>
        <w:t>. https://ducorchem.com/news/</w:t>
      </w:r>
    </w:p>
    <w:p w14:paraId="6F4FBAC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Dunkelberg, H., Wagner, J., Hannen, C., Schlüter, B. A., Phan, L., Hesselbach, J., &amp; Lin, C. X. (2018). Optimization of the energy supply in the plastics industry to reduce the primary energy demand. </w:t>
      </w:r>
      <w:r w:rsidRPr="00E10B6E">
        <w:rPr>
          <w:rFonts w:ascii="Calibri" w:hAnsi="Calibri" w:cs="Calibri"/>
          <w:i/>
          <w:iCs/>
          <w:noProof/>
          <w:szCs w:val="24"/>
        </w:rPr>
        <w:t>Journal of Cleaner Production</w:t>
      </w:r>
      <w:r w:rsidRPr="00E10B6E">
        <w:rPr>
          <w:rFonts w:ascii="Calibri" w:hAnsi="Calibri" w:cs="Calibri"/>
          <w:noProof/>
          <w:szCs w:val="24"/>
        </w:rPr>
        <w:t xml:space="preserve">, </w:t>
      </w:r>
      <w:r w:rsidRPr="00E10B6E">
        <w:rPr>
          <w:rFonts w:ascii="Calibri" w:hAnsi="Calibri" w:cs="Calibri"/>
          <w:i/>
          <w:iCs/>
          <w:noProof/>
          <w:szCs w:val="24"/>
        </w:rPr>
        <w:t>192</w:t>
      </w:r>
      <w:r w:rsidRPr="00E10B6E">
        <w:rPr>
          <w:rFonts w:ascii="Calibri" w:hAnsi="Calibri" w:cs="Calibri"/>
          <w:noProof/>
          <w:szCs w:val="24"/>
        </w:rPr>
        <w:t>, 790–800. https://doi.org/10.1016/j.jclepro.2018.04.254</w:t>
      </w:r>
    </w:p>
    <w:p w14:paraId="60BE697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Ekradi, K., &amp; Madadi, A. (2020). Performance improvement of a transonic centrifugal compressor impeller with splitter blade by three-dimensional optimization. </w:t>
      </w:r>
      <w:r w:rsidRPr="00E10B6E">
        <w:rPr>
          <w:rFonts w:ascii="Calibri" w:hAnsi="Calibri" w:cs="Calibri"/>
          <w:i/>
          <w:iCs/>
          <w:noProof/>
          <w:szCs w:val="24"/>
        </w:rPr>
        <w:t>Energy</w:t>
      </w:r>
      <w:r w:rsidRPr="00E10B6E">
        <w:rPr>
          <w:rFonts w:ascii="Calibri" w:hAnsi="Calibri" w:cs="Calibri"/>
          <w:noProof/>
          <w:szCs w:val="24"/>
        </w:rPr>
        <w:t xml:space="preserve">, </w:t>
      </w:r>
      <w:r w:rsidRPr="00E10B6E">
        <w:rPr>
          <w:rFonts w:ascii="Calibri" w:hAnsi="Calibri" w:cs="Calibri"/>
          <w:i/>
          <w:iCs/>
          <w:noProof/>
          <w:szCs w:val="24"/>
        </w:rPr>
        <w:t>201</w:t>
      </w:r>
      <w:r w:rsidRPr="00E10B6E">
        <w:rPr>
          <w:rFonts w:ascii="Calibri" w:hAnsi="Calibri" w:cs="Calibri"/>
          <w:noProof/>
          <w:szCs w:val="24"/>
        </w:rPr>
        <w:t>, 117582. https://doi.org/10.1016/j.energy.2020.117582</w:t>
      </w:r>
    </w:p>
    <w:p w14:paraId="03E10B8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ELSTA. (2020). </w:t>
      </w:r>
      <w:r w:rsidRPr="00E10B6E">
        <w:rPr>
          <w:rFonts w:ascii="Calibri" w:hAnsi="Calibri" w:cs="Calibri"/>
          <w:i/>
          <w:iCs/>
          <w:noProof/>
          <w:szCs w:val="24"/>
        </w:rPr>
        <w:t>Elsta Cogeneration Power plant Hoek | AES</w:t>
      </w:r>
      <w:r w:rsidRPr="00E10B6E">
        <w:rPr>
          <w:rFonts w:ascii="Calibri" w:hAnsi="Calibri" w:cs="Calibri"/>
          <w:noProof/>
          <w:szCs w:val="24"/>
        </w:rPr>
        <w:t>. https://www.elstacogen.nl/index_en.php?p=en_home</w:t>
      </w:r>
    </w:p>
    <w:p w14:paraId="6B83A88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EPP. (2020). </w:t>
      </w:r>
      <w:r w:rsidRPr="00E10B6E">
        <w:rPr>
          <w:rFonts w:ascii="Calibri" w:hAnsi="Calibri" w:cs="Calibri"/>
          <w:i/>
          <w:iCs/>
          <w:noProof/>
          <w:szCs w:val="24"/>
        </w:rPr>
        <w:t>Frequently Asked Questions - European Plastics Pact</w:t>
      </w:r>
      <w:r w:rsidRPr="00E10B6E">
        <w:rPr>
          <w:rFonts w:ascii="Calibri" w:hAnsi="Calibri" w:cs="Calibri"/>
          <w:noProof/>
          <w:szCs w:val="24"/>
        </w:rPr>
        <w:t>. https://europeanplasticspact.org/faq/#1582282239050-8b51ea83-b17d</w:t>
      </w:r>
    </w:p>
    <w:p w14:paraId="34E4701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ePURE. (2020). </w:t>
      </w:r>
      <w:r w:rsidRPr="00E10B6E">
        <w:rPr>
          <w:rFonts w:ascii="Calibri" w:hAnsi="Calibri" w:cs="Calibri"/>
          <w:i/>
          <w:iCs/>
          <w:noProof/>
          <w:szCs w:val="24"/>
        </w:rPr>
        <w:t>Statistics &amp; Infographics | ePURE - European Renewable Ethanol</w:t>
      </w:r>
      <w:r w:rsidRPr="00E10B6E">
        <w:rPr>
          <w:rFonts w:ascii="Calibri" w:hAnsi="Calibri" w:cs="Calibri"/>
          <w:noProof/>
          <w:szCs w:val="24"/>
        </w:rPr>
        <w:t>. https://www.epure.org/resources/statistics-and-infographics/</w:t>
      </w:r>
    </w:p>
    <w:p w14:paraId="3AAD461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EU Green Deal. (2020). </w:t>
      </w:r>
      <w:r w:rsidRPr="00E10B6E">
        <w:rPr>
          <w:rFonts w:ascii="Calibri" w:hAnsi="Calibri" w:cs="Calibri"/>
          <w:i/>
          <w:iCs/>
          <w:noProof/>
          <w:szCs w:val="24"/>
        </w:rPr>
        <w:t>A European Green Deal | European Commission</w:t>
      </w:r>
      <w:r w:rsidRPr="00E10B6E">
        <w:rPr>
          <w:rFonts w:ascii="Calibri" w:hAnsi="Calibri" w:cs="Calibri"/>
          <w:noProof/>
          <w:szCs w:val="24"/>
        </w:rPr>
        <w:t>. https://ec.europa.eu/info/strategy/priorities-2019-2024/european-green-deal_en</w:t>
      </w:r>
    </w:p>
    <w:p w14:paraId="24661C5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European Commission. (2007). </w:t>
      </w:r>
      <w:r w:rsidRPr="00E10B6E">
        <w:rPr>
          <w:rFonts w:ascii="Calibri" w:hAnsi="Calibri" w:cs="Calibri"/>
          <w:i/>
          <w:iCs/>
          <w:noProof/>
          <w:szCs w:val="24"/>
        </w:rPr>
        <w:t xml:space="preserve">Reference Document on Best Available Techniques in the Production </w:t>
      </w:r>
      <w:r w:rsidRPr="00E10B6E">
        <w:rPr>
          <w:rFonts w:ascii="Calibri" w:hAnsi="Calibri" w:cs="Calibri"/>
          <w:i/>
          <w:iCs/>
          <w:noProof/>
          <w:szCs w:val="24"/>
        </w:rPr>
        <w:lastRenderedPageBreak/>
        <w:t>of Polymers</w:t>
      </w:r>
      <w:r w:rsidRPr="00E10B6E">
        <w:rPr>
          <w:rFonts w:ascii="Calibri" w:hAnsi="Calibri" w:cs="Calibri"/>
          <w:noProof/>
          <w:szCs w:val="24"/>
        </w:rPr>
        <w:t>.</w:t>
      </w:r>
    </w:p>
    <w:p w14:paraId="7C59525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European Commission. (2020). </w:t>
      </w:r>
      <w:r w:rsidRPr="00E10B6E">
        <w:rPr>
          <w:rFonts w:ascii="Calibri" w:hAnsi="Calibri" w:cs="Calibri"/>
          <w:i/>
          <w:iCs/>
          <w:noProof/>
          <w:szCs w:val="24"/>
        </w:rPr>
        <w:t>2030 climate &amp; energy framework | Climate Action</w:t>
      </w:r>
      <w:r w:rsidRPr="00E10B6E">
        <w:rPr>
          <w:rFonts w:ascii="Calibri" w:hAnsi="Calibri" w:cs="Calibri"/>
          <w:noProof/>
          <w:szCs w:val="24"/>
        </w:rPr>
        <w:t>. https://ec.europa.eu/clima/policies/strategies/2030_en</w:t>
      </w:r>
    </w:p>
    <w:p w14:paraId="09B8208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FAOSTAT. (2018). </w:t>
      </w:r>
      <w:r w:rsidRPr="00E10B6E">
        <w:rPr>
          <w:rFonts w:ascii="Calibri" w:hAnsi="Calibri" w:cs="Calibri"/>
          <w:i/>
          <w:iCs/>
          <w:noProof/>
          <w:szCs w:val="24"/>
        </w:rPr>
        <w:t>FAOSTAT - Crops</w:t>
      </w:r>
      <w:r w:rsidRPr="00E10B6E">
        <w:rPr>
          <w:rFonts w:ascii="Calibri" w:hAnsi="Calibri" w:cs="Calibri"/>
          <w:noProof/>
          <w:szCs w:val="24"/>
        </w:rPr>
        <w:t>. http://www.fao.org/faostat/en/#data/QC</w:t>
      </w:r>
    </w:p>
    <w:p w14:paraId="77C3D37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Fivga, A., &amp; Dimitriou, I. (2018). Pyrolysis of plastic waste for production of heavy fuel substitute: A techno-economic assessment. </w:t>
      </w:r>
      <w:r w:rsidRPr="00E10B6E">
        <w:rPr>
          <w:rFonts w:ascii="Calibri" w:hAnsi="Calibri" w:cs="Calibri"/>
          <w:i/>
          <w:iCs/>
          <w:noProof/>
          <w:szCs w:val="24"/>
        </w:rPr>
        <w:t>Energy</w:t>
      </w:r>
      <w:r w:rsidRPr="00E10B6E">
        <w:rPr>
          <w:rFonts w:ascii="Calibri" w:hAnsi="Calibri" w:cs="Calibri"/>
          <w:noProof/>
          <w:szCs w:val="24"/>
        </w:rPr>
        <w:t xml:space="preserve">, </w:t>
      </w:r>
      <w:r w:rsidRPr="00E10B6E">
        <w:rPr>
          <w:rFonts w:ascii="Calibri" w:hAnsi="Calibri" w:cs="Calibri"/>
          <w:i/>
          <w:iCs/>
          <w:noProof/>
          <w:szCs w:val="24"/>
        </w:rPr>
        <w:t>149</w:t>
      </w:r>
      <w:r w:rsidRPr="00E10B6E">
        <w:rPr>
          <w:rFonts w:ascii="Calibri" w:hAnsi="Calibri" w:cs="Calibri"/>
          <w:noProof/>
          <w:szCs w:val="24"/>
        </w:rPr>
        <w:t>, 865–874. https://doi.org/10.1016/j.energy.2018.02.094</w:t>
      </w:r>
    </w:p>
    <w:p w14:paraId="2E9598C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Flavell-While, C. (2020). </w:t>
      </w:r>
      <w:r w:rsidRPr="00E10B6E">
        <w:rPr>
          <w:rFonts w:ascii="Calibri" w:hAnsi="Calibri" w:cs="Calibri"/>
          <w:i/>
          <w:iCs/>
          <w:noProof/>
          <w:szCs w:val="24"/>
        </w:rPr>
        <w:t>Dermot Manning and colleagues at ICI – Plastic Fantastic - Features - The Chemical Engineer</w:t>
      </w:r>
      <w:r w:rsidRPr="00E10B6E">
        <w:rPr>
          <w:rFonts w:ascii="Calibri" w:hAnsi="Calibri" w:cs="Calibri"/>
          <w:noProof/>
          <w:szCs w:val="24"/>
        </w:rPr>
        <w:t>. https://www.thechemicalengineer.com/features/cewctw-dermot-manning-and-colleagues-at-ici-plastic-fantastic/</w:t>
      </w:r>
    </w:p>
    <w:p w14:paraId="3C13355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Foust, T. D., Aden, A., Dutta, A., &amp; Phillips, S. (2009). An economic and environmental comparison of a biochemical and a thermochemical lignocellulosic ethanol conversion processes. </w:t>
      </w:r>
      <w:r w:rsidRPr="00E10B6E">
        <w:rPr>
          <w:rFonts w:ascii="Calibri" w:hAnsi="Calibri" w:cs="Calibri"/>
          <w:i/>
          <w:iCs/>
          <w:noProof/>
          <w:szCs w:val="24"/>
        </w:rPr>
        <w:t>Cellulose</w:t>
      </w:r>
      <w:r w:rsidRPr="00E10B6E">
        <w:rPr>
          <w:rFonts w:ascii="Calibri" w:hAnsi="Calibri" w:cs="Calibri"/>
          <w:noProof/>
          <w:szCs w:val="24"/>
        </w:rPr>
        <w:t xml:space="preserve">, </w:t>
      </w:r>
      <w:r w:rsidRPr="00E10B6E">
        <w:rPr>
          <w:rFonts w:ascii="Calibri" w:hAnsi="Calibri" w:cs="Calibri"/>
          <w:i/>
          <w:iCs/>
          <w:noProof/>
          <w:szCs w:val="24"/>
        </w:rPr>
        <w:t>16</w:t>
      </w:r>
      <w:r w:rsidRPr="00E10B6E">
        <w:rPr>
          <w:rFonts w:ascii="Calibri" w:hAnsi="Calibri" w:cs="Calibri"/>
          <w:noProof/>
          <w:szCs w:val="24"/>
        </w:rPr>
        <w:t>(4), 547–565. https://doi.org/10.1007/s10570-009-9317-x</w:t>
      </w:r>
    </w:p>
    <w:p w14:paraId="47F2B1D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Geyer, R., Jambeck, J. R., &amp; Law, K. L. (2017). Production, use, and fate of all plastics ever made. </w:t>
      </w:r>
      <w:r w:rsidRPr="00E10B6E">
        <w:rPr>
          <w:rFonts w:ascii="Calibri" w:hAnsi="Calibri" w:cs="Calibri"/>
          <w:i/>
          <w:iCs/>
          <w:noProof/>
          <w:szCs w:val="24"/>
        </w:rPr>
        <w:t>Science Advances</w:t>
      </w:r>
      <w:r w:rsidRPr="00E10B6E">
        <w:rPr>
          <w:rFonts w:ascii="Calibri" w:hAnsi="Calibri" w:cs="Calibri"/>
          <w:noProof/>
          <w:szCs w:val="24"/>
        </w:rPr>
        <w:t xml:space="preserve">, </w:t>
      </w:r>
      <w:r w:rsidRPr="00E10B6E">
        <w:rPr>
          <w:rFonts w:ascii="Calibri" w:hAnsi="Calibri" w:cs="Calibri"/>
          <w:i/>
          <w:iCs/>
          <w:noProof/>
          <w:szCs w:val="24"/>
        </w:rPr>
        <w:t>3</w:t>
      </w:r>
      <w:r w:rsidRPr="00E10B6E">
        <w:rPr>
          <w:rFonts w:ascii="Calibri" w:hAnsi="Calibri" w:cs="Calibri"/>
          <w:noProof/>
          <w:szCs w:val="24"/>
        </w:rPr>
        <w:t>(7), e1700782. https://doi.org/10.1126/sciadv.1700782</w:t>
      </w:r>
    </w:p>
    <w:p w14:paraId="449D270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Ghanta, M., Fahey, D., &amp; Subramaniam, B. (2014). Environmental impacts of ethylene production from diverse feedstocks and energy sources. </w:t>
      </w:r>
      <w:r w:rsidRPr="00E10B6E">
        <w:rPr>
          <w:rFonts w:ascii="Calibri" w:hAnsi="Calibri" w:cs="Calibri"/>
          <w:i/>
          <w:iCs/>
          <w:noProof/>
          <w:szCs w:val="24"/>
        </w:rPr>
        <w:t>Applied Petrochemical Research</w:t>
      </w:r>
      <w:r w:rsidRPr="00E10B6E">
        <w:rPr>
          <w:rFonts w:ascii="Calibri" w:hAnsi="Calibri" w:cs="Calibri"/>
          <w:noProof/>
          <w:szCs w:val="24"/>
        </w:rPr>
        <w:t xml:space="preserve">, </w:t>
      </w:r>
      <w:r w:rsidRPr="00E10B6E">
        <w:rPr>
          <w:rFonts w:ascii="Calibri" w:hAnsi="Calibri" w:cs="Calibri"/>
          <w:i/>
          <w:iCs/>
          <w:noProof/>
          <w:szCs w:val="24"/>
        </w:rPr>
        <w:t>4</w:t>
      </w:r>
      <w:r w:rsidRPr="00E10B6E">
        <w:rPr>
          <w:rFonts w:ascii="Calibri" w:hAnsi="Calibri" w:cs="Calibri"/>
          <w:noProof/>
          <w:szCs w:val="24"/>
        </w:rPr>
        <w:t>(2), 167–179. https://doi.org/10.1007/s13203-013-0029-7</w:t>
      </w:r>
    </w:p>
    <w:p w14:paraId="5BEFDC1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GlobalPetrolPrices. (2020). </w:t>
      </w:r>
      <w:r w:rsidRPr="00E10B6E">
        <w:rPr>
          <w:rFonts w:ascii="Calibri" w:hAnsi="Calibri" w:cs="Calibri"/>
          <w:i/>
          <w:iCs/>
          <w:noProof/>
          <w:szCs w:val="24"/>
        </w:rPr>
        <w:t>Ethanol prices around the world</w:t>
      </w:r>
      <w:r w:rsidRPr="00E10B6E">
        <w:rPr>
          <w:rFonts w:ascii="Calibri" w:hAnsi="Calibri" w:cs="Calibri"/>
          <w:noProof/>
          <w:szCs w:val="24"/>
        </w:rPr>
        <w:t>. https://www.globalpetrolprices.com/ethanol_prices/</w:t>
      </w:r>
    </w:p>
    <w:p w14:paraId="1BDA307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Gotro, J. (2013, April 30). </w:t>
      </w:r>
      <w:r w:rsidRPr="00E10B6E">
        <w:rPr>
          <w:rFonts w:ascii="Calibri" w:hAnsi="Calibri" w:cs="Calibri"/>
          <w:i/>
          <w:iCs/>
          <w:noProof/>
          <w:szCs w:val="24"/>
        </w:rPr>
        <w:t>Bio-Based Polypropylene; Multiple Synthetic Routes Under Investigation</w:t>
      </w:r>
      <w:r w:rsidRPr="00E10B6E">
        <w:rPr>
          <w:rFonts w:ascii="Calibri" w:hAnsi="Calibri" w:cs="Calibri"/>
          <w:noProof/>
          <w:szCs w:val="24"/>
        </w:rPr>
        <w:t>. Polymer Innovation Blog. https://polymerinnovationblog.com/bio-based-polypropylene-multiple-synthetic-routes-under-investigation/</w:t>
      </w:r>
    </w:p>
    <w:p w14:paraId="1C816F1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Gradus, R. H. J. M., Nillesen, P. H. L., Dijkgraaf, E., &amp; van Koppen, R. J. (2017). A Cost-effectiveness Analysis for Incineration or Recycling of Dutch Household Plastic Waste. </w:t>
      </w:r>
      <w:r w:rsidRPr="00E10B6E">
        <w:rPr>
          <w:rFonts w:ascii="Calibri" w:hAnsi="Calibri" w:cs="Calibri"/>
          <w:i/>
          <w:iCs/>
          <w:noProof/>
          <w:szCs w:val="24"/>
        </w:rPr>
        <w:t>Ecological Economics</w:t>
      </w:r>
      <w:r w:rsidRPr="00E10B6E">
        <w:rPr>
          <w:rFonts w:ascii="Calibri" w:hAnsi="Calibri" w:cs="Calibri"/>
          <w:noProof/>
          <w:szCs w:val="24"/>
        </w:rPr>
        <w:t xml:space="preserve">, </w:t>
      </w:r>
      <w:r w:rsidRPr="00E10B6E">
        <w:rPr>
          <w:rFonts w:ascii="Calibri" w:hAnsi="Calibri" w:cs="Calibri"/>
          <w:i/>
          <w:iCs/>
          <w:noProof/>
          <w:szCs w:val="24"/>
        </w:rPr>
        <w:t>135</w:t>
      </w:r>
      <w:r w:rsidRPr="00E10B6E">
        <w:rPr>
          <w:rFonts w:ascii="Calibri" w:hAnsi="Calibri" w:cs="Calibri"/>
          <w:noProof/>
          <w:szCs w:val="24"/>
        </w:rPr>
        <w:t>, 22–28. https://doi.org/10.1016/j.ecolecon.2016.12.021</w:t>
      </w:r>
    </w:p>
    <w:p w14:paraId="2C8E970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Graziano, A., Jaffer, S., &amp; Sain, M. (2019). Review on modification strategies of polyethylene/polypropylene immiscible thermoplastic polymer blends for enhancing their mechanical behavior. </w:t>
      </w:r>
      <w:r w:rsidRPr="00E10B6E">
        <w:rPr>
          <w:rFonts w:ascii="Calibri" w:hAnsi="Calibri" w:cs="Calibri"/>
          <w:i/>
          <w:iCs/>
          <w:noProof/>
          <w:szCs w:val="24"/>
        </w:rPr>
        <w:t>Journal of Elastomers &amp; Plastics</w:t>
      </w:r>
      <w:r w:rsidRPr="00E10B6E">
        <w:rPr>
          <w:rFonts w:ascii="Calibri" w:hAnsi="Calibri" w:cs="Calibri"/>
          <w:noProof/>
          <w:szCs w:val="24"/>
        </w:rPr>
        <w:t xml:space="preserve">, </w:t>
      </w:r>
      <w:r w:rsidRPr="00E10B6E">
        <w:rPr>
          <w:rFonts w:ascii="Calibri" w:hAnsi="Calibri" w:cs="Calibri"/>
          <w:i/>
          <w:iCs/>
          <w:noProof/>
          <w:szCs w:val="24"/>
        </w:rPr>
        <w:t>51</w:t>
      </w:r>
      <w:r w:rsidRPr="00E10B6E">
        <w:rPr>
          <w:rFonts w:ascii="Calibri" w:hAnsi="Calibri" w:cs="Calibri"/>
          <w:noProof/>
          <w:szCs w:val="24"/>
        </w:rPr>
        <w:t>(4), 291–336. https://doi.org/10.1177/0095244318783806</w:t>
      </w:r>
    </w:p>
    <w:p w14:paraId="75439AD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Guan, Y., Luo, S., Liu, S., Xiao, B., &amp; Cai, L. (2009). Steam catalytic gasification of municipal solid waste for producing tar-free fuel gas. </w:t>
      </w:r>
      <w:r w:rsidRPr="00E10B6E">
        <w:rPr>
          <w:rFonts w:ascii="Calibri" w:hAnsi="Calibri" w:cs="Calibri"/>
          <w:i/>
          <w:iCs/>
          <w:noProof/>
          <w:szCs w:val="24"/>
        </w:rPr>
        <w:t>International Journal of Hydrogen Energy</w:t>
      </w:r>
      <w:r w:rsidRPr="00E10B6E">
        <w:rPr>
          <w:rFonts w:ascii="Calibri" w:hAnsi="Calibri" w:cs="Calibri"/>
          <w:noProof/>
          <w:szCs w:val="24"/>
        </w:rPr>
        <w:t xml:space="preserve">, </w:t>
      </w:r>
      <w:r w:rsidRPr="00E10B6E">
        <w:rPr>
          <w:rFonts w:ascii="Calibri" w:hAnsi="Calibri" w:cs="Calibri"/>
          <w:i/>
          <w:iCs/>
          <w:noProof/>
          <w:szCs w:val="24"/>
        </w:rPr>
        <w:t>34</w:t>
      </w:r>
      <w:r w:rsidRPr="00E10B6E">
        <w:rPr>
          <w:rFonts w:ascii="Calibri" w:hAnsi="Calibri" w:cs="Calibri"/>
          <w:noProof/>
          <w:szCs w:val="24"/>
        </w:rPr>
        <w:t>(23), 9341–9346. https://doi.org/10.1016/j.ijhydene.2009.09.050</w:t>
      </w:r>
    </w:p>
    <w:p w14:paraId="3D97FAA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Gupta, R. B. (2008). </w:t>
      </w:r>
      <w:r w:rsidRPr="00E10B6E">
        <w:rPr>
          <w:rFonts w:ascii="Calibri" w:hAnsi="Calibri" w:cs="Calibri"/>
          <w:i/>
          <w:iCs/>
          <w:noProof/>
          <w:szCs w:val="24"/>
        </w:rPr>
        <w:t>Hydrogen Fuel: Production, Transport, and Storage</w:t>
      </w:r>
      <w:r w:rsidRPr="00E10B6E">
        <w:rPr>
          <w:rFonts w:ascii="Calibri" w:hAnsi="Calibri" w:cs="Calibri"/>
          <w:noProof/>
          <w:szCs w:val="24"/>
        </w:rPr>
        <w:t>. CRC Press. https://books.google.nl/books?hl=en&amp;lr=&amp;id=UlVhpI0XnRcC&amp;oi=fnd&amp;pg=PP1&amp;dq=hydrogen+fuel&amp;ots=t30-Zw4oJH&amp;sig=GeBIM2OJMm0M9fGRd9W9bt5A3uQ&amp;redir_esc=y#v=onepage&amp;q=hydrogen fuel&amp;f=false</w:t>
      </w:r>
    </w:p>
    <w:p w14:paraId="0A77BCB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Hammond, L., &amp; Saunders, P. (1991).  Science and Corporate Strategy: Du Pont R&amp;D, 1902 – 1980 by David A. Hounshell and John Kenly Smith, Jr . (Cambridge University Press, New York, 1988), pp. xx + 756, $99.00, ISBN 0-521-32767-9 . </w:t>
      </w:r>
      <w:r w:rsidRPr="00E10B6E">
        <w:rPr>
          <w:rFonts w:ascii="Calibri" w:hAnsi="Calibri" w:cs="Calibri"/>
          <w:i/>
          <w:iCs/>
          <w:noProof/>
          <w:szCs w:val="24"/>
        </w:rPr>
        <w:t>Prometheus</w:t>
      </w:r>
      <w:r w:rsidRPr="00E10B6E">
        <w:rPr>
          <w:rFonts w:ascii="Calibri" w:hAnsi="Calibri" w:cs="Calibri"/>
          <w:noProof/>
          <w:szCs w:val="24"/>
        </w:rPr>
        <w:t xml:space="preserve">, </w:t>
      </w:r>
      <w:r w:rsidRPr="00E10B6E">
        <w:rPr>
          <w:rFonts w:ascii="Calibri" w:hAnsi="Calibri" w:cs="Calibri"/>
          <w:i/>
          <w:iCs/>
          <w:noProof/>
          <w:szCs w:val="24"/>
        </w:rPr>
        <w:t>9</w:t>
      </w:r>
      <w:r w:rsidRPr="00E10B6E">
        <w:rPr>
          <w:rFonts w:ascii="Calibri" w:hAnsi="Calibri" w:cs="Calibri"/>
          <w:noProof/>
          <w:szCs w:val="24"/>
        </w:rPr>
        <w:t>(1), 150–153. https://doi.org/10.1080/08109029108631912</w:t>
      </w:r>
    </w:p>
    <w:p w14:paraId="2E8EE55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Harmsen, G. J. (2004). Industrial best practices of conceptual process design. </w:t>
      </w:r>
      <w:r w:rsidRPr="00E10B6E">
        <w:rPr>
          <w:rFonts w:ascii="Calibri" w:hAnsi="Calibri" w:cs="Calibri"/>
          <w:i/>
          <w:iCs/>
          <w:noProof/>
          <w:szCs w:val="24"/>
        </w:rPr>
        <w:t xml:space="preserve">Chemical Engineering </w:t>
      </w:r>
      <w:r w:rsidRPr="00E10B6E">
        <w:rPr>
          <w:rFonts w:ascii="Calibri" w:hAnsi="Calibri" w:cs="Calibri"/>
          <w:i/>
          <w:iCs/>
          <w:noProof/>
          <w:szCs w:val="24"/>
        </w:rPr>
        <w:lastRenderedPageBreak/>
        <w:t>and Processing: Process Intensification</w:t>
      </w:r>
      <w:r w:rsidRPr="00E10B6E">
        <w:rPr>
          <w:rFonts w:ascii="Calibri" w:hAnsi="Calibri" w:cs="Calibri"/>
          <w:noProof/>
          <w:szCs w:val="24"/>
        </w:rPr>
        <w:t xml:space="preserve">, </w:t>
      </w:r>
      <w:r w:rsidRPr="00E10B6E">
        <w:rPr>
          <w:rFonts w:ascii="Calibri" w:hAnsi="Calibri" w:cs="Calibri"/>
          <w:i/>
          <w:iCs/>
          <w:noProof/>
          <w:szCs w:val="24"/>
        </w:rPr>
        <w:t>43</w:t>
      </w:r>
      <w:r w:rsidRPr="00E10B6E">
        <w:rPr>
          <w:rFonts w:ascii="Calibri" w:hAnsi="Calibri" w:cs="Calibri"/>
          <w:noProof/>
          <w:szCs w:val="24"/>
        </w:rPr>
        <w:t>(5), 671–675. https://doi.org/10.1016/j.cep.2003.02.003</w:t>
      </w:r>
    </w:p>
    <w:p w14:paraId="3AFFF01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Hayer, S. (2017). </w:t>
      </w:r>
      <w:r w:rsidRPr="00E10B6E">
        <w:rPr>
          <w:rFonts w:ascii="Calibri" w:hAnsi="Calibri" w:cs="Calibri"/>
          <w:i/>
          <w:iCs/>
          <w:noProof/>
          <w:szCs w:val="24"/>
        </w:rPr>
        <w:t>Fossil Fuel Subsidies</w:t>
      </w:r>
      <w:r w:rsidRPr="00E10B6E">
        <w:rPr>
          <w:rFonts w:ascii="Calibri" w:hAnsi="Calibri" w:cs="Calibri"/>
          <w:noProof/>
          <w:szCs w:val="24"/>
        </w:rPr>
        <w:t>. https://www.europarl.europa.eu/RegData/etudes/IDAN/2017/595372/IPOL_IDA(2017)595372_EN.pdf</w:t>
      </w:r>
    </w:p>
    <w:p w14:paraId="07A9E3B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Holladay, J. D., Hu, J., King, D. L., &amp; Wang, Y. (2009). An overview of hydrogen production technologies. </w:t>
      </w:r>
      <w:r w:rsidRPr="00E10B6E">
        <w:rPr>
          <w:rFonts w:ascii="Calibri" w:hAnsi="Calibri" w:cs="Calibri"/>
          <w:i/>
          <w:iCs/>
          <w:noProof/>
          <w:szCs w:val="24"/>
        </w:rPr>
        <w:t>Catalysis Today</w:t>
      </w:r>
      <w:r w:rsidRPr="00E10B6E">
        <w:rPr>
          <w:rFonts w:ascii="Calibri" w:hAnsi="Calibri" w:cs="Calibri"/>
          <w:noProof/>
          <w:szCs w:val="24"/>
        </w:rPr>
        <w:t xml:space="preserve">, </w:t>
      </w:r>
      <w:r w:rsidRPr="00E10B6E">
        <w:rPr>
          <w:rFonts w:ascii="Calibri" w:hAnsi="Calibri" w:cs="Calibri"/>
          <w:i/>
          <w:iCs/>
          <w:noProof/>
          <w:szCs w:val="24"/>
        </w:rPr>
        <w:t>139</w:t>
      </w:r>
      <w:r w:rsidRPr="00E10B6E">
        <w:rPr>
          <w:rFonts w:ascii="Calibri" w:hAnsi="Calibri" w:cs="Calibri"/>
          <w:noProof/>
          <w:szCs w:val="24"/>
        </w:rPr>
        <w:t>(4), 244–260. https://doi.org/10.1016/j.cattod.2008.08.039</w:t>
      </w:r>
    </w:p>
    <w:p w14:paraId="1B91C30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Hu, J., Wang, R., &amp; Huang, D. (2019). Improvements of performance and stability of a single-stage transonic axial compressor using a combined flow control approach. </w:t>
      </w:r>
      <w:r w:rsidRPr="00E10B6E">
        <w:rPr>
          <w:rFonts w:ascii="Calibri" w:hAnsi="Calibri" w:cs="Calibri"/>
          <w:i/>
          <w:iCs/>
          <w:noProof/>
          <w:szCs w:val="24"/>
        </w:rPr>
        <w:t>Aerospace Science and Technology</w:t>
      </w:r>
      <w:r w:rsidRPr="00E10B6E">
        <w:rPr>
          <w:rFonts w:ascii="Calibri" w:hAnsi="Calibri" w:cs="Calibri"/>
          <w:noProof/>
          <w:szCs w:val="24"/>
        </w:rPr>
        <w:t xml:space="preserve">, </w:t>
      </w:r>
      <w:r w:rsidRPr="00E10B6E">
        <w:rPr>
          <w:rFonts w:ascii="Calibri" w:hAnsi="Calibri" w:cs="Calibri"/>
          <w:i/>
          <w:iCs/>
          <w:noProof/>
          <w:szCs w:val="24"/>
        </w:rPr>
        <w:t>86</w:t>
      </w:r>
      <w:r w:rsidRPr="00E10B6E">
        <w:rPr>
          <w:rFonts w:ascii="Calibri" w:hAnsi="Calibri" w:cs="Calibri"/>
          <w:noProof/>
          <w:szCs w:val="24"/>
        </w:rPr>
        <w:t>, 283–295. https://doi.org/10.1016/j.ast.2018.12.033</w:t>
      </w:r>
    </w:p>
    <w:p w14:paraId="41F33AA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Hutley, T. J., &amp; Ouederni, M. (2016). Polyolefins—The History and Economic Impact. In M. Al Ma’adeed &amp; I. Krupa (Eds.), </w:t>
      </w:r>
      <w:r w:rsidRPr="00E10B6E">
        <w:rPr>
          <w:rFonts w:ascii="Calibri" w:hAnsi="Calibri" w:cs="Calibri"/>
          <w:i/>
          <w:iCs/>
          <w:noProof/>
          <w:szCs w:val="24"/>
        </w:rPr>
        <w:t xml:space="preserve">Polyolefin Compounds and Materials </w:t>
      </w:r>
      <w:r w:rsidRPr="00E10B6E">
        <w:rPr>
          <w:rFonts w:ascii="Calibri" w:hAnsi="Calibri" w:cs="Calibri"/>
          <w:noProof/>
          <w:szCs w:val="24"/>
        </w:rPr>
        <w:t xml:space="preserve"> (pp. 13–50). Springer. https://doi.org/10.1007/978-3-319-25982-6_2</w:t>
      </w:r>
    </w:p>
    <w:p w14:paraId="2B1D2BF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IEA. (2020). </w:t>
      </w:r>
      <w:r w:rsidRPr="00E10B6E">
        <w:rPr>
          <w:rFonts w:ascii="Calibri" w:hAnsi="Calibri" w:cs="Calibri"/>
          <w:i/>
          <w:iCs/>
          <w:noProof/>
          <w:szCs w:val="24"/>
        </w:rPr>
        <w:t>Data &amp; Statistics</w:t>
      </w:r>
      <w:r w:rsidRPr="00E10B6E">
        <w:rPr>
          <w:rFonts w:ascii="Calibri" w:hAnsi="Calibri" w:cs="Calibri"/>
          <w:noProof/>
          <w:szCs w:val="24"/>
        </w:rPr>
        <w:t>. https://www.iea.org/data-and-statistics?</w:t>
      </w:r>
    </w:p>
    <w:p w14:paraId="192BCD9D"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IETS TCP. (2014). </w:t>
      </w:r>
      <w:r w:rsidRPr="00E10B6E">
        <w:rPr>
          <w:rFonts w:ascii="Calibri" w:hAnsi="Calibri" w:cs="Calibri"/>
          <w:i/>
          <w:iCs/>
          <w:noProof/>
          <w:szCs w:val="24"/>
        </w:rPr>
        <w:t>Application of Industrial Heat Pumps</w:t>
      </w:r>
      <w:r w:rsidRPr="00E10B6E">
        <w:rPr>
          <w:rFonts w:ascii="Calibri" w:hAnsi="Calibri" w:cs="Calibri"/>
          <w:noProof/>
          <w:szCs w:val="24"/>
        </w:rPr>
        <w:t>.</w:t>
      </w:r>
    </w:p>
    <w:p w14:paraId="407BCCB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Indiamart. (2020). </w:t>
      </w:r>
      <w:r w:rsidRPr="00E10B6E">
        <w:rPr>
          <w:rFonts w:ascii="Calibri" w:hAnsi="Calibri" w:cs="Calibri"/>
          <w:i/>
          <w:iCs/>
          <w:noProof/>
          <w:szCs w:val="24"/>
        </w:rPr>
        <w:t>Plastic HDPE Oil Jars</w:t>
      </w:r>
      <w:r w:rsidRPr="00E10B6E">
        <w:rPr>
          <w:rFonts w:ascii="Calibri" w:hAnsi="Calibri" w:cs="Calibri"/>
          <w:noProof/>
          <w:szCs w:val="24"/>
        </w:rPr>
        <w:t>. https://www.indiamart.com/proddetail/plastic-hdpe-oil-jars-18778242373.html</w:t>
      </w:r>
    </w:p>
    <w:p w14:paraId="68684EC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IPCC. (2014). </w:t>
      </w:r>
      <w:r w:rsidRPr="00E10B6E">
        <w:rPr>
          <w:rFonts w:ascii="Calibri" w:hAnsi="Calibri" w:cs="Calibri"/>
          <w:i/>
          <w:iCs/>
          <w:noProof/>
          <w:szCs w:val="24"/>
        </w:rPr>
        <w:t>AR5 Synthesis Report: Climate Change 2014</w:t>
      </w:r>
      <w:r w:rsidRPr="00E10B6E">
        <w:rPr>
          <w:rFonts w:ascii="Calibri" w:hAnsi="Calibri" w:cs="Calibri"/>
          <w:noProof/>
          <w:szCs w:val="24"/>
        </w:rPr>
        <w:t>. https://www.ipcc.ch/report/ar5/syr/</w:t>
      </w:r>
    </w:p>
    <w:p w14:paraId="04A430F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IRENA. (2013). </w:t>
      </w:r>
      <w:r w:rsidRPr="00E10B6E">
        <w:rPr>
          <w:rFonts w:ascii="Calibri" w:hAnsi="Calibri" w:cs="Calibri"/>
          <w:i/>
          <w:iCs/>
          <w:noProof/>
          <w:szCs w:val="24"/>
        </w:rPr>
        <w:t>Production of Bio-ethylene. Technology Brief.</w:t>
      </w:r>
      <w:r w:rsidRPr="00E10B6E">
        <w:rPr>
          <w:rFonts w:ascii="Calibri" w:hAnsi="Calibri" w:cs="Calibri"/>
          <w:noProof/>
          <w:szCs w:val="24"/>
        </w:rPr>
        <w:t xml:space="preserve"> www.etsap.org-www.irena.org</w:t>
      </w:r>
    </w:p>
    <w:p w14:paraId="29F8594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Kaminsky, W., Schlesselmann, B., &amp; Simon, C. M. (1996). Thermal degradation of mixed plastic waste to aromatics and gas. </w:t>
      </w:r>
      <w:r w:rsidRPr="00E10B6E">
        <w:rPr>
          <w:rFonts w:ascii="Calibri" w:hAnsi="Calibri" w:cs="Calibri"/>
          <w:i/>
          <w:iCs/>
          <w:noProof/>
          <w:szCs w:val="24"/>
        </w:rPr>
        <w:t>Polymer Degradation and Stability</w:t>
      </w:r>
      <w:r w:rsidRPr="00E10B6E">
        <w:rPr>
          <w:rFonts w:ascii="Calibri" w:hAnsi="Calibri" w:cs="Calibri"/>
          <w:noProof/>
          <w:szCs w:val="24"/>
        </w:rPr>
        <w:t xml:space="preserve">, </w:t>
      </w:r>
      <w:r w:rsidRPr="00E10B6E">
        <w:rPr>
          <w:rFonts w:ascii="Calibri" w:hAnsi="Calibri" w:cs="Calibri"/>
          <w:i/>
          <w:iCs/>
          <w:noProof/>
          <w:szCs w:val="24"/>
        </w:rPr>
        <w:t>53</w:t>
      </w:r>
      <w:r w:rsidRPr="00E10B6E">
        <w:rPr>
          <w:rFonts w:ascii="Calibri" w:hAnsi="Calibri" w:cs="Calibri"/>
          <w:noProof/>
          <w:szCs w:val="24"/>
        </w:rPr>
        <w:t>(2), 189–197. https://doi.org/10.1016/0141-3910(96)00087-0</w:t>
      </w:r>
    </w:p>
    <w:p w14:paraId="37863DA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Kanellopoulos, V., &amp; Kiparissides, C. (2019). Industrial Multimodal Processes. In </w:t>
      </w:r>
      <w:r w:rsidRPr="00E10B6E">
        <w:rPr>
          <w:rFonts w:ascii="Calibri" w:hAnsi="Calibri" w:cs="Calibri"/>
          <w:i/>
          <w:iCs/>
          <w:noProof/>
          <w:szCs w:val="24"/>
        </w:rPr>
        <w:t>Multimodal Polymers with Supported Catalyst</w:t>
      </w:r>
      <w:r w:rsidRPr="00E10B6E">
        <w:rPr>
          <w:rFonts w:ascii="Calibri" w:hAnsi="Calibri" w:cs="Calibri"/>
          <w:noProof/>
          <w:szCs w:val="24"/>
        </w:rPr>
        <w:t xml:space="preserve"> (pp. 170–202). Springer Nature.</w:t>
      </w:r>
    </w:p>
    <w:p w14:paraId="33F729D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Kapner, S. (2002, April). </w:t>
      </w:r>
      <w:r w:rsidRPr="00E10B6E">
        <w:rPr>
          <w:rFonts w:ascii="Calibri" w:hAnsi="Calibri" w:cs="Calibri"/>
          <w:i/>
          <w:iCs/>
          <w:noProof/>
          <w:szCs w:val="24"/>
        </w:rPr>
        <w:t>Saudi Chemical Maker in Dutch Acquisition - The New York Times</w:t>
      </w:r>
      <w:r w:rsidRPr="00E10B6E">
        <w:rPr>
          <w:rFonts w:ascii="Calibri" w:hAnsi="Calibri" w:cs="Calibri"/>
          <w:noProof/>
          <w:szCs w:val="24"/>
        </w:rPr>
        <w:t>. https://www.nytimes.com/2002/04/04/business/saudi-chemical-maker-in-dutch-acquisition.html</w:t>
      </w:r>
    </w:p>
    <w:p w14:paraId="2C0D33F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Khripko, D., Schlüter, B. A., Rommel, B., Rosano, M., &amp; Hesselbach, J. (2016). </w:t>
      </w:r>
      <w:r w:rsidRPr="00E10B6E">
        <w:rPr>
          <w:rFonts w:ascii="Calibri" w:hAnsi="Calibri" w:cs="Calibri"/>
          <w:noProof/>
          <w:szCs w:val="24"/>
        </w:rPr>
        <w:t xml:space="preserve">Energy demand and efficiency measures in polymer processing: comparison between temperate and Mediterranean operating plants. </w:t>
      </w:r>
      <w:r w:rsidRPr="00E10B6E">
        <w:rPr>
          <w:rFonts w:ascii="Calibri" w:hAnsi="Calibri" w:cs="Calibri"/>
          <w:i/>
          <w:iCs/>
          <w:noProof/>
          <w:szCs w:val="24"/>
        </w:rPr>
        <w:t>International Journal of Energy and Environmental Engineering</w:t>
      </w:r>
      <w:r w:rsidRPr="00E10B6E">
        <w:rPr>
          <w:rFonts w:ascii="Calibri" w:hAnsi="Calibri" w:cs="Calibri"/>
          <w:noProof/>
          <w:szCs w:val="24"/>
        </w:rPr>
        <w:t xml:space="preserve">, </w:t>
      </w:r>
      <w:r w:rsidRPr="00E10B6E">
        <w:rPr>
          <w:rFonts w:ascii="Calibri" w:hAnsi="Calibri" w:cs="Calibri"/>
          <w:i/>
          <w:iCs/>
          <w:noProof/>
          <w:szCs w:val="24"/>
        </w:rPr>
        <w:t>7</w:t>
      </w:r>
      <w:r w:rsidRPr="00E10B6E">
        <w:rPr>
          <w:rFonts w:ascii="Calibri" w:hAnsi="Calibri" w:cs="Calibri"/>
          <w:noProof/>
          <w:szCs w:val="24"/>
        </w:rPr>
        <w:t>(2), 225–233. https://doi.org/10.1007/s40095-015-0200-2</w:t>
      </w:r>
    </w:p>
    <w:p w14:paraId="118E4A5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Kikuchi, Y., Oshita, Y., Mayumi, K., &amp; Hirao, M. (2017). </w:t>
      </w:r>
      <w:r w:rsidRPr="00E10B6E">
        <w:rPr>
          <w:rFonts w:ascii="Calibri" w:hAnsi="Calibri" w:cs="Calibri"/>
          <w:noProof/>
          <w:szCs w:val="24"/>
        </w:rPr>
        <w:t xml:space="preserve">Greenhouse gas emissions and socioeconomic effects of biomass-derived products based on structural path and life cycle analyses: A case study of polyethylene and polypropylene in Japan. </w:t>
      </w:r>
      <w:r w:rsidRPr="00E10B6E">
        <w:rPr>
          <w:rFonts w:ascii="Calibri" w:hAnsi="Calibri" w:cs="Calibri"/>
          <w:i/>
          <w:iCs/>
          <w:noProof/>
          <w:szCs w:val="24"/>
        </w:rPr>
        <w:t>Journal of Cleaner Production</w:t>
      </w:r>
      <w:r w:rsidRPr="00E10B6E">
        <w:rPr>
          <w:rFonts w:ascii="Calibri" w:hAnsi="Calibri" w:cs="Calibri"/>
          <w:noProof/>
          <w:szCs w:val="24"/>
        </w:rPr>
        <w:t xml:space="preserve">, </w:t>
      </w:r>
      <w:r w:rsidRPr="00E10B6E">
        <w:rPr>
          <w:rFonts w:ascii="Calibri" w:hAnsi="Calibri" w:cs="Calibri"/>
          <w:i/>
          <w:iCs/>
          <w:noProof/>
          <w:szCs w:val="24"/>
        </w:rPr>
        <w:t>167</w:t>
      </w:r>
      <w:r w:rsidRPr="00E10B6E">
        <w:rPr>
          <w:rFonts w:ascii="Calibri" w:hAnsi="Calibri" w:cs="Calibri"/>
          <w:noProof/>
          <w:szCs w:val="24"/>
        </w:rPr>
        <w:t>, 289–305. https://doi.org/10.1016/j.jclepro.2017.08.179</w:t>
      </w:r>
    </w:p>
    <w:p w14:paraId="1AC5CDE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Klimaat-akkoord. (2019). </w:t>
      </w:r>
      <w:r w:rsidRPr="00E10B6E">
        <w:rPr>
          <w:rFonts w:ascii="Calibri" w:hAnsi="Calibri" w:cs="Calibri"/>
          <w:i/>
          <w:iCs/>
          <w:noProof/>
          <w:szCs w:val="24"/>
        </w:rPr>
        <w:t>National Climate Agreement - The Netherlands Publication Climate agreement</w:t>
      </w:r>
      <w:r w:rsidRPr="00E10B6E">
        <w:rPr>
          <w:rFonts w:ascii="Calibri" w:hAnsi="Calibri" w:cs="Calibri"/>
          <w:noProof/>
          <w:szCs w:val="24"/>
        </w:rPr>
        <w:t>. https://www.klimaatakkoord.nl/documenten/publicaties/2019/06/28/national-climate-agreement-the-netherlands</w:t>
      </w:r>
    </w:p>
    <w:p w14:paraId="3178236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Langeveld, J. W. A., Van De Ven, G., De Vries, S. C., Van Den Brink, L., &amp; De Visser, C. (2014). Ethanol from sugar beet in The Netherlands: Energy production and efficiency. </w:t>
      </w:r>
      <w:r w:rsidRPr="00E10B6E">
        <w:rPr>
          <w:rFonts w:ascii="Calibri" w:hAnsi="Calibri" w:cs="Calibri"/>
          <w:i/>
          <w:iCs/>
          <w:noProof/>
          <w:szCs w:val="24"/>
        </w:rPr>
        <w:t>International Journal of Sustainable Development</w:t>
      </w:r>
      <w:r w:rsidRPr="00E10B6E">
        <w:rPr>
          <w:rFonts w:ascii="Calibri" w:hAnsi="Calibri" w:cs="Calibri"/>
          <w:noProof/>
          <w:szCs w:val="24"/>
        </w:rPr>
        <w:t xml:space="preserve">, </w:t>
      </w:r>
      <w:r w:rsidRPr="00E10B6E">
        <w:rPr>
          <w:rFonts w:ascii="Calibri" w:hAnsi="Calibri" w:cs="Calibri"/>
          <w:i/>
          <w:iCs/>
          <w:noProof/>
          <w:szCs w:val="24"/>
        </w:rPr>
        <w:t>17</w:t>
      </w:r>
      <w:r w:rsidRPr="00E10B6E">
        <w:rPr>
          <w:rFonts w:ascii="Calibri" w:hAnsi="Calibri" w:cs="Calibri"/>
          <w:noProof/>
          <w:szCs w:val="24"/>
        </w:rPr>
        <w:t>(1), 78–88. https://doi.org/10.1504/IJSD.2014.058434</w:t>
      </w:r>
    </w:p>
    <w:p w14:paraId="68F216A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Lazarevic, D., Aoustin, E., Buclet, N., &amp; Brandt, N. (2010). Plastic waste management in the context of </w:t>
      </w:r>
      <w:r w:rsidRPr="00E10B6E">
        <w:rPr>
          <w:rFonts w:ascii="Calibri" w:hAnsi="Calibri" w:cs="Calibri"/>
          <w:noProof/>
          <w:szCs w:val="24"/>
        </w:rPr>
        <w:lastRenderedPageBreak/>
        <w:t xml:space="preserve">a European recycling society: Comparing results and uncertainties in a life cycle perspective. </w:t>
      </w:r>
      <w:r w:rsidRPr="00E10B6E">
        <w:rPr>
          <w:rFonts w:ascii="Calibri" w:hAnsi="Calibri" w:cs="Calibri"/>
          <w:i/>
          <w:iCs/>
          <w:noProof/>
          <w:szCs w:val="24"/>
        </w:rPr>
        <w:t>Resources, Conservation and Recycling</w:t>
      </w:r>
      <w:r w:rsidRPr="00E10B6E">
        <w:rPr>
          <w:rFonts w:ascii="Calibri" w:hAnsi="Calibri" w:cs="Calibri"/>
          <w:noProof/>
          <w:szCs w:val="24"/>
        </w:rPr>
        <w:t xml:space="preserve">, </w:t>
      </w:r>
      <w:r w:rsidRPr="00E10B6E">
        <w:rPr>
          <w:rFonts w:ascii="Calibri" w:hAnsi="Calibri" w:cs="Calibri"/>
          <w:i/>
          <w:iCs/>
          <w:noProof/>
          <w:szCs w:val="24"/>
        </w:rPr>
        <w:t>55</w:t>
      </w:r>
      <w:r w:rsidRPr="00E10B6E">
        <w:rPr>
          <w:rFonts w:ascii="Calibri" w:hAnsi="Calibri" w:cs="Calibri"/>
          <w:noProof/>
          <w:szCs w:val="24"/>
        </w:rPr>
        <w:t>(2), 246–259. https://doi.org/10.1016/j.resconrec.2010.09.014</w:t>
      </w:r>
    </w:p>
    <w:p w14:paraId="2A5B08E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LDPE Bags. (2020). </w:t>
      </w:r>
      <w:r w:rsidRPr="00E10B6E">
        <w:rPr>
          <w:rFonts w:ascii="Calibri" w:hAnsi="Calibri" w:cs="Calibri"/>
          <w:i/>
          <w:iCs/>
          <w:noProof/>
          <w:szCs w:val="24"/>
        </w:rPr>
        <w:t>LDPE Bag - USFDA approved Bag</w:t>
      </w:r>
      <w:r w:rsidRPr="00E10B6E">
        <w:rPr>
          <w:rFonts w:ascii="Calibri" w:hAnsi="Calibri" w:cs="Calibri"/>
          <w:noProof/>
          <w:szCs w:val="24"/>
        </w:rPr>
        <w:t>. https://www.ldpebag.com/ldpe-bags</w:t>
      </w:r>
    </w:p>
    <w:p w14:paraId="0170C39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Lebreton, L., Slat, B., Ferrari, F., Sainte-Rose, B., Aitken, J., Marthouse, R., Hajbane, S., Cunsolo, S., Schwarz, A., Levivier, A., Noble, K., Debeljak, P., Maral, H., Schoeneich-Argent, R., Brambini, R., &amp; Reisser, J. (2018). Evidence that the Great Pacific Garbage Patch is rapidly accumulating plastic. </w:t>
      </w:r>
      <w:r w:rsidRPr="00E10B6E">
        <w:rPr>
          <w:rFonts w:ascii="Calibri" w:hAnsi="Calibri" w:cs="Calibri"/>
          <w:i/>
          <w:iCs/>
          <w:noProof/>
          <w:szCs w:val="24"/>
        </w:rPr>
        <w:t>Scientific Reports</w:t>
      </w:r>
      <w:r w:rsidRPr="00E10B6E">
        <w:rPr>
          <w:rFonts w:ascii="Calibri" w:hAnsi="Calibri" w:cs="Calibri"/>
          <w:noProof/>
          <w:szCs w:val="24"/>
        </w:rPr>
        <w:t xml:space="preserve">, </w:t>
      </w:r>
      <w:r w:rsidRPr="00E10B6E">
        <w:rPr>
          <w:rFonts w:ascii="Calibri" w:hAnsi="Calibri" w:cs="Calibri"/>
          <w:i/>
          <w:iCs/>
          <w:noProof/>
          <w:szCs w:val="24"/>
        </w:rPr>
        <w:t>8</w:t>
      </w:r>
      <w:r w:rsidRPr="00E10B6E">
        <w:rPr>
          <w:rFonts w:ascii="Calibri" w:hAnsi="Calibri" w:cs="Calibri"/>
          <w:noProof/>
          <w:szCs w:val="24"/>
        </w:rPr>
        <w:t>(1), 1–15. https://doi.org/10.1038/s41598-018-22939-w</w:t>
      </w:r>
    </w:p>
    <w:p w14:paraId="5E0CF4A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Ligthart, T., Vroonhof, J., &amp; van Horssen, A. (2019). </w:t>
      </w:r>
      <w:r w:rsidRPr="00E10B6E">
        <w:rPr>
          <w:rFonts w:ascii="Calibri" w:hAnsi="Calibri" w:cs="Calibri"/>
          <w:i/>
          <w:iCs/>
          <w:noProof/>
          <w:szCs w:val="24"/>
        </w:rPr>
        <w:t>CO2-kentallen voor afvalstromen</w:t>
      </w:r>
      <w:r w:rsidRPr="00E10B6E">
        <w:rPr>
          <w:rFonts w:ascii="Calibri" w:hAnsi="Calibri" w:cs="Calibri"/>
          <w:noProof/>
          <w:szCs w:val="24"/>
        </w:rPr>
        <w:t>.</w:t>
      </w:r>
    </w:p>
    <w:p w14:paraId="3212F20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Machado, P. G., Walter, A., &amp; Cunha, M. (2016). Bio-based propylene production in a sugarcane biorefinery: A techno-economic evaluation for Brazilian conditions. </w:t>
      </w:r>
      <w:r w:rsidRPr="00E10B6E">
        <w:rPr>
          <w:rFonts w:ascii="Calibri" w:hAnsi="Calibri" w:cs="Calibri"/>
          <w:i/>
          <w:iCs/>
          <w:noProof/>
          <w:szCs w:val="24"/>
        </w:rPr>
        <w:t>Biofuels, Bioproducts and Biorefining</w:t>
      </w:r>
      <w:r w:rsidRPr="00E10B6E">
        <w:rPr>
          <w:rFonts w:ascii="Calibri" w:hAnsi="Calibri" w:cs="Calibri"/>
          <w:noProof/>
          <w:szCs w:val="24"/>
        </w:rPr>
        <w:t xml:space="preserve">, </w:t>
      </w:r>
      <w:r w:rsidRPr="00E10B6E">
        <w:rPr>
          <w:rFonts w:ascii="Calibri" w:hAnsi="Calibri" w:cs="Calibri"/>
          <w:i/>
          <w:iCs/>
          <w:noProof/>
          <w:szCs w:val="24"/>
        </w:rPr>
        <w:t>10</w:t>
      </w:r>
      <w:r w:rsidRPr="00E10B6E">
        <w:rPr>
          <w:rFonts w:ascii="Calibri" w:hAnsi="Calibri" w:cs="Calibri"/>
          <w:noProof/>
          <w:szCs w:val="24"/>
        </w:rPr>
        <w:t>(5), 623–633. https://doi.org/10.1002/bbb.1674</w:t>
      </w:r>
    </w:p>
    <w:p w14:paraId="1BDCCF4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Martin, H. (2007). Polymers, Patents, Profits: A Classic Case Study for Patent Infighting. In </w:t>
      </w:r>
      <w:r w:rsidRPr="00E10B6E">
        <w:rPr>
          <w:rFonts w:ascii="Calibri" w:hAnsi="Calibri" w:cs="Calibri"/>
          <w:i/>
          <w:iCs/>
          <w:noProof/>
          <w:szCs w:val="24"/>
        </w:rPr>
        <w:t>Polymers, Patents, Profits: A Classic Case Study for Patent Infighting</w:t>
      </w:r>
      <w:r w:rsidRPr="00E10B6E">
        <w:rPr>
          <w:rFonts w:ascii="Calibri" w:hAnsi="Calibri" w:cs="Calibri"/>
          <w:noProof/>
          <w:szCs w:val="24"/>
        </w:rPr>
        <w:t>. Wiley-VCH. https://doi.org/10.1002/9783527610402</w:t>
      </w:r>
    </w:p>
    <w:p w14:paraId="0109195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Mascarenhas, J. dos S., Chowdhury, H., Thirugnanasambandam, M., Chowdhury, T., &amp; Saidur, R. (2019). Energy, exergy, sustainability, and emission analysis of industrial air compressors. </w:t>
      </w:r>
      <w:r w:rsidRPr="00E10B6E">
        <w:rPr>
          <w:rFonts w:ascii="Calibri" w:hAnsi="Calibri" w:cs="Calibri"/>
          <w:i/>
          <w:iCs/>
          <w:noProof/>
          <w:szCs w:val="24"/>
        </w:rPr>
        <w:t>Journal of Cleaner Production</w:t>
      </w:r>
      <w:r w:rsidRPr="00E10B6E">
        <w:rPr>
          <w:rFonts w:ascii="Calibri" w:hAnsi="Calibri" w:cs="Calibri"/>
          <w:noProof/>
          <w:szCs w:val="24"/>
        </w:rPr>
        <w:t xml:space="preserve">, </w:t>
      </w:r>
      <w:r w:rsidRPr="00E10B6E">
        <w:rPr>
          <w:rFonts w:ascii="Calibri" w:hAnsi="Calibri" w:cs="Calibri"/>
          <w:i/>
          <w:iCs/>
          <w:noProof/>
          <w:szCs w:val="24"/>
        </w:rPr>
        <w:t>231</w:t>
      </w:r>
      <w:r w:rsidRPr="00E10B6E">
        <w:rPr>
          <w:rFonts w:ascii="Calibri" w:hAnsi="Calibri" w:cs="Calibri"/>
          <w:noProof/>
          <w:szCs w:val="24"/>
        </w:rPr>
        <w:t>, 183–195. https://doi.org/10.1016/j.jclepro.2019.05.158</w:t>
      </w:r>
    </w:p>
    <w:p w14:paraId="551CB3D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Mastral, F. J., Esperanza, E., Garciía, P., &amp; Juste, M. (2002). Pyrolysis of high-density polyethylene in a fluidised bed reactor. Influence of the temperature and residence time. </w:t>
      </w:r>
      <w:r w:rsidRPr="00E10B6E">
        <w:rPr>
          <w:rFonts w:ascii="Calibri" w:hAnsi="Calibri" w:cs="Calibri"/>
          <w:i/>
          <w:iCs/>
          <w:noProof/>
          <w:szCs w:val="24"/>
        </w:rPr>
        <w:t>Journal of Analytical and Applied Pyrolysis</w:t>
      </w:r>
      <w:r w:rsidRPr="00E10B6E">
        <w:rPr>
          <w:rFonts w:ascii="Calibri" w:hAnsi="Calibri" w:cs="Calibri"/>
          <w:noProof/>
          <w:szCs w:val="24"/>
        </w:rPr>
        <w:t xml:space="preserve">, </w:t>
      </w:r>
      <w:r w:rsidRPr="00E10B6E">
        <w:rPr>
          <w:rFonts w:ascii="Calibri" w:hAnsi="Calibri" w:cs="Calibri"/>
          <w:i/>
          <w:iCs/>
          <w:noProof/>
          <w:szCs w:val="24"/>
        </w:rPr>
        <w:t>63</w:t>
      </w:r>
      <w:r w:rsidRPr="00E10B6E">
        <w:rPr>
          <w:rFonts w:ascii="Calibri" w:hAnsi="Calibri" w:cs="Calibri"/>
          <w:noProof/>
          <w:szCs w:val="24"/>
        </w:rPr>
        <w:t>(1), 1–15. https://doi.org/10.1016/S0165-2370(01)00137-1</w:t>
      </w:r>
    </w:p>
    <w:p w14:paraId="492CAF5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McDermott. (2020). </w:t>
      </w:r>
      <w:r w:rsidRPr="00E10B6E">
        <w:rPr>
          <w:rFonts w:ascii="Calibri" w:hAnsi="Calibri" w:cs="Calibri"/>
          <w:i/>
          <w:iCs/>
          <w:noProof/>
          <w:szCs w:val="24"/>
        </w:rPr>
        <w:t>Petrochemical Technologies - CB&amp;I - MDR</w:t>
      </w:r>
      <w:r w:rsidRPr="00E10B6E">
        <w:rPr>
          <w:rFonts w:ascii="Calibri" w:hAnsi="Calibri" w:cs="Calibri"/>
          <w:noProof/>
          <w:szCs w:val="24"/>
        </w:rPr>
        <w:t>. https://www.mcdermott.com/What-We-Do/Technology/Lummus/Petrochemicals/Olefins/Polypropylene-Production/Novolen-Gas-Phase-Process</w:t>
      </w:r>
    </w:p>
    <w:p w14:paraId="524EF57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McKechnie, J., Pourbafrani2, M., Saville, B., &amp; MacLean, H. (2015). Environmental and financial implications of ethanol as a bioethylene feedstock versus as a transportation fuel - IOPscience. </w:t>
      </w:r>
      <w:r w:rsidRPr="00E10B6E">
        <w:rPr>
          <w:rFonts w:ascii="Calibri" w:hAnsi="Calibri" w:cs="Calibri"/>
          <w:i/>
          <w:iCs/>
          <w:noProof/>
          <w:szCs w:val="24"/>
        </w:rPr>
        <w:t>Environmental Research Letters</w:t>
      </w:r>
      <w:r w:rsidRPr="00E10B6E">
        <w:rPr>
          <w:rFonts w:ascii="Calibri" w:hAnsi="Calibri" w:cs="Calibri"/>
          <w:noProof/>
          <w:szCs w:val="24"/>
        </w:rPr>
        <w:t xml:space="preserve">, </w:t>
      </w:r>
      <w:r w:rsidRPr="00E10B6E">
        <w:rPr>
          <w:rFonts w:ascii="Calibri" w:hAnsi="Calibri" w:cs="Calibri"/>
          <w:i/>
          <w:iCs/>
          <w:noProof/>
          <w:szCs w:val="24"/>
        </w:rPr>
        <w:t>10</w:t>
      </w:r>
      <w:r w:rsidRPr="00E10B6E">
        <w:rPr>
          <w:rFonts w:ascii="Calibri" w:hAnsi="Calibri" w:cs="Calibri"/>
          <w:noProof/>
          <w:szCs w:val="24"/>
        </w:rPr>
        <w:t>(12). https://iopscience.iop.org/article/10.1088/1748-9326/10/12/124018</w:t>
      </w:r>
    </w:p>
    <w:p w14:paraId="3A2CC3A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McKinsey&amp;Company. (2018). </w:t>
      </w:r>
      <w:r w:rsidRPr="00E10B6E">
        <w:rPr>
          <w:rFonts w:ascii="Calibri" w:hAnsi="Calibri" w:cs="Calibri"/>
          <w:i/>
          <w:iCs/>
          <w:noProof/>
          <w:szCs w:val="24"/>
        </w:rPr>
        <w:t>Decarbonization of industrial sectors: the next frontiers</w:t>
      </w:r>
      <w:r w:rsidRPr="00E10B6E">
        <w:rPr>
          <w:rFonts w:ascii="Calibri" w:hAnsi="Calibri" w:cs="Calibri"/>
          <w:noProof/>
          <w:szCs w:val="24"/>
        </w:rPr>
        <w:t>.</w:t>
      </w:r>
    </w:p>
    <w:p w14:paraId="625AD88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Meadows, D. H., Meadows, D. L., Randers, J., &amp; Behrens, W. W. (1972). The limits to growth. In </w:t>
      </w:r>
      <w:r w:rsidRPr="00E10B6E">
        <w:rPr>
          <w:rFonts w:ascii="Calibri" w:hAnsi="Calibri" w:cs="Calibri"/>
          <w:i/>
          <w:iCs/>
          <w:noProof/>
          <w:szCs w:val="24"/>
        </w:rPr>
        <w:t>The limits of growth</w:t>
      </w:r>
      <w:r w:rsidRPr="00E10B6E">
        <w:rPr>
          <w:rFonts w:ascii="Calibri" w:hAnsi="Calibri" w:cs="Calibri"/>
          <w:noProof/>
          <w:szCs w:val="24"/>
        </w:rPr>
        <w:t>. Universe Books.</w:t>
      </w:r>
    </w:p>
    <w:p w14:paraId="52326EDD"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MIT-Edu. (2020). </w:t>
      </w:r>
      <w:r w:rsidRPr="00E10B6E">
        <w:rPr>
          <w:rFonts w:ascii="Calibri" w:hAnsi="Calibri" w:cs="Calibri"/>
          <w:i/>
          <w:iCs/>
          <w:noProof/>
          <w:szCs w:val="24"/>
        </w:rPr>
        <w:t>Design Issues on Living Hinges</w:t>
      </w:r>
      <w:r w:rsidRPr="00E10B6E">
        <w:rPr>
          <w:rFonts w:ascii="Calibri" w:hAnsi="Calibri" w:cs="Calibri"/>
          <w:noProof/>
          <w:szCs w:val="24"/>
        </w:rPr>
        <w:t>.</w:t>
      </w:r>
    </w:p>
    <w:p w14:paraId="73D405B9" w14:textId="77777777" w:rsidR="007A2905" w:rsidRPr="00983F73" w:rsidRDefault="007A2905" w:rsidP="007A2905">
      <w:pPr>
        <w:widowControl w:val="0"/>
        <w:autoSpaceDE w:val="0"/>
        <w:autoSpaceDN w:val="0"/>
        <w:adjustRightInd w:val="0"/>
        <w:spacing w:line="240" w:lineRule="auto"/>
        <w:ind w:left="480" w:hanging="480"/>
        <w:rPr>
          <w:rFonts w:ascii="Calibri" w:hAnsi="Calibri" w:cs="Calibri"/>
          <w:noProof/>
          <w:szCs w:val="24"/>
          <w:lang w:val="it-IT"/>
        </w:rPr>
      </w:pPr>
      <w:r w:rsidRPr="00E10B6E">
        <w:rPr>
          <w:rFonts w:ascii="Calibri" w:hAnsi="Calibri" w:cs="Calibri"/>
          <w:noProof/>
          <w:szCs w:val="24"/>
        </w:rPr>
        <w:t xml:space="preserve">Moghadam, R. A., Yusup, S., Uemura, Y., Chin, B. L. F., Lam, H. L., &amp; Al Shoaibi, A. (2014). Syngas production from palm kernel shell and polyethylene waste blend in fluidized bed catalytic steam co-gasification process. </w:t>
      </w:r>
      <w:r w:rsidRPr="00983F73">
        <w:rPr>
          <w:rFonts w:ascii="Calibri" w:hAnsi="Calibri" w:cs="Calibri"/>
          <w:i/>
          <w:iCs/>
          <w:noProof/>
          <w:szCs w:val="24"/>
          <w:lang w:val="it-IT"/>
        </w:rPr>
        <w:t>Energy</w:t>
      </w:r>
      <w:r w:rsidRPr="00983F73">
        <w:rPr>
          <w:rFonts w:ascii="Calibri" w:hAnsi="Calibri" w:cs="Calibri"/>
          <w:noProof/>
          <w:szCs w:val="24"/>
          <w:lang w:val="it-IT"/>
        </w:rPr>
        <w:t xml:space="preserve">, </w:t>
      </w:r>
      <w:r w:rsidRPr="00983F73">
        <w:rPr>
          <w:rFonts w:ascii="Calibri" w:hAnsi="Calibri" w:cs="Calibri"/>
          <w:i/>
          <w:iCs/>
          <w:noProof/>
          <w:szCs w:val="24"/>
          <w:lang w:val="it-IT"/>
        </w:rPr>
        <w:t>75</w:t>
      </w:r>
      <w:r w:rsidRPr="00983F73">
        <w:rPr>
          <w:rFonts w:ascii="Calibri" w:hAnsi="Calibri" w:cs="Calibri"/>
          <w:noProof/>
          <w:szCs w:val="24"/>
          <w:lang w:val="it-IT"/>
        </w:rPr>
        <w:t>, 40–44. https://doi.org/10.1016/j.energy.2014.04.062</w:t>
      </w:r>
    </w:p>
    <w:p w14:paraId="27EC8A9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Mohsenzadeh, A., Zamani, A., &amp; Taherzadeh, M. J. (2017). </w:t>
      </w:r>
      <w:r w:rsidRPr="00E10B6E">
        <w:rPr>
          <w:rFonts w:ascii="Calibri" w:hAnsi="Calibri" w:cs="Calibri"/>
          <w:noProof/>
          <w:szCs w:val="24"/>
        </w:rPr>
        <w:t xml:space="preserve">Bioethylene Production from Ethanol: A Review and Techno-economical Evaluation. </w:t>
      </w:r>
      <w:r w:rsidRPr="00E10B6E">
        <w:rPr>
          <w:rFonts w:ascii="Calibri" w:hAnsi="Calibri" w:cs="Calibri"/>
          <w:i/>
          <w:iCs/>
          <w:noProof/>
          <w:szCs w:val="24"/>
        </w:rPr>
        <w:t>ChemBioEng Reviews</w:t>
      </w:r>
      <w:r w:rsidRPr="00E10B6E">
        <w:rPr>
          <w:rFonts w:ascii="Calibri" w:hAnsi="Calibri" w:cs="Calibri"/>
          <w:noProof/>
          <w:szCs w:val="24"/>
        </w:rPr>
        <w:t xml:space="preserve">, </w:t>
      </w:r>
      <w:r w:rsidRPr="00E10B6E">
        <w:rPr>
          <w:rFonts w:ascii="Calibri" w:hAnsi="Calibri" w:cs="Calibri"/>
          <w:i/>
          <w:iCs/>
          <w:noProof/>
          <w:szCs w:val="24"/>
        </w:rPr>
        <w:t>4</w:t>
      </w:r>
      <w:r w:rsidRPr="00E10B6E">
        <w:rPr>
          <w:rFonts w:ascii="Calibri" w:hAnsi="Calibri" w:cs="Calibri"/>
          <w:noProof/>
          <w:szCs w:val="24"/>
        </w:rPr>
        <w:t>(2), 75–91. https://doi.org/10.1002/cben.201600025</w:t>
      </w:r>
    </w:p>
    <w:p w14:paraId="388C6FA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Mulch Film. (2020). </w:t>
      </w:r>
      <w:r w:rsidRPr="00E10B6E">
        <w:rPr>
          <w:rFonts w:ascii="Calibri" w:hAnsi="Calibri" w:cs="Calibri"/>
          <w:i/>
          <w:iCs/>
          <w:noProof/>
          <w:szCs w:val="24"/>
        </w:rPr>
        <w:t>LLDPE Silver/Black Mulch</w:t>
      </w:r>
      <w:r w:rsidRPr="00E10B6E">
        <w:rPr>
          <w:rFonts w:ascii="Calibri" w:hAnsi="Calibri" w:cs="Calibri"/>
          <w:noProof/>
          <w:szCs w:val="24"/>
        </w:rPr>
        <w:t>. http://www.mulchfilm.net/lldpe-silver-black-mulch.html</w:t>
      </w:r>
    </w:p>
    <w:p w14:paraId="7EA371F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Muñoz, I., Flury, K., Jungbluth, N., Rigarlsford, G., Canals, L. M., &amp; King, H. (2014). Life cycle assessment of bio-based ethanol produced from different agricultural feedstocks. </w:t>
      </w:r>
      <w:r w:rsidRPr="00E10B6E">
        <w:rPr>
          <w:rFonts w:ascii="Calibri" w:hAnsi="Calibri" w:cs="Calibri"/>
          <w:i/>
          <w:iCs/>
          <w:noProof/>
          <w:szCs w:val="24"/>
        </w:rPr>
        <w:t xml:space="preserve">International </w:t>
      </w:r>
      <w:r w:rsidRPr="00E10B6E">
        <w:rPr>
          <w:rFonts w:ascii="Calibri" w:hAnsi="Calibri" w:cs="Calibri"/>
          <w:i/>
          <w:iCs/>
          <w:noProof/>
          <w:szCs w:val="24"/>
        </w:rPr>
        <w:lastRenderedPageBreak/>
        <w:t>Journal of Life Cycle Assessment</w:t>
      </w:r>
      <w:r w:rsidRPr="00E10B6E">
        <w:rPr>
          <w:rFonts w:ascii="Calibri" w:hAnsi="Calibri" w:cs="Calibri"/>
          <w:noProof/>
          <w:szCs w:val="24"/>
        </w:rPr>
        <w:t xml:space="preserve">, </w:t>
      </w:r>
      <w:r w:rsidRPr="00E10B6E">
        <w:rPr>
          <w:rFonts w:ascii="Calibri" w:hAnsi="Calibri" w:cs="Calibri"/>
          <w:i/>
          <w:iCs/>
          <w:noProof/>
          <w:szCs w:val="24"/>
        </w:rPr>
        <w:t>19</w:t>
      </w:r>
      <w:r w:rsidRPr="00E10B6E">
        <w:rPr>
          <w:rFonts w:ascii="Calibri" w:hAnsi="Calibri" w:cs="Calibri"/>
          <w:noProof/>
          <w:szCs w:val="24"/>
        </w:rPr>
        <w:t>(1), 109–119. https://doi.org/10.1007/s11367-013-0613-1</w:t>
      </w:r>
    </w:p>
    <w:p w14:paraId="5F5801F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NASA. (2020). </w:t>
      </w:r>
      <w:r w:rsidRPr="00E10B6E">
        <w:rPr>
          <w:rFonts w:ascii="Calibri" w:hAnsi="Calibri" w:cs="Calibri"/>
          <w:i/>
          <w:iCs/>
          <w:noProof/>
          <w:szCs w:val="24"/>
        </w:rPr>
        <w:t>Effects | Facts – Climate Change: Vital Signs of the Planet</w:t>
      </w:r>
      <w:r w:rsidRPr="00E10B6E">
        <w:rPr>
          <w:rFonts w:ascii="Calibri" w:hAnsi="Calibri" w:cs="Calibri"/>
          <w:noProof/>
          <w:szCs w:val="24"/>
        </w:rPr>
        <w:t>. https://climate.nasa.gov/effects/</w:t>
      </w:r>
    </w:p>
    <w:p w14:paraId="4E4F8C7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Neelis, M., Patel, M., Blok, K., Haije, W., &amp; Bach, P. (2007). Approximation of theoretical energy-saving potentials for the petrochemical industry using energy balances for 68 key processes. </w:t>
      </w:r>
      <w:r w:rsidRPr="00E10B6E">
        <w:rPr>
          <w:rFonts w:ascii="Calibri" w:hAnsi="Calibri" w:cs="Calibri"/>
          <w:i/>
          <w:iCs/>
          <w:noProof/>
          <w:szCs w:val="24"/>
        </w:rPr>
        <w:t>Energy</w:t>
      </w:r>
      <w:r w:rsidRPr="00E10B6E">
        <w:rPr>
          <w:rFonts w:ascii="Calibri" w:hAnsi="Calibri" w:cs="Calibri"/>
          <w:noProof/>
          <w:szCs w:val="24"/>
        </w:rPr>
        <w:t xml:space="preserve">, </w:t>
      </w:r>
      <w:r w:rsidRPr="00E10B6E">
        <w:rPr>
          <w:rFonts w:ascii="Calibri" w:hAnsi="Calibri" w:cs="Calibri"/>
          <w:i/>
          <w:iCs/>
          <w:noProof/>
          <w:szCs w:val="24"/>
        </w:rPr>
        <w:t>32</w:t>
      </w:r>
      <w:r w:rsidRPr="00E10B6E">
        <w:rPr>
          <w:rFonts w:ascii="Calibri" w:hAnsi="Calibri" w:cs="Calibri"/>
          <w:noProof/>
          <w:szCs w:val="24"/>
        </w:rPr>
        <w:t>(7), 1104–1123. https://doi.org/10.1016/j.energy.2006.08.005</w:t>
      </w:r>
    </w:p>
    <w:p w14:paraId="5CCB714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Neste. (2020). </w:t>
      </w:r>
      <w:r w:rsidRPr="00E10B6E">
        <w:rPr>
          <w:rFonts w:ascii="Calibri" w:hAnsi="Calibri" w:cs="Calibri"/>
          <w:i/>
          <w:iCs/>
          <w:noProof/>
          <w:szCs w:val="24"/>
        </w:rPr>
        <w:t>Future raw materials | Neste</w:t>
      </w:r>
      <w:r w:rsidRPr="00E10B6E">
        <w:rPr>
          <w:rFonts w:ascii="Calibri" w:hAnsi="Calibri" w:cs="Calibri"/>
          <w:noProof/>
          <w:szCs w:val="24"/>
        </w:rPr>
        <w:t>. https://www.neste.com/companies/products/raw-materials/future-raw-materials</w:t>
      </w:r>
    </w:p>
    <w:p w14:paraId="03C5099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Nouri, S., &amp; Tillman, A.-M. (2005). </w:t>
      </w:r>
      <w:r w:rsidRPr="00E10B6E">
        <w:rPr>
          <w:rFonts w:ascii="Calibri" w:hAnsi="Calibri" w:cs="Calibri"/>
          <w:i/>
          <w:iCs/>
          <w:noProof/>
          <w:szCs w:val="24"/>
        </w:rPr>
        <w:t>Evaluating synthesis gas based biomass to plastics (BTP) technologies</w:t>
      </w:r>
      <w:r w:rsidRPr="00E10B6E">
        <w:rPr>
          <w:rFonts w:ascii="Calibri" w:hAnsi="Calibri" w:cs="Calibri"/>
          <w:noProof/>
          <w:szCs w:val="24"/>
        </w:rPr>
        <w:t>. http://www.cpm.chalmers.se</w:t>
      </w:r>
    </w:p>
    <w:p w14:paraId="390E593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Oliveira, C. C. N., Rochedo, P. R. R., Bhardwaj, R., Worrell, E., &amp; Szklo, A. (2020). Bio‐ethylene from sugarcane as a competitiveness strategy for the Brazilian chemical industry. </w:t>
      </w:r>
      <w:r w:rsidRPr="00E10B6E">
        <w:rPr>
          <w:rFonts w:ascii="Calibri" w:hAnsi="Calibri" w:cs="Calibri"/>
          <w:i/>
          <w:iCs/>
          <w:noProof/>
          <w:szCs w:val="24"/>
        </w:rPr>
        <w:t>Biofuels, Bioproducts and Biorefining</w:t>
      </w:r>
      <w:r w:rsidRPr="00E10B6E">
        <w:rPr>
          <w:rFonts w:ascii="Calibri" w:hAnsi="Calibri" w:cs="Calibri"/>
          <w:noProof/>
          <w:szCs w:val="24"/>
        </w:rPr>
        <w:t xml:space="preserve">, </w:t>
      </w:r>
      <w:r w:rsidRPr="00E10B6E">
        <w:rPr>
          <w:rFonts w:ascii="Calibri" w:hAnsi="Calibri" w:cs="Calibri"/>
          <w:i/>
          <w:iCs/>
          <w:noProof/>
          <w:szCs w:val="24"/>
        </w:rPr>
        <w:t>14</w:t>
      </w:r>
      <w:r w:rsidRPr="00E10B6E">
        <w:rPr>
          <w:rFonts w:ascii="Calibri" w:hAnsi="Calibri" w:cs="Calibri"/>
          <w:noProof/>
          <w:szCs w:val="24"/>
        </w:rPr>
        <w:t>(2), 286–300. https://doi.org/10.1002/bbb.2069</w:t>
      </w:r>
    </w:p>
    <w:p w14:paraId="7681B85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Omnexus. (2020a). </w:t>
      </w:r>
      <w:r w:rsidRPr="00E10B6E">
        <w:rPr>
          <w:rFonts w:ascii="Calibri" w:hAnsi="Calibri" w:cs="Calibri"/>
          <w:i/>
          <w:iCs/>
          <w:noProof/>
          <w:szCs w:val="24"/>
        </w:rPr>
        <w:t>Polyethylene (PE) Plastic: Properties, Uses &amp; Application</w:t>
      </w:r>
      <w:r w:rsidRPr="00E10B6E">
        <w:rPr>
          <w:rFonts w:ascii="Calibri" w:hAnsi="Calibri" w:cs="Calibri"/>
          <w:noProof/>
          <w:szCs w:val="24"/>
        </w:rPr>
        <w:t>. https://omnexus.specialchem.com/selection-guide/polyethylene-plastic</w:t>
      </w:r>
    </w:p>
    <w:p w14:paraId="698A039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Omnexus. (2020b). </w:t>
      </w:r>
      <w:r w:rsidRPr="00E10B6E">
        <w:rPr>
          <w:rFonts w:ascii="Calibri" w:hAnsi="Calibri" w:cs="Calibri"/>
          <w:i/>
          <w:iCs/>
          <w:noProof/>
          <w:szCs w:val="24"/>
        </w:rPr>
        <w:t>Polymer Properties &amp; Chemical Resistance of Plastics</w:t>
      </w:r>
      <w:r w:rsidRPr="00E10B6E">
        <w:rPr>
          <w:rFonts w:ascii="Calibri" w:hAnsi="Calibri" w:cs="Calibri"/>
          <w:noProof/>
          <w:szCs w:val="24"/>
        </w:rPr>
        <w:t>. https://omnexus.specialchem.com/polymer-properties</w:t>
      </w:r>
    </w:p>
    <w:p w14:paraId="6EB8F9B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Omnexus. (2020c). </w:t>
      </w:r>
      <w:r w:rsidRPr="00E10B6E">
        <w:rPr>
          <w:rFonts w:ascii="Calibri" w:hAnsi="Calibri" w:cs="Calibri"/>
          <w:i/>
          <w:iCs/>
          <w:noProof/>
          <w:szCs w:val="24"/>
        </w:rPr>
        <w:t>Polypropylene (PP) Plastic: Types, Properties, Uses &amp; Structure Info</w:t>
      </w:r>
      <w:r w:rsidRPr="00E10B6E">
        <w:rPr>
          <w:rFonts w:ascii="Calibri" w:hAnsi="Calibri" w:cs="Calibri"/>
          <w:noProof/>
          <w:szCs w:val="24"/>
        </w:rPr>
        <w:t>. https://omnexus.specialchem.com/selection-guide/polypropylene-pp-plastic#uses</w:t>
      </w:r>
    </w:p>
    <w:p w14:paraId="494FF7D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Pappa, G., Boukouvalas, C., Giannaris, C., Ntaras, N., Zografos, V., Magoulas, K., Lygeros, A., &amp; Tassios, D. (2001). The selective dissolution/precipitation technique for polymer recycling: A pilot unit application. </w:t>
      </w:r>
      <w:r w:rsidRPr="00E10B6E">
        <w:rPr>
          <w:rFonts w:ascii="Calibri" w:hAnsi="Calibri" w:cs="Calibri"/>
          <w:i/>
          <w:iCs/>
          <w:noProof/>
          <w:szCs w:val="24"/>
        </w:rPr>
        <w:t>Resources, Conservation and Recycling</w:t>
      </w:r>
      <w:r w:rsidRPr="00E10B6E">
        <w:rPr>
          <w:rFonts w:ascii="Calibri" w:hAnsi="Calibri" w:cs="Calibri"/>
          <w:noProof/>
          <w:szCs w:val="24"/>
        </w:rPr>
        <w:t xml:space="preserve">, </w:t>
      </w:r>
      <w:r w:rsidRPr="00E10B6E">
        <w:rPr>
          <w:rFonts w:ascii="Calibri" w:hAnsi="Calibri" w:cs="Calibri"/>
          <w:i/>
          <w:iCs/>
          <w:noProof/>
          <w:szCs w:val="24"/>
        </w:rPr>
        <w:t>34</w:t>
      </w:r>
      <w:r w:rsidRPr="00E10B6E">
        <w:rPr>
          <w:rFonts w:ascii="Calibri" w:hAnsi="Calibri" w:cs="Calibri"/>
          <w:noProof/>
          <w:szCs w:val="24"/>
        </w:rPr>
        <w:t>(1), 33–44. https://doi.org/10.1016/S0921-3449(01)00092-1</w:t>
      </w:r>
    </w:p>
    <w:p w14:paraId="1BE37C0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PBL. (2020). </w:t>
      </w:r>
      <w:r w:rsidRPr="00E10B6E">
        <w:rPr>
          <w:rFonts w:ascii="Calibri" w:hAnsi="Calibri" w:cs="Calibri"/>
          <w:i/>
          <w:iCs/>
          <w:noProof/>
          <w:szCs w:val="24"/>
        </w:rPr>
        <w:t>MIDDEN: Manufacturing Industry Decarbonisation Data Exchange Network Project summary | PBL Netherlands Environmental Assessment Agency</w:t>
      </w:r>
      <w:r w:rsidRPr="00E10B6E">
        <w:rPr>
          <w:rFonts w:ascii="Calibri" w:hAnsi="Calibri" w:cs="Calibri"/>
          <w:noProof/>
          <w:szCs w:val="24"/>
        </w:rPr>
        <w:t>. https://www.pbl.nl/en/middenweb/project-summary</w:t>
      </w:r>
    </w:p>
    <w:p w14:paraId="0119BD4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Petrochemicals Europe. (2020). </w:t>
      </w:r>
      <w:r w:rsidRPr="00E10B6E">
        <w:rPr>
          <w:rFonts w:ascii="Calibri" w:hAnsi="Calibri" w:cs="Calibri"/>
          <w:i/>
          <w:iCs/>
          <w:noProof/>
          <w:szCs w:val="24"/>
        </w:rPr>
        <w:t>European Market Overview - Petrochemicals Europe - Petrochemicals Europe</w:t>
      </w:r>
      <w:r w:rsidRPr="00E10B6E">
        <w:rPr>
          <w:rFonts w:ascii="Calibri" w:hAnsi="Calibri" w:cs="Calibri"/>
          <w:noProof/>
          <w:szCs w:val="24"/>
        </w:rPr>
        <w:t>. https://www.petrochemistry.eu/about-petrochemistry/petrochemicals-facts-and-figures/european-market-overview/</w:t>
      </w:r>
    </w:p>
    <w:p w14:paraId="537E66F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Pinto, F., Franco, C., André, R. N., Miranda, M., Gulyurtlu, I., &amp; Cabrita, I. (2002). </w:t>
      </w:r>
      <w:r w:rsidRPr="00E10B6E">
        <w:rPr>
          <w:rFonts w:ascii="Calibri" w:hAnsi="Calibri" w:cs="Calibri"/>
          <w:noProof/>
          <w:szCs w:val="24"/>
        </w:rPr>
        <w:t xml:space="preserve">Co-gasification study of biomass mixed with plastic wastes. </w:t>
      </w:r>
      <w:r w:rsidRPr="00E10B6E">
        <w:rPr>
          <w:rFonts w:ascii="Calibri" w:hAnsi="Calibri" w:cs="Calibri"/>
          <w:i/>
          <w:iCs/>
          <w:noProof/>
          <w:szCs w:val="24"/>
        </w:rPr>
        <w:t>Fuel</w:t>
      </w:r>
      <w:r w:rsidRPr="00E10B6E">
        <w:rPr>
          <w:rFonts w:ascii="Calibri" w:hAnsi="Calibri" w:cs="Calibri"/>
          <w:noProof/>
          <w:szCs w:val="24"/>
        </w:rPr>
        <w:t xml:space="preserve">, </w:t>
      </w:r>
      <w:r w:rsidRPr="00E10B6E">
        <w:rPr>
          <w:rFonts w:ascii="Calibri" w:hAnsi="Calibri" w:cs="Calibri"/>
          <w:i/>
          <w:iCs/>
          <w:noProof/>
          <w:szCs w:val="24"/>
        </w:rPr>
        <w:t>81</w:t>
      </w:r>
      <w:r w:rsidRPr="00E10B6E">
        <w:rPr>
          <w:rFonts w:ascii="Calibri" w:hAnsi="Calibri" w:cs="Calibri"/>
          <w:noProof/>
          <w:szCs w:val="24"/>
        </w:rPr>
        <w:t>(3), 291–297. https://doi.org/10.1016/S0016-2361(01)00164-8</w:t>
      </w:r>
    </w:p>
    <w:p w14:paraId="3340F15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PlastEurope. (2011). </w:t>
      </w:r>
      <w:r w:rsidRPr="00E10B6E">
        <w:rPr>
          <w:rFonts w:ascii="Calibri" w:hAnsi="Calibri" w:cs="Calibri"/>
          <w:i/>
          <w:iCs/>
          <w:noProof/>
          <w:szCs w:val="24"/>
        </w:rPr>
        <w:t>DOMO: Domo Polypropylene joint venture changes name to Ducor Petrochemicals / Carmel takeover not yet finalised | Plasteurope.com</w:t>
      </w:r>
      <w:r w:rsidRPr="00E10B6E">
        <w:rPr>
          <w:rFonts w:ascii="Calibri" w:hAnsi="Calibri" w:cs="Calibri"/>
          <w:noProof/>
          <w:szCs w:val="24"/>
        </w:rPr>
        <w:t>. https://www.plasteurope.com/news/DOMO_t219770/</w:t>
      </w:r>
    </w:p>
    <w:p w14:paraId="5D77733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PlasticPortal. (2020). </w:t>
      </w:r>
      <w:r w:rsidRPr="00E10B6E">
        <w:rPr>
          <w:rFonts w:ascii="Calibri" w:hAnsi="Calibri" w:cs="Calibri"/>
          <w:i/>
          <w:iCs/>
          <w:noProof/>
          <w:szCs w:val="24"/>
        </w:rPr>
        <w:t>Average Resin Prices</w:t>
      </w:r>
      <w:r w:rsidRPr="00E10B6E">
        <w:rPr>
          <w:rFonts w:ascii="Calibri" w:hAnsi="Calibri" w:cs="Calibri"/>
          <w:noProof/>
          <w:szCs w:val="24"/>
        </w:rPr>
        <w:t>. https://www.plasticportal.eu/en/polymer-prices/lm/14/</w:t>
      </w:r>
    </w:p>
    <w:p w14:paraId="4A8BF24D"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PlasticsEurope. (2012). </w:t>
      </w:r>
      <w:r w:rsidRPr="00E10B6E">
        <w:rPr>
          <w:rFonts w:ascii="Calibri" w:hAnsi="Calibri" w:cs="Calibri"/>
          <w:i/>
          <w:iCs/>
          <w:noProof/>
          <w:szCs w:val="24"/>
        </w:rPr>
        <w:t>Ecoprofiles and Environmental Product Declarations of the European Plastics Manufacturers. Ethylene, Propylene, Butadiene, Pyrolysis Gasoline, Ethylene Oxide (EO), Ethylene Glycols (MEG, DEG, TEG).</w:t>
      </w:r>
    </w:p>
    <w:p w14:paraId="75DB4E5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PlasticsEurope. (2014a). </w:t>
      </w:r>
      <w:r w:rsidRPr="00E10B6E">
        <w:rPr>
          <w:rFonts w:ascii="Calibri" w:hAnsi="Calibri" w:cs="Calibri"/>
          <w:i/>
          <w:iCs/>
          <w:noProof/>
          <w:szCs w:val="24"/>
        </w:rPr>
        <w:t>Ecoprofiles and Environmental Product Declarations of the European Plastics Manufacturers (HDPE, LDPE, LLDPE)</w:t>
      </w:r>
      <w:r w:rsidRPr="00E10B6E">
        <w:rPr>
          <w:rFonts w:ascii="Calibri" w:hAnsi="Calibri" w:cs="Calibri"/>
          <w:noProof/>
          <w:szCs w:val="24"/>
        </w:rPr>
        <w:t>.</w:t>
      </w:r>
    </w:p>
    <w:p w14:paraId="7959155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PlasticsEurope. (2014b). </w:t>
      </w:r>
      <w:r w:rsidRPr="00E10B6E">
        <w:rPr>
          <w:rFonts w:ascii="Calibri" w:hAnsi="Calibri" w:cs="Calibri"/>
          <w:i/>
          <w:iCs/>
          <w:noProof/>
          <w:szCs w:val="24"/>
        </w:rPr>
        <w:t xml:space="preserve">Ecoprofiles and Environmental Product Declarations of the European Plastics </w:t>
      </w:r>
      <w:r w:rsidRPr="00E10B6E">
        <w:rPr>
          <w:rFonts w:ascii="Calibri" w:hAnsi="Calibri" w:cs="Calibri"/>
          <w:i/>
          <w:iCs/>
          <w:noProof/>
          <w:szCs w:val="24"/>
        </w:rPr>
        <w:lastRenderedPageBreak/>
        <w:t>Manufacturers (PP)</w:t>
      </w:r>
      <w:r w:rsidRPr="00E10B6E">
        <w:rPr>
          <w:rFonts w:ascii="Calibri" w:hAnsi="Calibri" w:cs="Calibri"/>
          <w:noProof/>
          <w:szCs w:val="24"/>
        </w:rPr>
        <w:t>.</w:t>
      </w:r>
    </w:p>
    <w:p w14:paraId="69941A7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PlasticsEurope. (2019). </w:t>
      </w:r>
      <w:r w:rsidRPr="00E10B6E">
        <w:rPr>
          <w:rFonts w:ascii="Calibri" w:hAnsi="Calibri" w:cs="Calibri"/>
          <w:i/>
          <w:iCs/>
          <w:noProof/>
          <w:szCs w:val="24"/>
        </w:rPr>
        <w:t>Plastics-the Facts 2019 An analysis of European plastics production, demand and waste data</w:t>
      </w:r>
      <w:r w:rsidRPr="00E10B6E">
        <w:rPr>
          <w:rFonts w:ascii="Calibri" w:hAnsi="Calibri" w:cs="Calibri"/>
          <w:noProof/>
          <w:szCs w:val="24"/>
        </w:rPr>
        <w:t>.</w:t>
      </w:r>
    </w:p>
    <w:p w14:paraId="71C9520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PlasticsEurope. (2020a). </w:t>
      </w:r>
      <w:r w:rsidRPr="00E10B6E">
        <w:rPr>
          <w:rFonts w:ascii="Calibri" w:hAnsi="Calibri" w:cs="Calibri"/>
          <w:i/>
          <w:iCs/>
          <w:noProof/>
          <w:szCs w:val="24"/>
        </w:rPr>
        <w:t>What are plastics</w:t>
      </w:r>
      <w:r w:rsidRPr="00E10B6E">
        <w:rPr>
          <w:rFonts w:ascii="Calibri" w:hAnsi="Calibri" w:cs="Calibri"/>
          <w:noProof/>
          <w:szCs w:val="24"/>
        </w:rPr>
        <w:t>. https://www.plasticseurope.org/en/about-plastics/what-are-plastics</w:t>
      </w:r>
    </w:p>
    <w:p w14:paraId="535CB2D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PlasticsEurope. (2020b). </w:t>
      </w:r>
      <w:r w:rsidRPr="00E10B6E">
        <w:rPr>
          <w:rFonts w:ascii="Calibri" w:hAnsi="Calibri" w:cs="Calibri"/>
          <w:i/>
          <w:iCs/>
          <w:noProof/>
          <w:szCs w:val="24"/>
        </w:rPr>
        <w:t>Who we are :: PlasticsEurope</w:t>
      </w:r>
      <w:r w:rsidRPr="00E10B6E">
        <w:rPr>
          <w:rFonts w:ascii="Calibri" w:hAnsi="Calibri" w:cs="Calibri"/>
          <w:noProof/>
          <w:szCs w:val="24"/>
        </w:rPr>
        <w:t>. https://www.plasticseurope.org/en/about-us/who-we-are</w:t>
      </w:r>
    </w:p>
    <w:p w14:paraId="26464D0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Port of Rotterdam. (2016). </w:t>
      </w:r>
      <w:r w:rsidRPr="00E10B6E">
        <w:rPr>
          <w:rFonts w:ascii="Calibri" w:hAnsi="Calibri" w:cs="Calibri"/>
          <w:i/>
          <w:iCs/>
          <w:noProof/>
          <w:szCs w:val="24"/>
        </w:rPr>
        <w:t>Facts and figures on the Rotterdam  energy port and petrochemical cluster</w:t>
      </w:r>
      <w:r w:rsidRPr="00E10B6E">
        <w:rPr>
          <w:rFonts w:ascii="Calibri" w:hAnsi="Calibri" w:cs="Calibri"/>
          <w:noProof/>
          <w:szCs w:val="24"/>
        </w:rPr>
        <w:t>. https://www.portofrotterdam.com/sites/default/files/facts-figures-energy-port-and-petrochemical-cluster.pdf</w:t>
      </w:r>
    </w:p>
    <w:p w14:paraId="72050A3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Port of Rotterdam. (2019a). </w:t>
      </w:r>
      <w:r w:rsidRPr="00E10B6E">
        <w:rPr>
          <w:rFonts w:ascii="Calibri" w:hAnsi="Calibri" w:cs="Calibri"/>
          <w:i/>
          <w:iCs/>
          <w:noProof/>
          <w:szCs w:val="24"/>
        </w:rPr>
        <w:t>CCS project Porthos a step closer | Port of Rotterdam</w:t>
      </w:r>
      <w:r w:rsidRPr="00E10B6E">
        <w:rPr>
          <w:rFonts w:ascii="Calibri" w:hAnsi="Calibri" w:cs="Calibri"/>
          <w:noProof/>
          <w:szCs w:val="24"/>
        </w:rPr>
        <w:t>. https://www.portofrotterdam.com/en/news-and-press-releases/ccs-project-porthos-a-step-closer</w:t>
      </w:r>
    </w:p>
    <w:p w14:paraId="4665943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Port of Rotterdam. (2019b). </w:t>
      </w:r>
      <w:r w:rsidRPr="00E10B6E">
        <w:rPr>
          <w:rFonts w:ascii="Calibri" w:hAnsi="Calibri" w:cs="Calibri"/>
          <w:i/>
          <w:iCs/>
          <w:noProof/>
          <w:szCs w:val="24"/>
        </w:rPr>
        <w:t>Circular Economy position paper</w:t>
      </w:r>
      <w:r w:rsidRPr="00E10B6E">
        <w:rPr>
          <w:rFonts w:ascii="Calibri" w:hAnsi="Calibri" w:cs="Calibri"/>
          <w:noProof/>
          <w:szCs w:val="24"/>
        </w:rPr>
        <w:t>.</w:t>
      </w:r>
    </w:p>
    <w:p w14:paraId="41F37FF5"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Port of Rotterdam. (2020). </w:t>
      </w:r>
      <w:r w:rsidRPr="00E10B6E">
        <w:rPr>
          <w:rFonts w:ascii="Calibri" w:hAnsi="Calibri" w:cs="Calibri"/>
          <w:i/>
          <w:iCs/>
          <w:noProof/>
          <w:szCs w:val="24"/>
        </w:rPr>
        <w:t>H-vision kicks off the hydrogen economy in Rotterdam | Port of Rotterdam</w:t>
      </w:r>
      <w:r w:rsidRPr="00E10B6E">
        <w:rPr>
          <w:rFonts w:ascii="Calibri" w:hAnsi="Calibri" w:cs="Calibri"/>
          <w:noProof/>
          <w:szCs w:val="24"/>
        </w:rPr>
        <w:t>. https://www.portofrotterdam.com/en/news-and-press-releases/h-vision-kicks-off-the-hydrogen-economy-in-rotterdam</w:t>
      </w:r>
    </w:p>
    <w:p w14:paraId="3580B78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Posada, J. A., Patel, A. D., Roes, A., Blok, K., Faaij, A. P. C., &amp; Patel, M. K. (2013). Potential of bioethanol as a chemical building block for biorefineries: Preliminary sustainability assessment of 12 bioethanol-based products. </w:t>
      </w:r>
      <w:r w:rsidRPr="00E10B6E">
        <w:rPr>
          <w:rFonts w:ascii="Calibri" w:hAnsi="Calibri" w:cs="Calibri"/>
          <w:i/>
          <w:iCs/>
          <w:noProof/>
          <w:szCs w:val="24"/>
        </w:rPr>
        <w:t>Bioresource Technology</w:t>
      </w:r>
      <w:r w:rsidRPr="00E10B6E">
        <w:rPr>
          <w:rFonts w:ascii="Calibri" w:hAnsi="Calibri" w:cs="Calibri"/>
          <w:noProof/>
          <w:szCs w:val="24"/>
        </w:rPr>
        <w:t xml:space="preserve">, </w:t>
      </w:r>
      <w:r w:rsidRPr="00E10B6E">
        <w:rPr>
          <w:rFonts w:ascii="Calibri" w:hAnsi="Calibri" w:cs="Calibri"/>
          <w:i/>
          <w:iCs/>
          <w:noProof/>
          <w:szCs w:val="24"/>
        </w:rPr>
        <w:t>135</w:t>
      </w:r>
      <w:r w:rsidRPr="00E10B6E">
        <w:rPr>
          <w:rFonts w:ascii="Calibri" w:hAnsi="Calibri" w:cs="Calibri"/>
          <w:noProof/>
          <w:szCs w:val="24"/>
        </w:rPr>
        <w:t>, 490–499. https://doi.org/10.1016/j.biortech.2012.09.058</w:t>
      </w:r>
    </w:p>
    <w:p w14:paraId="260D10C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Ragaert, K., Delva, L., &amp; Van Geem, K. (2017). Mechanical and chemical recycling of solid plastic waste. </w:t>
      </w:r>
      <w:r w:rsidRPr="00E10B6E">
        <w:rPr>
          <w:rFonts w:ascii="Calibri" w:hAnsi="Calibri" w:cs="Calibri"/>
          <w:i/>
          <w:iCs/>
          <w:noProof/>
          <w:szCs w:val="24"/>
        </w:rPr>
        <w:t>Waste Management</w:t>
      </w:r>
      <w:r w:rsidRPr="00E10B6E">
        <w:rPr>
          <w:rFonts w:ascii="Calibri" w:hAnsi="Calibri" w:cs="Calibri"/>
          <w:noProof/>
          <w:szCs w:val="24"/>
        </w:rPr>
        <w:t xml:space="preserve">, </w:t>
      </w:r>
      <w:r w:rsidRPr="00E10B6E">
        <w:rPr>
          <w:rFonts w:ascii="Calibri" w:hAnsi="Calibri" w:cs="Calibri"/>
          <w:i/>
          <w:iCs/>
          <w:noProof/>
          <w:szCs w:val="24"/>
        </w:rPr>
        <w:t>69</w:t>
      </w:r>
      <w:r w:rsidRPr="00E10B6E">
        <w:rPr>
          <w:rFonts w:ascii="Calibri" w:hAnsi="Calibri" w:cs="Calibri"/>
          <w:noProof/>
          <w:szCs w:val="24"/>
        </w:rPr>
        <w:t>, 24–58. https://doi.org/10.1016/j.wasman.2017.07.044</w:t>
      </w:r>
    </w:p>
    <w:p w14:paraId="5E4A7E1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Ray, R., &amp; Thorpe, R. B. (2007). A comparison of gasification with pyrolysis for the recycling of plastic containing wastes. </w:t>
      </w:r>
      <w:r w:rsidRPr="00E10B6E">
        <w:rPr>
          <w:rFonts w:ascii="Calibri" w:hAnsi="Calibri" w:cs="Calibri"/>
          <w:i/>
          <w:iCs/>
          <w:noProof/>
          <w:szCs w:val="24"/>
        </w:rPr>
        <w:t>International Journal of Chemical Reactor Engineering</w:t>
      </w:r>
      <w:r w:rsidRPr="00E10B6E">
        <w:rPr>
          <w:rFonts w:ascii="Calibri" w:hAnsi="Calibri" w:cs="Calibri"/>
          <w:noProof/>
          <w:szCs w:val="24"/>
        </w:rPr>
        <w:t xml:space="preserve">, </w:t>
      </w:r>
      <w:r w:rsidRPr="00E10B6E">
        <w:rPr>
          <w:rFonts w:ascii="Calibri" w:hAnsi="Calibri" w:cs="Calibri"/>
          <w:i/>
          <w:iCs/>
          <w:noProof/>
          <w:szCs w:val="24"/>
        </w:rPr>
        <w:t>5</w:t>
      </w:r>
      <w:r w:rsidRPr="00E10B6E">
        <w:rPr>
          <w:rFonts w:ascii="Calibri" w:hAnsi="Calibri" w:cs="Calibri"/>
          <w:noProof/>
          <w:szCs w:val="24"/>
        </w:rPr>
        <w:t>(1). https://doi.org/10.2202/1542-6580.1504</w:t>
      </w:r>
    </w:p>
    <w:p w14:paraId="6AD4D8C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Recycling Netherlands. (2019). </w:t>
      </w:r>
      <w:r w:rsidRPr="00E10B6E">
        <w:rPr>
          <w:rFonts w:ascii="Calibri" w:hAnsi="Calibri" w:cs="Calibri"/>
          <w:i/>
          <w:iCs/>
          <w:noProof/>
          <w:szCs w:val="24"/>
        </w:rPr>
        <w:t>Pyrolysis testing ground Moerdijk</w:t>
      </w:r>
      <w:r w:rsidRPr="00E10B6E">
        <w:rPr>
          <w:rFonts w:ascii="Calibri" w:hAnsi="Calibri" w:cs="Calibri"/>
          <w:noProof/>
          <w:szCs w:val="24"/>
        </w:rPr>
        <w:t>. https://recyclingnederland.nl/agri/pyrolyseproeftuin-moerdijk/</w:t>
      </w:r>
    </w:p>
    <w:p w14:paraId="028C432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Renewi. (2018, December 11). </w:t>
      </w:r>
      <w:r w:rsidRPr="00E10B6E">
        <w:rPr>
          <w:rFonts w:ascii="Calibri" w:hAnsi="Calibri" w:cs="Calibri"/>
          <w:i/>
          <w:iCs/>
          <w:noProof/>
          <w:szCs w:val="24"/>
        </w:rPr>
        <w:t>Renewi starts collaboration with Sabic and Plastic Energy</w:t>
      </w:r>
      <w:r w:rsidRPr="00E10B6E">
        <w:rPr>
          <w:rFonts w:ascii="Calibri" w:hAnsi="Calibri" w:cs="Calibri"/>
          <w:noProof/>
          <w:szCs w:val="24"/>
        </w:rPr>
        <w:t>. https://www.renewi.com/over-renewi/onze-rol/actueel/renewi-start-samenwerking-met-sabic-en-plastic-energy</w:t>
      </w:r>
    </w:p>
    <w:p w14:paraId="59F7E26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Rigamonti, L., Grosso, M., Møller, J., Martinez Sanchez, V., Magnani, S., &amp; Christensen, T. H. (2014). </w:t>
      </w:r>
      <w:r w:rsidRPr="00E10B6E">
        <w:rPr>
          <w:rFonts w:ascii="Calibri" w:hAnsi="Calibri" w:cs="Calibri"/>
          <w:noProof/>
          <w:szCs w:val="24"/>
        </w:rPr>
        <w:t xml:space="preserve">Environmental evaluation of plastic waste management scenarios. </w:t>
      </w:r>
      <w:r w:rsidRPr="00E10B6E">
        <w:rPr>
          <w:rFonts w:ascii="Calibri" w:hAnsi="Calibri" w:cs="Calibri"/>
          <w:i/>
          <w:iCs/>
          <w:noProof/>
          <w:szCs w:val="24"/>
        </w:rPr>
        <w:t>Resources, Conservation and Recycling</w:t>
      </w:r>
      <w:r w:rsidRPr="00E10B6E">
        <w:rPr>
          <w:rFonts w:ascii="Calibri" w:hAnsi="Calibri" w:cs="Calibri"/>
          <w:noProof/>
          <w:szCs w:val="24"/>
        </w:rPr>
        <w:t xml:space="preserve">, </w:t>
      </w:r>
      <w:r w:rsidRPr="00E10B6E">
        <w:rPr>
          <w:rFonts w:ascii="Calibri" w:hAnsi="Calibri" w:cs="Calibri"/>
          <w:i/>
          <w:iCs/>
          <w:noProof/>
          <w:szCs w:val="24"/>
        </w:rPr>
        <w:t>85</w:t>
      </w:r>
      <w:r w:rsidRPr="00E10B6E">
        <w:rPr>
          <w:rFonts w:ascii="Calibri" w:hAnsi="Calibri" w:cs="Calibri"/>
          <w:noProof/>
          <w:szCs w:val="24"/>
        </w:rPr>
        <w:t>, 42–53. https://doi.org/10.1016/j.resconrec.2013.12.012</w:t>
      </w:r>
    </w:p>
    <w:p w14:paraId="15B4DFE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RIVM. (2020, February 14). </w:t>
      </w:r>
      <w:r w:rsidRPr="00E10B6E">
        <w:rPr>
          <w:rFonts w:ascii="Calibri" w:hAnsi="Calibri" w:cs="Calibri"/>
          <w:i/>
          <w:iCs/>
          <w:noProof/>
          <w:szCs w:val="24"/>
        </w:rPr>
        <w:t>Plastic Pact Nederland : de Monitor Nulmeting (2017-2018) | RIVM</w:t>
      </w:r>
      <w:r w:rsidRPr="00E10B6E">
        <w:rPr>
          <w:rFonts w:ascii="Calibri" w:hAnsi="Calibri" w:cs="Calibri"/>
          <w:noProof/>
          <w:szCs w:val="24"/>
        </w:rPr>
        <w:t>. https://www.rivm.nl/publicaties/plastic-pact-nederland-monitor-nulmeting-2017-2018</w:t>
      </w:r>
    </w:p>
    <w:p w14:paraId="56FEC65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SABIC Limburg. (2020). </w:t>
      </w:r>
      <w:r w:rsidRPr="00E10B6E">
        <w:rPr>
          <w:rFonts w:ascii="Calibri" w:hAnsi="Calibri" w:cs="Calibri"/>
          <w:i/>
          <w:iCs/>
          <w:noProof/>
          <w:szCs w:val="24"/>
        </w:rPr>
        <w:t>Fabrieken en Productieprocessen</w:t>
      </w:r>
      <w:r w:rsidRPr="00E10B6E">
        <w:rPr>
          <w:rFonts w:ascii="Calibri" w:hAnsi="Calibri" w:cs="Calibri"/>
          <w:noProof/>
          <w:szCs w:val="24"/>
        </w:rPr>
        <w:t>. http://www.sabic-limburg.nl/nl/sabic-limburg/fabrieken-en-productieprocessen</w:t>
      </w:r>
    </w:p>
    <w:p w14:paraId="070C93A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Schlüter, B. A., &amp; Rosano, M. B. (2016). </w:t>
      </w:r>
      <w:r w:rsidRPr="00E10B6E">
        <w:rPr>
          <w:rFonts w:ascii="Calibri" w:hAnsi="Calibri" w:cs="Calibri"/>
          <w:noProof/>
          <w:szCs w:val="24"/>
        </w:rPr>
        <w:t xml:space="preserve">A holistic approach to energy efficiency assessment in plastic processing. </w:t>
      </w:r>
      <w:r w:rsidRPr="00E10B6E">
        <w:rPr>
          <w:rFonts w:ascii="Calibri" w:hAnsi="Calibri" w:cs="Calibri"/>
          <w:i/>
          <w:iCs/>
          <w:noProof/>
          <w:szCs w:val="24"/>
        </w:rPr>
        <w:t>Journal of Cleaner Production</w:t>
      </w:r>
      <w:r w:rsidRPr="00E10B6E">
        <w:rPr>
          <w:rFonts w:ascii="Calibri" w:hAnsi="Calibri" w:cs="Calibri"/>
          <w:noProof/>
          <w:szCs w:val="24"/>
        </w:rPr>
        <w:t xml:space="preserve">, </w:t>
      </w:r>
      <w:r w:rsidRPr="00E10B6E">
        <w:rPr>
          <w:rFonts w:ascii="Calibri" w:hAnsi="Calibri" w:cs="Calibri"/>
          <w:i/>
          <w:iCs/>
          <w:noProof/>
          <w:szCs w:val="24"/>
        </w:rPr>
        <w:t>118</w:t>
      </w:r>
      <w:r w:rsidRPr="00E10B6E">
        <w:rPr>
          <w:rFonts w:ascii="Calibri" w:hAnsi="Calibri" w:cs="Calibri"/>
          <w:noProof/>
          <w:szCs w:val="24"/>
        </w:rPr>
        <w:t>, 19–28. https://doi.org/10.1016/j.jclepro.2016.01.037</w:t>
      </w:r>
    </w:p>
    <w:p w14:paraId="088984E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Sebastián, F., Royo, J., &amp; Gómez, M. (2011). Cofiring versus biomass-fired power plants: GHG </w:t>
      </w:r>
      <w:r w:rsidRPr="00E10B6E">
        <w:rPr>
          <w:rFonts w:ascii="Calibri" w:hAnsi="Calibri" w:cs="Calibri"/>
          <w:noProof/>
          <w:szCs w:val="24"/>
        </w:rPr>
        <w:lastRenderedPageBreak/>
        <w:t xml:space="preserve">(Greenhouse Gases) emissions savings comparison by means of LCA (Life Cycle Assessment) methodology. </w:t>
      </w:r>
      <w:r w:rsidRPr="00E10B6E">
        <w:rPr>
          <w:rFonts w:ascii="Calibri" w:hAnsi="Calibri" w:cs="Calibri"/>
          <w:i/>
          <w:iCs/>
          <w:noProof/>
          <w:szCs w:val="24"/>
        </w:rPr>
        <w:t>Energy</w:t>
      </w:r>
      <w:r w:rsidRPr="00E10B6E">
        <w:rPr>
          <w:rFonts w:ascii="Calibri" w:hAnsi="Calibri" w:cs="Calibri"/>
          <w:noProof/>
          <w:szCs w:val="24"/>
        </w:rPr>
        <w:t xml:space="preserve">, </w:t>
      </w:r>
      <w:r w:rsidRPr="00E10B6E">
        <w:rPr>
          <w:rFonts w:ascii="Calibri" w:hAnsi="Calibri" w:cs="Calibri"/>
          <w:i/>
          <w:iCs/>
          <w:noProof/>
          <w:szCs w:val="24"/>
        </w:rPr>
        <w:t>36</w:t>
      </w:r>
      <w:r w:rsidRPr="00E10B6E">
        <w:rPr>
          <w:rFonts w:ascii="Calibri" w:hAnsi="Calibri" w:cs="Calibri"/>
          <w:noProof/>
          <w:szCs w:val="24"/>
        </w:rPr>
        <w:t>(4), 2029–2037. https://doi.org/10.1016/j.energy.2010.06.003</w:t>
      </w:r>
    </w:p>
    <w:p w14:paraId="1EBB4DFC"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Semeijn, V. P., &amp; Schure, K. M. (2020). </w:t>
      </w:r>
      <w:r w:rsidRPr="00E10B6E">
        <w:rPr>
          <w:rFonts w:ascii="Calibri" w:hAnsi="Calibri" w:cs="Calibri"/>
          <w:i/>
          <w:iCs/>
          <w:noProof/>
          <w:szCs w:val="24"/>
        </w:rPr>
        <w:t>DECARBONISATION OPTIONS FOR THE DUTCH PVC INDUSTRY Manufacturing Industry Decarbonisation Data Exchange Network PBL-ECN part of TNO | 2-A MIDDEN report</w:t>
      </w:r>
      <w:r w:rsidRPr="00E10B6E">
        <w:rPr>
          <w:rFonts w:ascii="Calibri" w:hAnsi="Calibri" w:cs="Calibri"/>
          <w:noProof/>
          <w:szCs w:val="24"/>
        </w:rPr>
        <w:t>. https://www.pbl.nl/sites/default/files/downloads/pbl-2020-decarbonisation-options-for-the-dutch-pvc-industry_3717.pdf</w:t>
      </w:r>
    </w:p>
    <w:p w14:paraId="12AB706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Shamsul, N. S., Kamarudin, S. K., Rahman, N. A., &amp; Kofli, N. T. (2014). An overview on the production of bio-methanol as potential renewable energy. In </w:t>
      </w:r>
      <w:r w:rsidRPr="00E10B6E">
        <w:rPr>
          <w:rFonts w:ascii="Calibri" w:hAnsi="Calibri" w:cs="Calibri"/>
          <w:i/>
          <w:iCs/>
          <w:noProof/>
          <w:szCs w:val="24"/>
        </w:rPr>
        <w:t>Renewable and Sustainable Energy Reviews</w:t>
      </w:r>
      <w:r w:rsidRPr="00E10B6E">
        <w:rPr>
          <w:rFonts w:ascii="Calibri" w:hAnsi="Calibri" w:cs="Calibri"/>
          <w:noProof/>
          <w:szCs w:val="24"/>
        </w:rPr>
        <w:t xml:space="preserve"> (Vol. 33, pp. 578–588). Elsevier Ltd. https://doi.org/10.1016/j.rser.2014.02.024</w:t>
      </w:r>
    </w:p>
    <w:p w14:paraId="5603C73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Singh, N., Hui, D., Singh, R., Ahuja, I. P. S., Feo, L., &amp; Fraternali, F. (2017). </w:t>
      </w:r>
      <w:r w:rsidRPr="00E10B6E">
        <w:rPr>
          <w:rFonts w:ascii="Calibri" w:hAnsi="Calibri" w:cs="Calibri"/>
          <w:noProof/>
          <w:szCs w:val="24"/>
        </w:rPr>
        <w:t xml:space="preserve">Recycling of plastic solid waste: A state of art review and future applications. </w:t>
      </w:r>
      <w:r w:rsidRPr="00E10B6E">
        <w:rPr>
          <w:rFonts w:ascii="Calibri" w:hAnsi="Calibri" w:cs="Calibri"/>
          <w:i/>
          <w:iCs/>
          <w:noProof/>
          <w:szCs w:val="24"/>
        </w:rPr>
        <w:t>Composites Part B: Engineering</w:t>
      </w:r>
      <w:r w:rsidRPr="00E10B6E">
        <w:rPr>
          <w:rFonts w:ascii="Calibri" w:hAnsi="Calibri" w:cs="Calibri"/>
          <w:noProof/>
          <w:szCs w:val="24"/>
        </w:rPr>
        <w:t xml:space="preserve">, </w:t>
      </w:r>
      <w:r w:rsidRPr="00E10B6E">
        <w:rPr>
          <w:rFonts w:ascii="Calibri" w:hAnsi="Calibri" w:cs="Calibri"/>
          <w:i/>
          <w:iCs/>
          <w:noProof/>
          <w:szCs w:val="24"/>
        </w:rPr>
        <w:t>115</w:t>
      </w:r>
      <w:r w:rsidRPr="00E10B6E">
        <w:rPr>
          <w:rFonts w:ascii="Calibri" w:hAnsi="Calibri" w:cs="Calibri"/>
          <w:noProof/>
          <w:szCs w:val="24"/>
        </w:rPr>
        <w:t>, 409–422. https://doi.org/10.1016/j.compositesb.2016.09.013</w:t>
      </w:r>
    </w:p>
    <w:p w14:paraId="69FE0109" w14:textId="77777777" w:rsidR="007A2905" w:rsidRPr="00983F73" w:rsidRDefault="007A2905" w:rsidP="007A2905">
      <w:pPr>
        <w:widowControl w:val="0"/>
        <w:autoSpaceDE w:val="0"/>
        <w:autoSpaceDN w:val="0"/>
        <w:adjustRightInd w:val="0"/>
        <w:spacing w:line="240" w:lineRule="auto"/>
        <w:ind w:left="480" w:hanging="480"/>
        <w:rPr>
          <w:rFonts w:ascii="Calibri" w:hAnsi="Calibri" w:cs="Calibri"/>
          <w:noProof/>
          <w:szCs w:val="24"/>
          <w:lang w:val="it-IT"/>
        </w:rPr>
      </w:pPr>
      <w:r w:rsidRPr="00E10B6E">
        <w:rPr>
          <w:rFonts w:ascii="Calibri" w:hAnsi="Calibri" w:cs="Calibri"/>
          <w:noProof/>
          <w:szCs w:val="24"/>
        </w:rPr>
        <w:t xml:space="preserve">Speight, J. G. (2019). Upgrading by Gasification. In </w:t>
      </w:r>
      <w:r w:rsidRPr="00E10B6E">
        <w:rPr>
          <w:rFonts w:ascii="Calibri" w:hAnsi="Calibri" w:cs="Calibri"/>
          <w:i/>
          <w:iCs/>
          <w:noProof/>
          <w:szCs w:val="24"/>
        </w:rPr>
        <w:t>Heavy Oil Recovery and Upgrading</w:t>
      </w:r>
      <w:r w:rsidRPr="00E10B6E">
        <w:rPr>
          <w:rFonts w:ascii="Calibri" w:hAnsi="Calibri" w:cs="Calibri"/>
          <w:noProof/>
          <w:szCs w:val="24"/>
        </w:rPr>
        <w:t xml:space="preserve"> (pp. 559–614). </w:t>
      </w:r>
      <w:r w:rsidRPr="00983F73">
        <w:rPr>
          <w:rFonts w:ascii="Calibri" w:hAnsi="Calibri" w:cs="Calibri"/>
          <w:noProof/>
          <w:szCs w:val="24"/>
          <w:lang w:val="it-IT"/>
        </w:rPr>
        <w:t>Elsevier. https://doi.org/10.1016/b978-0-12-813025-4.00013-1</w:t>
      </w:r>
    </w:p>
    <w:p w14:paraId="507AACB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Suaria, G., Avio, C. G., Mineo, A., Lattin, G. L., Magaldi, M. G., Belmonte, G., Moore, C. J., Regoli, F., &amp; Aliani, S. (2016). </w:t>
      </w:r>
      <w:r w:rsidRPr="00E10B6E">
        <w:rPr>
          <w:rFonts w:ascii="Calibri" w:hAnsi="Calibri" w:cs="Calibri"/>
          <w:noProof/>
          <w:szCs w:val="24"/>
        </w:rPr>
        <w:t xml:space="preserve">The Mediterranean Plastic Soup: Synthetic polymers in Mediterranean surface waters. </w:t>
      </w:r>
      <w:r w:rsidRPr="00E10B6E">
        <w:rPr>
          <w:rFonts w:ascii="Calibri" w:hAnsi="Calibri" w:cs="Calibri"/>
          <w:i/>
          <w:iCs/>
          <w:noProof/>
          <w:szCs w:val="24"/>
        </w:rPr>
        <w:t>Scientific Reports</w:t>
      </w:r>
      <w:r w:rsidRPr="00E10B6E">
        <w:rPr>
          <w:rFonts w:ascii="Calibri" w:hAnsi="Calibri" w:cs="Calibri"/>
          <w:noProof/>
          <w:szCs w:val="24"/>
        </w:rPr>
        <w:t xml:space="preserve">, </w:t>
      </w:r>
      <w:r w:rsidRPr="00E10B6E">
        <w:rPr>
          <w:rFonts w:ascii="Calibri" w:hAnsi="Calibri" w:cs="Calibri"/>
          <w:i/>
          <w:iCs/>
          <w:noProof/>
          <w:szCs w:val="24"/>
        </w:rPr>
        <w:t>6</w:t>
      </w:r>
      <w:r w:rsidRPr="00E10B6E">
        <w:rPr>
          <w:rFonts w:ascii="Calibri" w:hAnsi="Calibri" w:cs="Calibri"/>
          <w:noProof/>
          <w:szCs w:val="24"/>
        </w:rPr>
        <w:t>(1), 1–10. https://doi.org/10.1038/srep37551</w:t>
      </w:r>
    </w:p>
    <w:p w14:paraId="0D41627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SUSTG. (2019, March 28). </w:t>
      </w:r>
      <w:r w:rsidRPr="00E10B6E">
        <w:rPr>
          <w:rFonts w:ascii="Calibri" w:hAnsi="Calibri" w:cs="Calibri"/>
          <w:i/>
          <w:iCs/>
          <w:noProof/>
          <w:szCs w:val="24"/>
        </w:rPr>
        <w:t>Saudi Aramco Agrees to Buy 70% Stake in SABIC from Kingdom’s Public Investment Fund | SUSTG.com – News, Analysis, and Features on all things Saudi Arabia</w:t>
      </w:r>
      <w:r w:rsidRPr="00E10B6E">
        <w:rPr>
          <w:rFonts w:ascii="Calibri" w:hAnsi="Calibri" w:cs="Calibri"/>
          <w:noProof/>
          <w:szCs w:val="24"/>
        </w:rPr>
        <w:t>. https://www.sustg.com/saudi-aramco-agrees-to-buy-70-stake-in-sabic-from-kingdoms-public-investment-fund/</w:t>
      </w:r>
    </w:p>
    <w:p w14:paraId="206A611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Townsend Solutions. (2017). </w:t>
      </w:r>
      <w:r w:rsidRPr="00E10B6E">
        <w:rPr>
          <w:rFonts w:ascii="Calibri" w:hAnsi="Calibri" w:cs="Calibri"/>
          <w:i/>
          <w:iCs/>
          <w:noProof/>
          <w:szCs w:val="24"/>
        </w:rPr>
        <w:t>Polyethylene Catalyst and Process Technology Tutorial</w:t>
      </w:r>
      <w:r w:rsidRPr="00E10B6E">
        <w:rPr>
          <w:rFonts w:ascii="Calibri" w:hAnsi="Calibri" w:cs="Calibri"/>
          <w:noProof/>
          <w:szCs w:val="24"/>
        </w:rPr>
        <w:t>.</w:t>
      </w:r>
    </w:p>
    <w:p w14:paraId="2C1B999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UN. (2020). </w:t>
      </w:r>
      <w:r w:rsidRPr="00E10B6E">
        <w:rPr>
          <w:rFonts w:ascii="Calibri" w:hAnsi="Calibri" w:cs="Calibri"/>
          <w:i/>
          <w:iCs/>
          <w:noProof/>
          <w:szCs w:val="24"/>
        </w:rPr>
        <w:t>Sustainable Development Goals Knowledge Platform</w:t>
      </w:r>
      <w:r w:rsidRPr="00E10B6E">
        <w:rPr>
          <w:rFonts w:ascii="Calibri" w:hAnsi="Calibri" w:cs="Calibri"/>
          <w:noProof/>
          <w:szCs w:val="24"/>
        </w:rPr>
        <w:t>. https://sustainabledevelopment.un.org/sdgs</w:t>
      </w:r>
    </w:p>
    <w:p w14:paraId="39E09884"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UNFCCC. (2020). </w:t>
      </w:r>
      <w:r w:rsidRPr="00E10B6E">
        <w:rPr>
          <w:rFonts w:ascii="Calibri" w:hAnsi="Calibri" w:cs="Calibri"/>
          <w:i/>
          <w:iCs/>
          <w:noProof/>
          <w:szCs w:val="24"/>
        </w:rPr>
        <w:t>The Paris Agreement</w:t>
      </w:r>
      <w:r w:rsidRPr="00E10B6E">
        <w:rPr>
          <w:rFonts w:ascii="Calibri" w:hAnsi="Calibri" w:cs="Calibri"/>
          <w:noProof/>
          <w:szCs w:val="24"/>
        </w:rPr>
        <w:t>. https://unfccc.int/process-and-meetings/the-paris-agreement/the-paris-agreement</w:t>
      </w:r>
    </w:p>
    <w:p w14:paraId="7847C52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Unilever. (2020). </w:t>
      </w:r>
      <w:r w:rsidRPr="00E10B6E">
        <w:rPr>
          <w:rFonts w:ascii="Calibri" w:hAnsi="Calibri" w:cs="Calibri"/>
          <w:i/>
          <w:iCs/>
          <w:noProof/>
          <w:szCs w:val="24"/>
        </w:rPr>
        <w:t>Waste &amp; packaging | Sustainable Living | Unilever UK &amp; Ireland</w:t>
      </w:r>
      <w:r w:rsidRPr="00E10B6E">
        <w:rPr>
          <w:rFonts w:ascii="Calibri" w:hAnsi="Calibri" w:cs="Calibri"/>
          <w:noProof/>
          <w:szCs w:val="24"/>
        </w:rPr>
        <w:t>. https://www.unilever.co.uk/sustainable-living/waste-and-packaging/</w:t>
      </w:r>
    </w:p>
    <w:p w14:paraId="746495F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US EPA. (2007). </w:t>
      </w:r>
      <w:r w:rsidRPr="00E10B6E">
        <w:rPr>
          <w:rFonts w:ascii="Calibri" w:hAnsi="Calibri" w:cs="Calibri"/>
          <w:i/>
          <w:iCs/>
          <w:noProof/>
          <w:szCs w:val="24"/>
        </w:rPr>
        <w:t>Biomass Combined Heat and Power Catalog of Technologies.</w:t>
      </w:r>
      <w:r w:rsidRPr="00E10B6E">
        <w:rPr>
          <w:rFonts w:ascii="Calibri" w:hAnsi="Calibri" w:cs="Calibri"/>
          <w:noProof/>
          <w:szCs w:val="24"/>
        </w:rPr>
        <w:t xml:space="preserve"> www.epa.gov/chp.</w:t>
      </w:r>
    </w:p>
    <w:p w14:paraId="51DAAC67"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USG. (2020a). </w:t>
      </w:r>
      <w:r w:rsidRPr="00E10B6E">
        <w:rPr>
          <w:rFonts w:ascii="Calibri" w:hAnsi="Calibri" w:cs="Calibri"/>
          <w:i/>
          <w:iCs/>
          <w:noProof/>
          <w:szCs w:val="24"/>
        </w:rPr>
        <w:t>About USG Industrial Utilities | Utility Support Group</w:t>
      </w:r>
      <w:r w:rsidRPr="00E10B6E">
        <w:rPr>
          <w:rFonts w:ascii="Calibri" w:hAnsi="Calibri" w:cs="Calibri"/>
          <w:noProof/>
          <w:szCs w:val="24"/>
        </w:rPr>
        <w:t>. https://www.usg.company/nl/over-usg-industrial-utilities</w:t>
      </w:r>
    </w:p>
    <w:p w14:paraId="4D14CCC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USG. (2020b). </w:t>
      </w:r>
      <w:r w:rsidRPr="00E10B6E">
        <w:rPr>
          <w:rFonts w:ascii="Calibri" w:hAnsi="Calibri" w:cs="Calibri"/>
          <w:i/>
          <w:iCs/>
          <w:noProof/>
          <w:szCs w:val="24"/>
        </w:rPr>
        <w:t>Utilities | Utility Support Group</w:t>
      </w:r>
      <w:r w:rsidRPr="00E10B6E">
        <w:rPr>
          <w:rFonts w:ascii="Calibri" w:hAnsi="Calibri" w:cs="Calibri"/>
          <w:noProof/>
          <w:szCs w:val="24"/>
        </w:rPr>
        <w:t>. https://www.usg.company/nl/utilities</w:t>
      </w:r>
    </w:p>
    <w:p w14:paraId="31FFB9B8"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Vachon, J. (2019). </w:t>
      </w:r>
      <w:r w:rsidRPr="00E10B6E">
        <w:rPr>
          <w:rFonts w:ascii="Calibri" w:hAnsi="Calibri" w:cs="Calibri"/>
          <w:i/>
          <w:iCs/>
          <w:noProof/>
          <w:szCs w:val="24"/>
        </w:rPr>
        <w:t>Sustainability initiatives within SABIC with examples of use of bio-based materials for polyolefins</w:t>
      </w:r>
      <w:r w:rsidRPr="00E10B6E">
        <w:rPr>
          <w:rFonts w:ascii="Calibri" w:hAnsi="Calibri" w:cs="Calibri"/>
          <w:noProof/>
          <w:szCs w:val="24"/>
        </w:rPr>
        <w:t>.</w:t>
      </w:r>
    </w:p>
    <w:p w14:paraId="3A8484C3"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Van Den Oever, M., Molenveld, K., Van Der Zee, M., &amp; Bos, H. (2017). </w:t>
      </w:r>
      <w:r w:rsidRPr="00E10B6E">
        <w:rPr>
          <w:rFonts w:ascii="Calibri" w:hAnsi="Calibri" w:cs="Calibri"/>
          <w:i/>
          <w:iCs/>
          <w:noProof/>
          <w:szCs w:val="24"/>
        </w:rPr>
        <w:t>Bio-based and biodegradable plastics-Facts and Figures Focus on food packaging in the Netherlands</w:t>
      </w:r>
      <w:r w:rsidRPr="00E10B6E">
        <w:rPr>
          <w:rFonts w:ascii="Calibri" w:hAnsi="Calibri" w:cs="Calibri"/>
          <w:noProof/>
          <w:szCs w:val="24"/>
        </w:rPr>
        <w:t>.</w:t>
      </w:r>
    </w:p>
    <w:p w14:paraId="08E5FA2B"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VNCI. (2018). </w:t>
      </w:r>
      <w:r w:rsidRPr="00E10B6E">
        <w:rPr>
          <w:rFonts w:ascii="Calibri" w:hAnsi="Calibri" w:cs="Calibri"/>
          <w:i/>
          <w:iCs/>
          <w:noProof/>
          <w:szCs w:val="24"/>
        </w:rPr>
        <w:t>Chemistry for Climate - Roadmap for the Dutch Chemical Industry towards 2050</w:t>
      </w:r>
      <w:r w:rsidRPr="00E10B6E">
        <w:rPr>
          <w:rFonts w:ascii="Calibri" w:hAnsi="Calibri" w:cs="Calibri"/>
          <w:noProof/>
          <w:szCs w:val="24"/>
        </w:rPr>
        <w:t>.</w:t>
      </w:r>
    </w:p>
    <w:p w14:paraId="79BB087A"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VNCI. (2020). </w:t>
      </w:r>
      <w:r w:rsidRPr="00E10B6E">
        <w:rPr>
          <w:rFonts w:ascii="Calibri" w:hAnsi="Calibri" w:cs="Calibri"/>
          <w:i/>
          <w:iCs/>
          <w:noProof/>
          <w:szCs w:val="24"/>
        </w:rPr>
        <w:t>Dutch chemical industry</w:t>
      </w:r>
      <w:r w:rsidRPr="00E10B6E">
        <w:rPr>
          <w:rFonts w:ascii="Calibri" w:hAnsi="Calibri" w:cs="Calibri"/>
          <w:noProof/>
          <w:szCs w:val="24"/>
        </w:rPr>
        <w:t>. https://www.vnci.nl/english</w:t>
      </w:r>
    </w:p>
    <w:p w14:paraId="17412DC1"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Williams, P. T., &amp; Williams, E. A. (1999). Fluidised bed pyrolysis of low density polyethylene to produce petrochemical feedstock. </w:t>
      </w:r>
      <w:r w:rsidRPr="00E10B6E">
        <w:rPr>
          <w:rFonts w:ascii="Calibri" w:hAnsi="Calibri" w:cs="Calibri"/>
          <w:i/>
          <w:iCs/>
          <w:noProof/>
          <w:szCs w:val="24"/>
        </w:rPr>
        <w:t>Journal of Analytical and Applied Pyrolysis</w:t>
      </w:r>
      <w:r w:rsidRPr="00E10B6E">
        <w:rPr>
          <w:rFonts w:ascii="Calibri" w:hAnsi="Calibri" w:cs="Calibri"/>
          <w:noProof/>
          <w:szCs w:val="24"/>
        </w:rPr>
        <w:t xml:space="preserve">, </w:t>
      </w:r>
      <w:r w:rsidRPr="00E10B6E">
        <w:rPr>
          <w:rFonts w:ascii="Calibri" w:hAnsi="Calibri" w:cs="Calibri"/>
          <w:i/>
          <w:iCs/>
          <w:noProof/>
          <w:szCs w:val="24"/>
        </w:rPr>
        <w:t>51</w:t>
      </w:r>
      <w:r w:rsidRPr="00E10B6E">
        <w:rPr>
          <w:rFonts w:ascii="Calibri" w:hAnsi="Calibri" w:cs="Calibri"/>
          <w:noProof/>
          <w:szCs w:val="24"/>
        </w:rPr>
        <w:t>(1), 107–126. https://doi.org/10.1016/S0165-2370(99)00011-X</w:t>
      </w:r>
    </w:p>
    <w:p w14:paraId="3A84FB4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lastRenderedPageBreak/>
        <w:t xml:space="preserve">World Bank. (2020). </w:t>
      </w:r>
      <w:r w:rsidRPr="00E10B6E">
        <w:rPr>
          <w:rFonts w:ascii="Calibri" w:hAnsi="Calibri" w:cs="Calibri"/>
          <w:i/>
          <w:iCs/>
          <w:noProof/>
          <w:szCs w:val="24"/>
        </w:rPr>
        <w:t>World Bank Open Data</w:t>
      </w:r>
      <w:r w:rsidRPr="00E10B6E">
        <w:rPr>
          <w:rFonts w:ascii="Calibri" w:hAnsi="Calibri" w:cs="Calibri"/>
          <w:noProof/>
          <w:szCs w:val="24"/>
        </w:rPr>
        <w:t>. https://data.worldbank.org</w:t>
      </w:r>
    </w:p>
    <w:p w14:paraId="1AA905E0"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World Economic Forum. (2020). </w:t>
      </w:r>
      <w:r w:rsidRPr="00E10B6E">
        <w:rPr>
          <w:rFonts w:ascii="Calibri" w:hAnsi="Calibri" w:cs="Calibri"/>
          <w:i/>
          <w:iCs/>
          <w:noProof/>
          <w:szCs w:val="24"/>
        </w:rPr>
        <w:t>The world’s plastic problem in numbers</w:t>
      </w:r>
      <w:r w:rsidRPr="00E10B6E">
        <w:rPr>
          <w:rFonts w:ascii="Calibri" w:hAnsi="Calibri" w:cs="Calibri"/>
          <w:noProof/>
          <w:szCs w:val="24"/>
        </w:rPr>
        <w:t>. https://www.weforum.org/agenda/2018/08/the-world-of-plastics-in-numbers</w:t>
      </w:r>
    </w:p>
    <w:p w14:paraId="61531A7F"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Xiang, Y., Zhou, J., Lin, B., Xue, X., Tian, X., &amp; Luo, Z. (2015). Exergetic evaluation of renewable light olefins production from biomass via synthetic methanol. </w:t>
      </w:r>
      <w:r w:rsidRPr="00E10B6E">
        <w:rPr>
          <w:rFonts w:ascii="Calibri" w:hAnsi="Calibri" w:cs="Calibri"/>
          <w:i/>
          <w:iCs/>
          <w:noProof/>
          <w:szCs w:val="24"/>
        </w:rPr>
        <w:t>Applied Energy</w:t>
      </w:r>
      <w:r w:rsidRPr="00E10B6E">
        <w:rPr>
          <w:rFonts w:ascii="Calibri" w:hAnsi="Calibri" w:cs="Calibri"/>
          <w:noProof/>
          <w:szCs w:val="24"/>
        </w:rPr>
        <w:t xml:space="preserve">, </w:t>
      </w:r>
      <w:r w:rsidRPr="00E10B6E">
        <w:rPr>
          <w:rFonts w:ascii="Calibri" w:hAnsi="Calibri" w:cs="Calibri"/>
          <w:i/>
          <w:iCs/>
          <w:noProof/>
          <w:szCs w:val="24"/>
        </w:rPr>
        <w:t>157</w:t>
      </w:r>
      <w:r w:rsidRPr="00E10B6E">
        <w:rPr>
          <w:rFonts w:ascii="Calibri" w:hAnsi="Calibri" w:cs="Calibri"/>
          <w:noProof/>
          <w:szCs w:val="24"/>
        </w:rPr>
        <w:t>, 499–507. https://doi.org/10.1016/j.apenergy.2015.05.039</w:t>
      </w:r>
    </w:p>
    <w:p w14:paraId="4C2C55D9"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Xue, Y., Zhou, S., Brown, R. C., Kelkar, A., &amp; Bai, X. (2015). Fast pyrolysis of biomass and waste plastic in a fluidized bed reactor. </w:t>
      </w:r>
      <w:r w:rsidRPr="00E10B6E">
        <w:rPr>
          <w:rFonts w:ascii="Calibri" w:hAnsi="Calibri" w:cs="Calibri"/>
          <w:i/>
          <w:iCs/>
          <w:noProof/>
          <w:szCs w:val="24"/>
        </w:rPr>
        <w:t>Fuel</w:t>
      </w:r>
      <w:r w:rsidRPr="00E10B6E">
        <w:rPr>
          <w:rFonts w:ascii="Calibri" w:hAnsi="Calibri" w:cs="Calibri"/>
          <w:noProof/>
          <w:szCs w:val="24"/>
        </w:rPr>
        <w:t xml:space="preserve">, </w:t>
      </w:r>
      <w:r w:rsidRPr="00E10B6E">
        <w:rPr>
          <w:rFonts w:ascii="Calibri" w:hAnsi="Calibri" w:cs="Calibri"/>
          <w:i/>
          <w:iCs/>
          <w:noProof/>
          <w:szCs w:val="24"/>
        </w:rPr>
        <w:t>156</w:t>
      </w:r>
      <w:r w:rsidRPr="00E10B6E">
        <w:rPr>
          <w:rFonts w:ascii="Calibri" w:hAnsi="Calibri" w:cs="Calibri"/>
          <w:noProof/>
          <w:szCs w:val="24"/>
        </w:rPr>
        <w:t>, 40–46. https://doi.org/10.1016/j.fuel.2015.04.033</w:t>
      </w:r>
    </w:p>
    <w:p w14:paraId="5BE64C42"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Zero Waste Europe. (2019). </w:t>
      </w:r>
      <w:r w:rsidRPr="00E10B6E">
        <w:rPr>
          <w:rFonts w:ascii="Calibri" w:hAnsi="Calibri" w:cs="Calibri"/>
          <w:i/>
          <w:iCs/>
          <w:noProof/>
          <w:szCs w:val="24"/>
        </w:rPr>
        <w:t>El Dorado of Chemical Recycling State of play and policy challenges</w:t>
      </w:r>
      <w:r w:rsidRPr="00E10B6E">
        <w:rPr>
          <w:rFonts w:ascii="Calibri" w:hAnsi="Calibri" w:cs="Calibri"/>
          <w:noProof/>
          <w:szCs w:val="24"/>
        </w:rPr>
        <w:t>. https://circulareconomy.europa.eu/platform/en/knowledge/el-dorado-chemical-recycling-state-play-and-policy-challenges</w:t>
      </w:r>
    </w:p>
    <w:p w14:paraId="2D08656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Zhang, J., Zhang, H. H., He, Y. L., &amp; Tao, W. Q. (2016). A comprehensive review on advances and applications of industrial heat pumps based on the practices in China. </w:t>
      </w:r>
      <w:r w:rsidRPr="00E10B6E">
        <w:rPr>
          <w:rFonts w:ascii="Calibri" w:hAnsi="Calibri" w:cs="Calibri"/>
          <w:i/>
          <w:iCs/>
          <w:noProof/>
          <w:szCs w:val="24"/>
        </w:rPr>
        <w:t>Applied Energy</w:t>
      </w:r>
      <w:r w:rsidRPr="00E10B6E">
        <w:rPr>
          <w:rFonts w:ascii="Calibri" w:hAnsi="Calibri" w:cs="Calibri"/>
          <w:noProof/>
          <w:szCs w:val="24"/>
        </w:rPr>
        <w:t xml:space="preserve">, </w:t>
      </w:r>
      <w:r w:rsidRPr="00E10B6E">
        <w:rPr>
          <w:rFonts w:ascii="Calibri" w:hAnsi="Calibri" w:cs="Calibri"/>
          <w:i/>
          <w:iCs/>
          <w:noProof/>
          <w:szCs w:val="24"/>
        </w:rPr>
        <w:t>178</w:t>
      </w:r>
      <w:r w:rsidRPr="00E10B6E">
        <w:rPr>
          <w:rFonts w:ascii="Calibri" w:hAnsi="Calibri" w:cs="Calibri"/>
          <w:noProof/>
          <w:szCs w:val="24"/>
        </w:rPr>
        <w:t>, 800–825. https://doi.org/10.1016/j.apenergy.2016.06.049</w:t>
      </w:r>
    </w:p>
    <w:p w14:paraId="3628048E"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E10B6E">
        <w:rPr>
          <w:rFonts w:ascii="Calibri" w:hAnsi="Calibri" w:cs="Calibri"/>
          <w:noProof/>
          <w:szCs w:val="24"/>
        </w:rPr>
        <w:t xml:space="preserve">Zhang, M., &amp; Yu, Y. (2013). Dehydration of ethanol to ethylene. </w:t>
      </w:r>
      <w:r w:rsidRPr="00E10B6E">
        <w:rPr>
          <w:rFonts w:ascii="Calibri" w:hAnsi="Calibri" w:cs="Calibri"/>
          <w:i/>
          <w:iCs/>
          <w:noProof/>
          <w:szCs w:val="24"/>
        </w:rPr>
        <w:t>Industrial and Engineering Chemistry Research</w:t>
      </w:r>
      <w:r w:rsidRPr="00E10B6E">
        <w:rPr>
          <w:rFonts w:ascii="Calibri" w:hAnsi="Calibri" w:cs="Calibri"/>
          <w:noProof/>
          <w:szCs w:val="24"/>
        </w:rPr>
        <w:t xml:space="preserve">, </w:t>
      </w:r>
      <w:r w:rsidRPr="00E10B6E">
        <w:rPr>
          <w:rFonts w:ascii="Calibri" w:hAnsi="Calibri" w:cs="Calibri"/>
          <w:i/>
          <w:iCs/>
          <w:noProof/>
          <w:szCs w:val="24"/>
        </w:rPr>
        <w:t>52</w:t>
      </w:r>
      <w:r w:rsidRPr="00E10B6E">
        <w:rPr>
          <w:rFonts w:ascii="Calibri" w:hAnsi="Calibri" w:cs="Calibri"/>
          <w:noProof/>
          <w:szCs w:val="24"/>
        </w:rPr>
        <w:t>(28), 9505–9514. https://doi.org/10.1021/ie401157c</w:t>
      </w:r>
    </w:p>
    <w:p w14:paraId="38437C06"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szCs w:val="24"/>
        </w:rPr>
      </w:pPr>
      <w:r w:rsidRPr="00983F73">
        <w:rPr>
          <w:rFonts w:ascii="Calibri" w:hAnsi="Calibri" w:cs="Calibri"/>
          <w:noProof/>
          <w:szCs w:val="24"/>
          <w:lang w:val="it-IT"/>
        </w:rPr>
        <w:t xml:space="preserve">Zhao, Y. B., Lv, X. D., &amp; Ni, H. G. (2018). </w:t>
      </w:r>
      <w:r w:rsidRPr="00E10B6E">
        <w:rPr>
          <w:rFonts w:ascii="Calibri" w:hAnsi="Calibri" w:cs="Calibri"/>
          <w:noProof/>
          <w:szCs w:val="24"/>
        </w:rPr>
        <w:t xml:space="preserve">Solvent-based separation and recycling of waste plastics: A review. </w:t>
      </w:r>
      <w:r w:rsidRPr="00E10B6E">
        <w:rPr>
          <w:rFonts w:ascii="Calibri" w:hAnsi="Calibri" w:cs="Calibri"/>
          <w:i/>
          <w:iCs/>
          <w:noProof/>
          <w:szCs w:val="24"/>
        </w:rPr>
        <w:t>Chemosphere</w:t>
      </w:r>
      <w:r w:rsidRPr="00E10B6E">
        <w:rPr>
          <w:rFonts w:ascii="Calibri" w:hAnsi="Calibri" w:cs="Calibri"/>
          <w:noProof/>
          <w:szCs w:val="24"/>
        </w:rPr>
        <w:t xml:space="preserve">, </w:t>
      </w:r>
      <w:r w:rsidRPr="00E10B6E">
        <w:rPr>
          <w:rFonts w:ascii="Calibri" w:hAnsi="Calibri" w:cs="Calibri"/>
          <w:i/>
          <w:iCs/>
          <w:noProof/>
          <w:szCs w:val="24"/>
        </w:rPr>
        <w:t>209</w:t>
      </w:r>
      <w:r w:rsidRPr="00E10B6E">
        <w:rPr>
          <w:rFonts w:ascii="Calibri" w:hAnsi="Calibri" w:cs="Calibri"/>
          <w:noProof/>
          <w:szCs w:val="24"/>
        </w:rPr>
        <w:t>, 707–720. https://doi.org/10.1016/j.chemosphere.2018.06.095</w:t>
      </w:r>
    </w:p>
    <w:p w14:paraId="0FF9D41D" w14:textId="77777777" w:rsidR="007A2905" w:rsidRPr="00E10B6E" w:rsidRDefault="007A2905" w:rsidP="007A2905">
      <w:pPr>
        <w:widowControl w:val="0"/>
        <w:autoSpaceDE w:val="0"/>
        <w:autoSpaceDN w:val="0"/>
        <w:adjustRightInd w:val="0"/>
        <w:spacing w:line="240" w:lineRule="auto"/>
        <w:ind w:left="480" w:hanging="480"/>
        <w:rPr>
          <w:rFonts w:ascii="Calibri" w:hAnsi="Calibri" w:cs="Calibri"/>
          <w:noProof/>
        </w:rPr>
      </w:pPr>
      <w:r w:rsidRPr="00E10B6E">
        <w:rPr>
          <w:rFonts w:ascii="Calibri" w:hAnsi="Calibri" w:cs="Calibri"/>
          <w:noProof/>
          <w:szCs w:val="24"/>
        </w:rPr>
        <w:t xml:space="preserve">Zhu, X., Guo, Z., Cen, W., &amp; Mao, B. (2011). Ethylene polymerization using improved polyethylene catalyst. </w:t>
      </w:r>
      <w:r w:rsidRPr="00E10B6E">
        <w:rPr>
          <w:rFonts w:ascii="Calibri" w:hAnsi="Calibri" w:cs="Calibri"/>
          <w:i/>
          <w:iCs/>
          <w:noProof/>
          <w:szCs w:val="24"/>
        </w:rPr>
        <w:t>Chinese Journal of Chemical Engineering</w:t>
      </w:r>
      <w:r w:rsidRPr="00E10B6E">
        <w:rPr>
          <w:rFonts w:ascii="Calibri" w:hAnsi="Calibri" w:cs="Calibri"/>
          <w:noProof/>
          <w:szCs w:val="24"/>
        </w:rPr>
        <w:t xml:space="preserve">, </w:t>
      </w:r>
      <w:r w:rsidRPr="00E10B6E">
        <w:rPr>
          <w:rFonts w:ascii="Calibri" w:hAnsi="Calibri" w:cs="Calibri"/>
          <w:i/>
          <w:iCs/>
          <w:noProof/>
          <w:szCs w:val="24"/>
        </w:rPr>
        <w:t>19</w:t>
      </w:r>
      <w:r w:rsidRPr="00E10B6E">
        <w:rPr>
          <w:rFonts w:ascii="Calibri" w:hAnsi="Calibri" w:cs="Calibri"/>
          <w:noProof/>
          <w:szCs w:val="24"/>
        </w:rPr>
        <w:t>(1), 52–56. https://doi.org/10.1016/S1004-9541(09)60176-2</w:t>
      </w:r>
    </w:p>
    <w:p w14:paraId="044598D4" w14:textId="56737858" w:rsidR="000B02A2" w:rsidRPr="00E10B6E" w:rsidRDefault="00C2375F">
      <w:pPr>
        <w:rPr>
          <w:b/>
          <w:bCs/>
        </w:rPr>
      </w:pPr>
      <w:r w:rsidRPr="00E10B6E">
        <w:rPr>
          <w:b/>
          <w:bCs/>
        </w:rPr>
        <w:fldChar w:fldCharType="end"/>
      </w:r>
    </w:p>
    <w:p w14:paraId="0CF14A3E" w14:textId="4D25266D" w:rsidR="00522B51" w:rsidRPr="00E10B6E" w:rsidRDefault="00522B51" w:rsidP="00522B51">
      <w:pPr>
        <w:rPr>
          <w:rFonts w:asciiTheme="majorHAnsi" w:eastAsiaTheme="majorEastAsia" w:hAnsiTheme="majorHAnsi" w:cstheme="majorBidi"/>
          <w:color w:val="2F5496" w:themeColor="accent1" w:themeShade="BF"/>
          <w:sz w:val="32"/>
          <w:szCs w:val="32"/>
        </w:rPr>
      </w:pPr>
    </w:p>
    <w:sectPr w:rsidR="00522B51" w:rsidRPr="00E10B6E" w:rsidSect="00061611">
      <w:footerReference w:type="default" r:id="rId82"/>
      <w:pgSz w:w="11906" w:h="16838"/>
      <w:pgMar w:top="1418" w:right="1418" w:bottom="1418" w:left="1418"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3D2D1" w14:textId="77777777" w:rsidR="00722F9A" w:rsidRDefault="00722F9A" w:rsidP="00865BF3">
      <w:pPr>
        <w:spacing w:after="0" w:line="240" w:lineRule="auto"/>
      </w:pPr>
      <w:r>
        <w:separator/>
      </w:r>
    </w:p>
  </w:endnote>
  <w:endnote w:type="continuationSeparator" w:id="0">
    <w:p w14:paraId="4EB32102" w14:textId="77777777" w:rsidR="00722F9A" w:rsidRDefault="00722F9A" w:rsidP="00865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040157"/>
      <w:docPartObj>
        <w:docPartGallery w:val="Page Numbers (Bottom of Page)"/>
        <w:docPartUnique/>
      </w:docPartObj>
    </w:sdtPr>
    <w:sdtEndPr>
      <w:rPr>
        <w:noProof/>
      </w:rPr>
    </w:sdtEndPr>
    <w:sdtContent>
      <w:p w14:paraId="003A821D" w14:textId="52C0577E" w:rsidR="00983F73" w:rsidRDefault="00983F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08777D" w14:textId="77777777" w:rsidR="00983F73" w:rsidRDefault="00983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D6F2D" w14:textId="77777777" w:rsidR="00722F9A" w:rsidRDefault="00722F9A" w:rsidP="00865BF3">
      <w:pPr>
        <w:spacing w:after="0" w:line="240" w:lineRule="auto"/>
      </w:pPr>
      <w:r>
        <w:separator/>
      </w:r>
    </w:p>
  </w:footnote>
  <w:footnote w:type="continuationSeparator" w:id="0">
    <w:p w14:paraId="2BC54F8B" w14:textId="77777777" w:rsidR="00722F9A" w:rsidRDefault="00722F9A" w:rsidP="00865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7EAF"/>
    <w:multiLevelType w:val="hybridMultilevel"/>
    <w:tmpl w:val="11CAC7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E47E66"/>
    <w:multiLevelType w:val="hybridMultilevel"/>
    <w:tmpl w:val="7352AF9A"/>
    <w:lvl w:ilvl="0" w:tplc="4A8AF18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70BA1"/>
    <w:multiLevelType w:val="hybridMultilevel"/>
    <w:tmpl w:val="AFBAE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87B60"/>
    <w:multiLevelType w:val="hybridMultilevel"/>
    <w:tmpl w:val="11CAC7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706E5"/>
    <w:multiLevelType w:val="hybridMultilevel"/>
    <w:tmpl w:val="6F3E141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12D82E1F"/>
    <w:multiLevelType w:val="hybridMultilevel"/>
    <w:tmpl w:val="AB54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84217"/>
    <w:multiLevelType w:val="hybridMultilevel"/>
    <w:tmpl w:val="6F0CA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093905"/>
    <w:multiLevelType w:val="hybridMultilevel"/>
    <w:tmpl w:val="80A6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34EF6"/>
    <w:multiLevelType w:val="hybridMultilevel"/>
    <w:tmpl w:val="6F0CA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785858"/>
    <w:multiLevelType w:val="hybridMultilevel"/>
    <w:tmpl w:val="8064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75C36"/>
    <w:multiLevelType w:val="hybridMultilevel"/>
    <w:tmpl w:val="A97C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56E3A"/>
    <w:multiLevelType w:val="hybridMultilevel"/>
    <w:tmpl w:val="0A7C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16759"/>
    <w:multiLevelType w:val="hybridMultilevel"/>
    <w:tmpl w:val="FC30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B3709"/>
    <w:multiLevelType w:val="hybridMultilevel"/>
    <w:tmpl w:val="18DC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72029"/>
    <w:multiLevelType w:val="hybridMultilevel"/>
    <w:tmpl w:val="BFF24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7225A9"/>
    <w:multiLevelType w:val="hybridMultilevel"/>
    <w:tmpl w:val="1230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40604"/>
    <w:multiLevelType w:val="hybridMultilevel"/>
    <w:tmpl w:val="F5B2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804077"/>
    <w:multiLevelType w:val="hybridMultilevel"/>
    <w:tmpl w:val="BC12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94B08"/>
    <w:multiLevelType w:val="hybridMultilevel"/>
    <w:tmpl w:val="64A2E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529AE"/>
    <w:multiLevelType w:val="hybridMultilevel"/>
    <w:tmpl w:val="36C6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B61F6"/>
    <w:multiLevelType w:val="hybridMultilevel"/>
    <w:tmpl w:val="DB94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633FD"/>
    <w:multiLevelType w:val="hybridMultilevel"/>
    <w:tmpl w:val="67E4187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73F12473"/>
    <w:multiLevelType w:val="hybridMultilevel"/>
    <w:tmpl w:val="6F0CA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806510"/>
    <w:multiLevelType w:val="hybridMultilevel"/>
    <w:tmpl w:val="E5D0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0454B"/>
    <w:multiLevelType w:val="hybridMultilevel"/>
    <w:tmpl w:val="2550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74E9B"/>
    <w:multiLevelType w:val="hybridMultilevel"/>
    <w:tmpl w:val="9DD2E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5"/>
  </w:num>
  <w:num w:numId="4">
    <w:abstractNumId w:val="16"/>
  </w:num>
  <w:num w:numId="5">
    <w:abstractNumId w:val="9"/>
  </w:num>
  <w:num w:numId="6">
    <w:abstractNumId w:val="24"/>
  </w:num>
  <w:num w:numId="7">
    <w:abstractNumId w:val="0"/>
  </w:num>
  <w:num w:numId="8">
    <w:abstractNumId w:val="11"/>
  </w:num>
  <w:num w:numId="9">
    <w:abstractNumId w:val="3"/>
  </w:num>
  <w:num w:numId="10">
    <w:abstractNumId w:val="20"/>
  </w:num>
  <w:num w:numId="11">
    <w:abstractNumId w:val="7"/>
  </w:num>
  <w:num w:numId="12">
    <w:abstractNumId w:val="17"/>
  </w:num>
  <w:num w:numId="13">
    <w:abstractNumId w:val="13"/>
  </w:num>
  <w:num w:numId="14">
    <w:abstractNumId w:val="6"/>
  </w:num>
  <w:num w:numId="15">
    <w:abstractNumId w:val="22"/>
  </w:num>
  <w:num w:numId="16">
    <w:abstractNumId w:val="18"/>
  </w:num>
  <w:num w:numId="17">
    <w:abstractNumId w:val="8"/>
  </w:num>
  <w:num w:numId="18">
    <w:abstractNumId w:val="19"/>
  </w:num>
  <w:num w:numId="19">
    <w:abstractNumId w:val="23"/>
  </w:num>
  <w:num w:numId="20">
    <w:abstractNumId w:val="10"/>
  </w:num>
  <w:num w:numId="21">
    <w:abstractNumId w:val="5"/>
  </w:num>
  <w:num w:numId="22">
    <w:abstractNumId w:val="12"/>
  </w:num>
  <w:num w:numId="23">
    <w:abstractNumId w:val="21"/>
  </w:num>
  <w:num w:numId="24">
    <w:abstractNumId w:val="4"/>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wMTI2MLMwMTUwMTJX0lEKTi0uzszPAykwrgUAVaSkXSwAAAA="/>
  </w:docVars>
  <w:rsids>
    <w:rsidRoot w:val="001D43ED"/>
    <w:rsid w:val="00001120"/>
    <w:rsid w:val="00003C6F"/>
    <w:rsid w:val="00004231"/>
    <w:rsid w:val="0000553A"/>
    <w:rsid w:val="00006686"/>
    <w:rsid w:val="00006A21"/>
    <w:rsid w:val="00007CD8"/>
    <w:rsid w:val="0001065C"/>
    <w:rsid w:val="00010E3F"/>
    <w:rsid w:val="000121DD"/>
    <w:rsid w:val="00012E95"/>
    <w:rsid w:val="0001327D"/>
    <w:rsid w:val="000138CF"/>
    <w:rsid w:val="0001407D"/>
    <w:rsid w:val="00016CA3"/>
    <w:rsid w:val="000202CF"/>
    <w:rsid w:val="000204E4"/>
    <w:rsid w:val="000213A8"/>
    <w:rsid w:val="00022476"/>
    <w:rsid w:val="000258CF"/>
    <w:rsid w:val="00025982"/>
    <w:rsid w:val="000272F3"/>
    <w:rsid w:val="00031A71"/>
    <w:rsid w:val="000344D3"/>
    <w:rsid w:val="000368E0"/>
    <w:rsid w:val="00041D6B"/>
    <w:rsid w:val="00044FE5"/>
    <w:rsid w:val="00047D28"/>
    <w:rsid w:val="00051302"/>
    <w:rsid w:val="00052220"/>
    <w:rsid w:val="00052438"/>
    <w:rsid w:val="000541C3"/>
    <w:rsid w:val="00055B11"/>
    <w:rsid w:val="00055FB8"/>
    <w:rsid w:val="00056E00"/>
    <w:rsid w:val="00056F35"/>
    <w:rsid w:val="0005783F"/>
    <w:rsid w:val="00057942"/>
    <w:rsid w:val="00057F06"/>
    <w:rsid w:val="00057FCA"/>
    <w:rsid w:val="00061611"/>
    <w:rsid w:val="00062E0C"/>
    <w:rsid w:val="00062F8A"/>
    <w:rsid w:val="00063403"/>
    <w:rsid w:val="000648BA"/>
    <w:rsid w:val="00066018"/>
    <w:rsid w:val="00067E70"/>
    <w:rsid w:val="00070B98"/>
    <w:rsid w:val="00071DFA"/>
    <w:rsid w:val="00071EF8"/>
    <w:rsid w:val="00073119"/>
    <w:rsid w:val="00074028"/>
    <w:rsid w:val="000762E9"/>
    <w:rsid w:val="000768EA"/>
    <w:rsid w:val="0008046E"/>
    <w:rsid w:val="00082463"/>
    <w:rsid w:val="00082500"/>
    <w:rsid w:val="00082678"/>
    <w:rsid w:val="000827A8"/>
    <w:rsid w:val="0008380B"/>
    <w:rsid w:val="000842E5"/>
    <w:rsid w:val="00084AF8"/>
    <w:rsid w:val="000858A6"/>
    <w:rsid w:val="00085963"/>
    <w:rsid w:val="00085BD5"/>
    <w:rsid w:val="000902B0"/>
    <w:rsid w:val="000914DD"/>
    <w:rsid w:val="000919E4"/>
    <w:rsid w:val="00091D19"/>
    <w:rsid w:val="00092D7F"/>
    <w:rsid w:val="000948E6"/>
    <w:rsid w:val="00095200"/>
    <w:rsid w:val="00096CE8"/>
    <w:rsid w:val="000972C3"/>
    <w:rsid w:val="000977E2"/>
    <w:rsid w:val="000A08B1"/>
    <w:rsid w:val="000A0B5C"/>
    <w:rsid w:val="000A14F1"/>
    <w:rsid w:val="000A1F59"/>
    <w:rsid w:val="000A2223"/>
    <w:rsid w:val="000A2963"/>
    <w:rsid w:val="000A4C7F"/>
    <w:rsid w:val="000A4CE4"/>
    <w:rsid w:val="000A5B70"/>
    <w:rsid w:val="000A655B"/>
    <w:rsid w:val="000A764C"/>
    <w:rsid w:val="000B02A2"/>
    <w:rsid w:val="000B0ABD"/>
    <w:rsid w:val="000B0BFB"/>
    <w:rsid w:val="000B3756"/>
    <w:rsid w:val="000B3838"/>
    <w:rsid w:val="000B5473"/>
    <w:rsid w:val="000B5B08"/>
    <w:rsid w:val="000B6118"/>
    <w:rsid w:val="000B6D69"/>
    <w:rsid w:val="000B7BE0"/>
    <w:rsid w:val="000B7C74"/>
    <w:rsid w:val="000C1663"/>
    <w:rsid w:val="000C2A18"/>
    <w:rsid w:val="000C5A19"/>
    <w:rsid w:val="000C5B86"/>
    <w:rsid w:val="000C5FE8"/>
    <w:rsid w:val="000C6423"/>
    <w:rsid w:val="000D07EA"/>
    <w:rsid w:val="000D1CB6"/>
    <w:rsid w:val="000D213E"/>
    <w:rsid w:val="000D3B3F"/>
    <w:rsid w:val="000D41E0"/>
    <w:rsid w:val="000D4D7E"/>
    <w:rsid w:val="000D55F1"/>
    <w:rsid w:val="000D629F"/>
    <w:rsid w:val="000D6FE0"/>
    <w:rsid w:val="000D70BF"/>
    <w:rsid w:val="000D77CF"/>
    <w:rsid w:val="000E10CB"/>
    <w:rsid w:val="000F1381"/>
    <w:rsid w:val="000F30AE"/>
    <w:rsid w:val="000F4EE7"/>
    <w:rsid w:val="000F6B36"/>
    <w:rsid w:val="000F7786"/>
    <w:rsid w:val="000F7C7D"/>
    <w:rsid w:val="000F7D73"/>
    <w:rsid w:val="00100CAA"/>
    <w:rsid w:val="0010119B"/>
    <w:rsid w:val="0010407F"/>
    <w:rsid w:val="00106A3D"/>
    <w:rsid w:val="00110E92"/>
    <w:rsid w:val="00112255"/>
    <w:rsid w:val="00113D85"/>
    <w:rsid w:val="001208FE"/>
    <w:rsid w:val="00122202"/>
    <w:rsid w:val="00123B37"/>
    <w:rsid w:val="00124396"/>
    <w:rsid w:val="00124D27"/>
    <w:rsid w:val="00126729"/>
    <w:rsid w:val="00127FDC"/>
    <w:rsid w:val="00130C0D"/>
    <w:rsid w:val="0013118B"/>
    <w:rsid w:val="0013159F"/>
    <w:rsid w:val="00134464"/>
    <w:rsid w:val="001352D2"/>
    <w:rsid w:val="001369D7"/>
    <w:rsid w:val="00136CAF"/>
    <w:rsid w:val="0013755C"/>
    <w:rsid w:val="00137C94"/>
    <w:rsid w:val="0014069B"/>
    <w:rsid w:val="00140E46"/>
    <w:rsid w:val="0014156C"/>
    <w:rsid w:val="0014199C"/>
    <w:rsid w:val="00141E6A"/>
    <w:rsid w:val="00143BCE"/>
    <w:rsid w:val="001440E0"/>
    <w:rsid w:val="00144998"/>
    <w:rsid w:val="00145295"/>
    <w:rsid w:val="001452DE"/>
    <w:rsid w:val="001462B3"/>
    <w:rsid w:val="001471A9"/>
    <w:rsid w:val="001471D5"/>
    <w:rsid w:val="001501D6"/>
    <w:rsid w:val="001516F9"/>
    <w:rsid w:val="00152539"/>
    <w:rsid w:val="00152D01"/>
    <w:rsid w:val="0015424F"/>
    <w:rsid w:val="00154C32"/>
    <w:rsid w:val="00155381"/>
    <w:rsid w:val="00156C1C"/>
    <w:rsid w:val="001579F7"/>
    <w:rsid w:val="00160349"/>
    <w:rsid w:val="00160B51"/>
    <w:rsid w:val="001625BD"/>
    <w:rsid w:val="0016295B"/>
    <w:rsid w:val="00162B63"/>
    <w:rsid w:val="00163127"/>
    <w:rsid w:val="001637FB"/>
    <w:rsid w:val="00164124"/>
    <w:rsid w:val="00164732"/>
    <w:rsid w:val="0016772D"/>
    <w:rsid w:val="0017050E"/>
    <w:rsid w:val="001724C8"/>
    <w:rsid w:val="00172DC0"/>
    <w:rsid w:val="0017400F"/>
    <w:rsid w:val="0017426D"/>
    <w:rsid w:val="0017657C"/>
    <w:rsid w:val="00177EC0"/>
    <w:rsid w:val="001810D8"/>
    <w:rsid w:val="00181970"/>
    <w:rsid w:val="00182470"/>
    <w:rsid w:val="001833F3"/>
    <w:rsid w:val="00183ACD"/>
    <w:rsid w:val="00183E4E"/>
    <w:rsid w:val="00183E6D"/>
    <w:rsid w:val="001847E9"/>
    <w:rsid w:val="00186880"/>
    <w:rsid w:val="00190F03"/>
    <w:rsid w:val="001915F0"/>
    <w:rsid w:val="00193AEE"/>
    <w:rsid w:val="001952AE"/>
    <w:rsid w:val="00196B07"/>
    <w:rsid w:val="001A1A17"/>
    <w:rsid w:val="001A2880"/>
    <w:rsid w:val="001A44D9"/>
    <w:rsid w:val="001A5597"/>
    <w:rsid w:val="001A6DA1"/>
    <w:rsid w:val="001B0251"/>
    <w:rsid w:val="001B395D"/>
    <w:rsid w:val="001B413C"/>
    <w:rsid w:val="001B484B"/>
    <w:rsid w:val="001B566D"/>
    <w:rsid w:val="001B6155"/>
    <w:rsid w:val="001B6282"/>
    <w:rsid w:val="001B747E"/>
    <w:rsid w:val="001C12BE"/>
    <w:rsid w:val="001C134A"/>
    <w:rsid w:val="001C17A1"/>
    <w:rsid w:val="001C1D78"/>
    <w:rsid w:val="001C4216"/>
    <w:rsid w:val="001C5920"/>
    <w:rsid w:val="001C5B65"/>
    <w:rsid w:val="001D01E3"/>
    <w:rsid w:val="001D0C7F"/>
    <w:rsid w:val="001D335B"/>
    <w:rsid w:val="001D43ED"/>
    <w:rsid w:val="001D6F55"/>
    <w:rsid w:val="001D7A7C"/>
    <w:rsid w:val="001E0905"/>
    <w:rsid w:val="001E0A16"/>
    <w:rsid w:val="001E10BA"/>
    <w:rsid w:val="001E1895"/>
    <w:rsid w:val="001E4313"/>
    <w:rsid w:val="001E5099"/>
    <w:rsid w:val="001E5735"/>
    <w:rsid w:val="001E5781"/>
    <w:rsid w:val="001F0312"/>
    <w:rsid w:val="001F084B"/>
    <w:rsid w:val="001F0E0E"/>
    <w:rsid w:val="001F0FE3"/>
    <w:rsid w:val="001F18C9"/>
    <w:rsid w:val="001F1BB0"/>
    <w:rsid w:val="001F2247"/>
    <w:rsid w:val="001F7604"/>
    <w:rsid w:val="002001D6"/>
    <w:rsid w:val="002015F7"/>
    <w:rsid w:val="002031EA"/>
    <w:rsid w:val="002060F7"/>
    <w:rsid w:val="00207305"/>
    <w:rsid w:val="0020739A"/>
    <w:rsid w:val="00210093"/>
    <w:rsid w:val="00210744"/>
    <w:rsid w:val="00210C0E"/>
    <w:rsid w:val="00211CB5"/>
    <w:rsid w:val="002125CE"/>
    <w:rsid w:val="00213C76"/>
    <w:rsid w:val="00213FD5"/>
    <w:rsid w:val="0021411D"/>
    <w:rsid w:val="00216071"/>
    <w:rsid w:val="0022032A"/>
    <w:rsid w:val="002214CD"/>
    <w:rsid w:val="00221B3F"/>
    <w:rsid w:val="00223CD6"/>
    <w:rsid w:val="00224209"/>
    <w:rsid w:val="00225365"/>
    <w:rsid w:val="00225EE5"/>
    <w:rsid w:val="002326F1"/>
    <w:rsid w:val="00232AAD"/>
    <w:rsid w:val="0024304D"/>
    <w:rsid w:val="002436C3"/>
    <w:rsid w:val="002457A5"/>
    <w:rsid w:val="00246545"/>
    <w:rsid w:val="002506C7"/>
    <w:rsid w:val="002507DB"/>
    <w:rsid w:val="00251658"/>
    <w:rsid w:val="002527B5"/>
    <w:rsid w:val="00254FD8"/>
    <w:rsid w:val="00255F6C"/>
    <w:rsid w:val="00260827"/>
    <w:rsid w:val="00261159"/>
    <w:rsid w:val="00263EC2"/>
    <w:rsid w:val="00264530"/>
    <w:rsid w:val="00264652"/>
    <w:rsid w:val="00264CFE"/>
    <w:rsid w:val="00266A58"/>
    <w:rsid w:val="002705D7"/>
    <w:rsid w:val="0027492D"/>
    <w:rsid w:val="0027496B"/>
    <w:rsid w:val="00274F8B"/>
    <w:rsid w:val="00277086"/>
    <w:rsid w:val="00277415"/>
    <w:rsid w:val="002815DA"/>
    <w:rsid w:val="0028444D"/>
    <w:rsid w:val="0029030A"/>
    <w:rsid w:val="00290348"/>
    <w:rsid w:val="00290CE5"/>
    <w:rsid w:val="002926B5"/>
    <w:rsid w:val="00292E2A"/>
    <w:rsid w:val="00295DE3"/>
    <w:rsid w:val="00296A1A"/>
    <w:rsid w:val="00296BA8"/>
    <w:rsid w:val="002973E9"/>
    <w:rsid w:val="002A1EE8"/>
    <w:rsid w:val="002A23B9"/>
    <w:rsid w:val="002A244B"/>
    <w:rsid w:val="002A2DF3"/>
    <w:rsid w:val="002A6B1A"/>
    <w:rsid w:val="002B0161"/>
    <w:rsid w:val="002B1587"/>
    <w:rsid w:val="002B1CFB"/>
    <w:rsid w:val="002B241F"/>
    <w:rsid w:val="002B37B3"/>
    <w:rsid w:val="002B4365"/>
    <w:rsid w:val="002B4431"/>
    <w:rsid w:val="002B45BD"/>
    <w:rsid w:val="002B55A8"/>
    <w:rsid w:val="002B668B"/>
    <w:rsid w:val="002B707F"/>
    <w:rsid w:val="002B73F5"/>
    <w:rsid w:val="002C0106"/>
    <w:rsid w:val="002C11F3"/>
    <w:rsid w:val="002C140D"/>
    <w:rsid w:val="002C2DFC"/>
    <w:rsid w:val="002C3295"/>
    <w:rsid w:val="002C5711"/>
    <w:rsid w:val="002C5C7E"/>
    <w:rsid w:val="002C688B"/>
    <w:rsid w:val="002C7156"/>
    <w:rsid w:val="002D1D9F"/>
    <w:rsid w:val="002D26CA"/>
    <w:rsid w:val="002D336B"/>
    <w:rsid w:val="002D4373"/>
    <w:rsid w:val="002D553B"/>
    <w:rsid w:val="002D5A0D"/>
    <w:rsid w:val="002D5AE5"/>
    <w:rsid w:val="002D6806"/>
    <w:rsid w:val="002D740B"/>
    <w:rsid w:val="002D7EC7"/>
    <w:rsid w:val="002E0088"/>
    <w:rsid w:val="002E2BEF"/>
    <w:rsid w:val="002E3350"/>
    <w:rsid w:val="002E4C91"/>
    <w:rsid w:val="002E660B"/>
    <w:rsid w:val="002E6AD0"/>
    <w:rsid w:val="002F202D"/>
    <w:rsid w:val="002F22CD"/>
    <w:rsid w:val="002F23C5"/>
    <w:rsid w:val="002F50D4"/>
    <w:rsid w:val="002F54E9"/>
    <w:rsid w:val="00302731"/>
    <w:rsid w:val="00302E72"/>
    <w:rsid w:val="00303E18"/>
    <w:rsid w:val="00306963"/>
    <w:rsid w:val="00311E36"/>
    <w:rsid w:val="003124B1"/>
    <w:rsid w:val="0031429E"/>
    <w:rsid w:val="00315575"/>
    <w:rsid w:val="0031582B"/>
    <w:rsid w:val="00320A81"/>
    <w:rsid w:val="00320D24"/>
    <w:rsid w:val="003231A0"/>
    <w:rsid w:val="00323AA4"/>
    <w:rsid w:val="00323B84"/>
    <w:rsid w:val="00323EAB"/>
    <w:rsid w:val="00325173"/>
    <w:rsid w:val="0033005B"/>
    <w:rsid w:val="00330D2B"/>
    <w:rsid w:val="003311F7"/>
    <w:rsid w:val="003316F0"/>
    <w:rsid w:val="00332609"/>
    <w:rsid w:val="00332E9C"/>
    <w:rsid w:val="0033359A"/>
    <w:rsid w:val="00335834"/>
    <w:rsid w:val="0033612C"/>
    <w:rsid w:val="0034052B"/>
    <w:rsid w:val="003405E4"/>
    <w:rsid w:val="003425CB"/>
    <w:rsid w:val="00343A21"/>
    <w:rsid w:val="00346352"/>
    <w:rsid w:val="00346C15"/>
    <w:rsid w:val="003500DA"/>
    <w:rsid w:val="003511F9"/>
    <w:rsid w:val="00353A9A"/>
    <w:rsid w:val="00354384"/>
    <w:rsid w:val="00355625"/>
    <w:rsid w:val="003556C6"/>
    <w:rsid w:val="00356635"/>
    <w:rsid w:val="00356D71"/>
    <w:rsid w:val="00356E16"/>
    <w:rsid w:val="003573D5"/>
    <w:rsid w:val="00357763"/>
    <w:rsid w:val="0036243A"/>
    <w:rsid w:val="00362F58"/>
    <w:rsid w:val="00363C7D"/>
    <w:rsid w:val="00364069"/>
    <w:rsid w:val="003679D5"/>
    <w:rsid w:val="00371845"/>
    <w:rsid w:val="0037196D"/>
    <w:rsid w:val="00371FB4"/>
    <w:rsid w:val="003721BF"/>
    <w:rsid w:val="0037785E"/>
    <w:rsid w:val="00380B56"/>
    <w:rsid w:val="00381FB3"/>
    <w:rsid w:val="003846F7"/>
    <w:rsid w:val="00384E7B"/>
    <w:rsid w:val="00384E8E"/>
    <w:rsid w:val="003872AC"/>
    <w:rsid w:val="00397AD6"/>
    <w:rsid w:val="003A0AB6"/>
    <w:rsid w:val="003A16D0"/>
    <w:rsid w:val="003A2AF0"/>
    <w:rsid w:val="003A38F9"/>
    <w:rsid w:val="003A5373"/>
    <w:rsid w:val="003A5562"/>
    <w:rsid w:val="003A5B0A"/>
    <w:rsid w:val="003A76DD"/>
    <w:rsid w:val="003B1046"/>
    <w:rsid w:val="003B2222"/>
    <w:rsid w:val="003B2381"/>
    <w:rsid w:val="003B2389"/>
    <w:rsid w:val="003B28FD"/>
    <w:rsid w:val="003B3170"/>
    <w:rsid w:val="003B3AA4"/>
    <w:rsid w:val="003B3B7F"/>
    <w:rsid w:val="003B4187"/>
    <w:rsid w:val="003B5647"/>
    <w:rsid w:val="003B6887"/>
    <w:rsid w:val="003B6DA5"/>
    <w:rsid w:val="003B7B7D"/>
    <w:rsid w:val="003B7C09"/>
    <w:rsid w:val="003C0070"/>
    <w:rsid w:val="003C0E3A"/>
    <w:rsid w:val="003C2CB0"/>
    <w:rsid w:val="003C2E87"/>
    <w:rsid w:val="003C338C"/>
    <w:rsid w:val="003C48B0"/>
    <w:rsid w:val="003C4CDA"/>
    <w:rsid w:val="003C5100"/>
    <w:rsid w:val="003C6646"/>
    <w:rsid w:val="003C6DB7"/>
    <w:rsid w:val="003D0936"/>
    <w:rsid w:val="003D2280"/>
    <w:rsid w:val="003D38B9"/>
    <w:rsid w:val="003D3E8A"/>
    <w:rsid w:val="003D4CF2"/>
    <w:rsid w:val="003D4DB0"/>
    <w:rsid w:val="003D4E96"/>
    <w:rsid w:val="003D502D"/>
    <w:rsid w:val="003D5DDB"/>
    <w:rsid w:val="003D5F07"/>
    <w:rsid w:val="003D6A2B"/>
    <w:rsid w:val="003E3789"/>
    <w:rsid w:val="003E3E53"/>
    <w:rsid w:val="003E41C5"/>
    <w:rsid w:val="003E5D59"/>
    <w:rsid w:val="003E5E94"/>
    <w:rsid w:val="003E6071"/>
    <w:rsid w:val="003E61DF"/>
    <w:rsid w:val="003E64EB"/>
    <w:rsid w:val="003E6EEF"/>
    <w:rsid w:val="003E79F6"/>
    <w:rsid w:val="003F00E9"/>
    <w:rsid w:val="003F113B"/>
    <w:rsid w:val="003F17B2"/>
    <w:rsid w:val="003F1866"/>
    <w:rsid w:val="003F281C"/>
    <w:rsid w:val="003F3B2C"/>
    <w:rsid w:val="003F6B58"/>
    <w:rsid w:val="003F7662"/>
    <w:rsid w:val="003F7C9B"/>
    <w:rsid w:val="004006F0"/>
    <w:rsid w:val="0040183D"/>
    <w:rsid w:val="00401FFA"/>
    <w:rsid w:val="00403B3C"/>
    <w:rsid w:val="00403DFB"/>
    <w:rsid w:val="00404B7E"/>
    <w:rsid w:val="00404F9E"/>
    <w:rsid w:val="00407AA8"/>
    <w:rsid w:val="004100F3"/>
    <w:rsid w:val="00410A69"/>
    <w:rsid w:val="00412692"/>
    <w:rsid w:val="00414267"/>
    <w:rsid w:val="00414519"/>
    <w:rsid w:val="00414F79"/>
    <w:rsid w:val="00415DD0"/>
    <w:rsid w:val="00416521"/>
    <w:rsid w:val="00417F67"/>
    <w:rsid w:val="00420301"/>
    <w:rsid w:val="004203AE"/>
    <w:rsid w:val="0042042D"/>
    <w:rsid w:val="00421593"/>
    <w:rsid w:val="00421C55"/>
    <w:rsid w:val="00422E58"/>
    <w:rsid w:val="00423523"/>
    <w:rsid w:val="004236F5"/>
    <w:rsid w:val="004256F5"/>
    <w:rsid w:val="00426F27"/>
    <w:rsid w:val="004273C5"/>
    <w:rsid w:val="00427AA5"/>
    <w:rsid w:val="00435168"/>
    <w:rsid w:val="00437E60"/>
    <w:rsid w:val="00440172"/>
    <w:rsid w:val="00441CB2"/>
    <w:rsid w:val="00442262"/>
    <w:rsid w:val="004429B0"/>
    <w:rsid w:val="00442D66"/>
    <w:rsid w:val="00445B9B"/>
    <w:rsid w:val="004473E0"/>
    <w:rsid w:val="004501EE"/>
    <w:rsid w:val="0045074B"/>
    <w:rsid w:val="00450962"/>
    <w:rsid w:val="0045255E"/>
    <w:rsid w:val="00453F95"/>
    <w:rsid w:val="00454816"/>
    <w:rsid w:val="00456BE9"/>
    <w:rsid w:val="00457D63"/>
    <w:rsid w:val="0046034A"/>
    <w:rsid w:val="00460560"/>
    <w:rsid w:val="00461FCF"/>
    <w:rsid w:val="0046204E"/>
    <w:rsid w:val="00465927"/>
    <w:rsid w:val="004662F5"/>
    <w:rsid w:val="00467D26"/>
    <w:rsid w:val="004739F3"/>
    <w:rsid w:val="004748A4"/>
    <w:rsid w:val="004763FF"/>
    <w:rsid w:val="00477430"/>
    <w:rsid w:val="004810A3"/>
    <w:rsid w:val="00484F41"/>
    <w:rsid w:val="00487707"/>
    <w:rsid w:val="0049083B"/>
    <w:rsid w:val="0049274A"/>
    <w:rsid w:val="00492FAA"/>
    <w:rsid w:val="0049354B"/>
    <w:rsid w:val="00493927"/>
    <w:rsid w:val="00493EEA"/>
    <w:rsid w:val="004A0329"/>
    <w:rsid w:val="004A0D16"/>
    <w:rsid w:val="004A19B0"/>
    <w:rsid w:val="004A48CE"/>
    <w:rsid w:val="004A4CB1"/>
    <w:rsid w:val="004A4ED2"/>
    <w:rsid w:val="004A75AF"/>
    <w:rsid w:val="004B1C37"/>
    <w:rsid w:val="004B2236"/>
    <w:rsid w:val="004B2AA0"/>
    <w:rsid w:val="004B2CF5"/>
    <w:rsid w:val="004B405C"/>
    <w:rsid w:val="004B4DBB"/>
    <w:rsid w:val="004C009B"/>
    <w:rsid w:val="004C0CDC"/>
    <w:rsid w:val="004C1684"/>
    <w:rsid w:val="004C1747"/>
    <w:rsid w:val="004C397D"/>
    <w:rsid w:val="004C680A"/>
    <w:rsid w:val="004D0BC9"/>
    <w:rsid w:val="004D13C6"/>
    <w:rsid w:val="004D27A8"/>
    <w:rsid w:val="004D2A88"/>
    <w:rsid w:val="004D2DFA"/>
    <w:rsid w:val="004D498E"/>
    <w:rsid w:val="004D4F10"/>
    <w:rsid w:val="004D63D6"/>
    <w:rsid w:val="004D6571"/>
    <w:rsid w:val="004D67A8"/>
    <w:rsid w:val="004D6CAE"/>
    <w:rsid w:val="004D79B4"/>
    <w:rsid w:val="004D7B2A"/>
    <w:rsid w:val="004E08D5"/>
    <w:rsid w:val="004E1FCC"/>
    <w:rsid w:val="004E2E26"/>
    <w:rsid w:val="004E44B7"/>
    <w:rsid w:val="004E487E"/>
    <w:rsid w:val="004E53E2"/>
    <w:rsid w:val="004E5D90"/>
    <w:rsid w:val="004E70C5"/>
    <w:rsid w:val="004F0641"/>
    <w:rsid w:val="004F1B40"/>
    <w:rsid w:val="004F1F15"/>
    <w:rsid w:val="004F3C56"/>
    <w:rsid w:val="004F5F79"/>
    <w:rsid w:val="0050020D"/>
    <w:rsid w:val="005051D7"/>
    <w:rsid w:val="005060C0"/>
    <w:rsid w:val="005074F0"/>
    <w:rsid w:val="00507D1F"/>
    <w:rsid w:val="00511753"/>
    <w:rsid w:val="00512009"/>
    <w:rsid w:val="00513648"/>
    <w:rsid w:val="005138EF"/>
    <w:rsid w:val="00513980"/>
    <w:rsid w:val="005147D2"/>
    <w:rsid w:val="00515EA0"/>
    <w:rsid w:val="005176CA"/>
    <w:rsid w:val="00521658"/>
    <w:rsid w:val="00522117"/>
    <w:rsid w:val="00522B51"/>
    <w:rsid w:val="00522DB2"/>
    <w:rsid w:val="00523C94"/>
    <w:rsid w:val="00524B82"/>
    <w:rsid w:val="0052506F"/>
    <w:rsid w:val="00525BD3"/>
    <w:rsid w:val="00527930"/>
    <w:rsid w:val="00531182"/>
    <w:rsid w:val="005311E7"/>
    <w:rsid w:val="0053311D"/>
    <w:rsid w:val="0053357D"/>
    <w:rsid w:val="00540AF0"/>
    <w:rsid w:val="00540F02"/>
    <w:rsid w:val="005423C3"/>
    <w:rsid w:val="00543037"/>
    <w:rsid w:val="00543257"/>
    <w:rsid w:val="00544B54"/>
    <w:rsid w:val="00547CAE"/>
    <w:rsid w:val="00555BAA"/>
    <w:rsid w:val="005572D3"/>
    <w:rsid w:val="005574AE"/>
    <w:rsid w:val="00560988"/>
    <w:rsid w:val="00560B04"/>
    <w:rsid w:val="00561692"/>
    <w:rsid w:val="00563142"/>
    <w:rsid w:val="0056316A"/>
    <w:rsid w:val="00563B72"/>
    <w:rsid w:val="00565CCF"/>
    <w:rsid w:val="00566D2C"/>
    <w:rsid w:val="0057046C"/>
    <w:rsid w:val="005724B8"/>
    <w:rsid w:val="00574403"/>
    <w:rsid w:val="00574A89"/>
    <w:rsid w:val="00575D3D"/>
    <w:rsid w:val="005760E8"/>
    <w:rsid w:val="00580154"/>
    <w:rsid w:val="005820E7"/>
    <w:rsid w:val="005822B4"/>
    <w:rsid w:val="00582CAE"/>
    <w:rsid w:val="005838C0"/>
    <w:rsid w:val="00584724"/>
    <w:rsid w:val="00585BB1"/>
    <w:rsid w:val="00587D84"/>
    <w:rsid w:val="0059026D"/>
    <w:rsid w:val="00590387"/>
    <w:rsid w:val="0059402A"/>
    <w:rsid w:val="005942E0"/>
    <w:rsid w:val="00594732"/>
    <w:rsid w:val="00594F27"/>
    <w:rsid w:val="005A0561"/>
    <w:rsid w:val="005A1BE5"/>
    <w:rsid w:val="005A2403"/>
    <w:rsid w:val="005A2CDA"/>
    <w:rsid w:val="005A38AD"/>
    <w:rsid w:val="005A4B50"/>
    <w:rsid w:val="005A58AB"/>
    <w:rsid w:val="005A5F93"/>
    <w:rsid w:val="005B048C"/>
    <w:rsid w:val="005B0669"/>
    <w:rsid w:val="005B138F"/>
    <w:rsid w:val="005B27DD"/>
    <w:rsid w:val="005B4BE2"/>
    <w:rsid w:val="005B54C9"/>
    <w:rsid w:val="005B6EAD"/>
    <w:rsid w:val="005B7483"/>
    <w:rsid w:val="005B762C"/>
    <w:rsid w:val="005C0218"/>
    <w:rsid w:val="005C0CBC"/>
    <w:rsid w:val="005C1E69"/>
    <w:rsid w:val="005C33E3"/>
    <w:rsid w:val="005C5377"/>
    <w:rsid w:val="005C564B"/>
    <w:rsid w:val="005C5A88"/>
    <w:rsid w:val="005C715A"/>
    <w:rsid w:val="005D0E16"/>
    <w:rsid w:val="005D1733"/>
    <w:rsid w:val="005D17B5"/>
    <w:rsid w:val="005D3056"/>
    <w:rsid w:val="005D36A4"/>
    <w:rsid w:val="005D4AC6"/>
    <w:rsid w:val="005D51A9"/>
    <w:rsid w:val="005E24BF"/>
    <w:rsid w:val="005E4198"/>
    <w:rsid w:val="005E4C9D"/>
    <w:rsid w:val="005F0C41"/>
    <w:rsid w:val="005F3019"/>
    <w:rsid w:val="005F45D6"/>
    <w:rsid w:val="005F5686"/>
    <w:rsid w:val="005F7F1D"/>
    <w:rsid w:val="005F7F3D"/>
    <w:rsid w:val="0060150B"/>
    <w:rsid w:val="0060259D"/>
    <w:rsid w:val="00602F27"/>
    <w:rsid w:val="0060373E"/>
    <w:rsid w:val="006053FF"/>
    <w:rsid w:val="0061022C"/>
    <w:rsid w:val="00612DEA"/>
    <w:rsid w:val="00613E0F"/>
    <w:rsid w:val="00614AAF"/>
    <w:rsid w:val="00614EBF"/>
    <w:rsid w:val="0061518F"/>
    <w:rsid w:val="006163B0"/>
    <w:rsid w:val="006171D0"/>
    <w:rsid w:val="00617693"/>
    <w:rsid w:val="00617943"/>
    <w:rsid w:val="00617A39"/>
    <w:rsid w:val="0062230D"/>
    <w:rsid w:val="0062280F"/>
    <w:rsid w:val="00623167"/>
    <w:rsid w:val="00623E79"/>
    <w:rsid w:val="00624872"/>
    <w:rsid w:val="0062521B"/>
    <w:rsid w:val="006325A9"/>
    <w:rsid w:val="006345F1"/>
    <w:rsid w:val="00637333"/>
    <w:rsid w:val="00637B26"/>
    <w:rsid w:val="00641562"/>
    <w:rsid w:val="0064554D"/>
    <w:rsid w:val="00646CB0"/>
    <w:rsid w:val="0065096B"/>
    <w:rsid w:val="00652F26"/>
    <w:rsid w:val="00653292"/>
    <w:rsid w:val="006540C7"/>
    <w:rsid w:val="006550BC"/>
    <w:rsid w:val="0065588B"/>
    <w:rsid w:val="00655DE4"/>
    <w:rsid w:val="00657AEB"/>
    <w:rsid w:val="00661992"/>
    <w:rsid w:val="00663ACC"/>
    <w:rsid w:val="0066432D"/>
    <w:rsid w:val="006655B8"/>
    <w:rsid w:val="00666D77"/>
    <w:rsid w:val="00671DA4"/>
    <w:rsid w:val="00672BD3"/>
    <w:rsid w:val="00673457"/>
    <w:rsid w:val="00673B7B"/>
    <w:rsid w:val="00675142"/>
    <w:rsid w:val="006759C0"/>
    <w:rsid w:val="006773C8"/>
    <w:rsid w:val="00677453"/>
    <w:rsid w:val="00680027"/>
    <w:rsid w:val="006802F9"/>
    <w:rsid w:val="00681BD4"/>
    <w:rsid w:val="00681C00"/>
    <w:rsid w:val="00681DE9"/>
    <w:rsid w:val="006821D1"/>
    <w:rsid w:val="006827EE"/>
    <w:rsid w:val="006840A2"/>
    <w:rsid w:val="00684C4B"/>
    <w:rsid w:val="00686914"/>
    <w:rsid w:val="006914A3"/>
    <w:rsid w:val="006917A8"/>
    <w:rsid w:val="0069488F"/>
    <w:rsid w:val="00694981"/>
    <w:rsid w:val="00694C41"/>
    <w:rsid w:val="006952B9"/>
    <w:rsid w:val="00695398"/>
    <w:rsid w:val="00696A95"/>
    <w:rsid w:val="006A07EB"/>
    <w:rsid w:val="006A0E3F"/>
    <w:rsid w:val="006A1747"/>
    <w:rsid w:val="006A40FA"/>
    <w:rsid w:val="006A4C46"/>
    <w:rsid w:val="006A53E1"/>
    <w:rsid w:val="006A6D69"/>
    <w:rsid w:val="006A6D93"/>
    <w:rsid w:val="006A7A06"/>
    <w:rsid w:val="006B0B80"/>
    <w:rsid w:val="006B0EB8"/>
    <w:rsid w:val="006B1DED"/>
    <w:rsid w:val="006B1ED0"/>
    <w:rsid w:val="006B3B22"/>
    <w:rsid w:val="006B4D7C"/>
    <w:rsid w:val="006B4F91"/>
    <w:rsid w:val="006B7303"/>
    <w:rsid w:val="006B7DA9"/>
    <w:rsid w:val="006B7E78"/>
    <w:rsid w:val="006B7F65"/>
    <w:rsid w:val="006C11BA"/>
    <w:rsid w:val="006C1DA1"/>
    <w:rsid w:val="006C2990"/>
    <w:rsid w:val="006C2EA9"/>
    <w:rsid w:val="006C508C"/>
    <w:rsid w:val="006C7B19"/>
    <w:rsid w:val="006C7D65"/>
    <w:rsid w:val="006D04E6"/>
    <w:rsid w:val="006D0C01"/>
    <w:rsid w:val="006D17BA"/>
    <w:rsid w:val="006D2C64"/>
    <w:rsid w:val="006D3B14"/>
    <w:rsid w:val="006D45F8"/>
    <w:rsid w:val="006D5214"/>
    <w:rsid w:val="006D75F3"/>
    <w:rsid w:val="006E1778"/>
    <w:rsid w:val="006E4BC3"/>
    <w:rsid w:val="006E599D"/>
    <w:rsid w:val="006E59A3"/>
    <w:rsid w:val="006F05BE"/>
    <w:rsid w:val="006F30DE"/>
    <w:rsid w:val="006F37FD"/>
    <w:rsid w:val="006F3936"/>
    <w:rsid w:val="006F59E4"/>
    <w:rsid w:val="006F71B7"/>
    <w:rsid w:val="00701F3A"/>
    <w:rsid w:val="00702B9A"/>
    <w:rsid w:val="00704AC2"/>
    <w:rsid w:val="00704C61"/>
    <w:rsid w:val="0070505C"/>
    <w:rsid w:val="007055F5"/>
    <w:rsid w:val="00705655"/>
    <w:rsid w:val="0070783A"/>
    <w:rsid w:val="00707E24"/>
    <w:rsid w:val="0071409D"/>
    <w:rsid w:val="00714571"/>
    <w:rsid w:val="00720184"/>
    <w:rsid w:val="007203CA"/>
    <w:rsid w:val="00722DDA"/>
    <w:rsid w:val="00722F9A"/>
    <w:rsid w:val="0072352B"/>
    <w:rsid w:val="0072479C"/>
    <w:rsid w:val="00725B78"/>
    <w:rsid w:val="0073111B"/>
    <w:rsid w:val="00733E1F"/>
    <w:rsid w:val="007354E6"/>
    <w:rsid w:val="00736843"/>
    <w:rsid w:val="00736B4A"/>
    <w:rsid w:val="00736DCC"/>
    <w:rsid w:val="00737449"/>
    <w:rsid w:val="007434EA"/>
    <w:rsid w:val="00750E55"/>
    <w:rsid w:val="0075148A"/>
    <w:rsid w:val="0075233F"/>
    <w:rsid w:val="00752FB2"/>
    <w:rsid w:val="0075717E"/>
    <w:rsid w:val="007575B6"/>
    <w:rsid w:val="00757C15"/>
    <w:rsid w:val="00760613"/>
    <w:rsid w:val="0076092A"/>
    <w:rsid w:val="00761305"/>
    <w:rsid w:val="007627E5"/>
    <w:rsid w:val="007651BA"/>
    <w:rsid w:val="00765444"/>
    <w:rsid w:val="00765E25"/>
    <w:rsid w:val="007671D0"/>
    <w:rsid w:val="0076788D"/>
    <w:rsid w:val="00767D26"/>
    <w:rsid w:val="00767F4E"/>
    <w:rsid w:val="00772F29"/>
    <w:rsid w:val="007732C7"/>
    <w:rsid w:val="00775A2F"/>
    <w:rsid w:val="0077734A"/>
    <w:rsid w:val="0077760E"/>
    <w:rsid w:val="00777E73"/>
    <w:rsid w:val="00780E56"/>
    <w:rsid w:val="00783C01"/>
    <w:rsid w:val="0078616A"/>
    <w:rsid w:val="0078694D"/>
    <w:rsid w:val="00786FBD"/>
    <w:rsid w:val="00790AF9"/>
    <w:rsid w:val="00795192"/>
    <w:rsid w:val="00795428"/>
    <w:rsid w:val="00795A9E"/>
    <w:rsid w:val="00795AB7"/>
    <w:rsid w:val="00795F3D"/>
    <w:rsid w:val="00796EA9"/>
    <w:rsid w:val="00797D16"/>
    <w:rsid w:val="007A1119"/>
    <w:rsid w:val="007A2227"/>
    <w:rsid w:val="007A2905"/>
    <w:rsid w:val="007A486B"/>
    <w:rsid w:val="007A4BF3"/>
    <w:rsid w:val="007A4F7D"/>
    <w:rsid w:val="007A6517"/>
    <w:rsid w:val="007B0481"/>
    <w:rsid w:val="007B153B"/>
    <w:rsid w:val="007B26E3"/>
    <w:rsid w:val="007B2F2C"/>
    <w:rsid w:val="007B3FA0"/>
    <w:rsid w:val="007C1427"/>
    <w:rsid w:val="007C1D98"/>
    <w:rsid w:val="007C36C3"/>
    <w:rsid w:val="007C42C0"/>
    <w:rsid w:val="007C43AE"/>
    <w:rsid w:val="007C49CC"/>
    <w:rsid w:val="007C58D6"/>
    <w:rsid w:val="007C59CE"/>
    <w:rsid w:val="007C74A9"/>
    <w:rsid w:val="007C7912"/>
    <w:rsid w:val="007D3308"/>
    <w:rsid w:val="007D4EB7"/>
    <w:rsid w:val="007D5883"/>
    <w:rsid w:val="007E0680"/>
    <w:rsid w:val="007E3507"/>
    <w:rsid w:val="007E3E72"/>
    <w:rsid w:val="007E65C1"/>
    <w:rsid w:val="007E6BC0"/>
    <w:rsid w:val="007F18F5"/>
    <w:rsid w:val="007F1B23"/>
    <w:rsid w:val="007F3D91"/>
    <w:rsid w:val="007F4948"/>
    <w:rsid w:val="007F5BE3"/>
    <w:rsid w:val="007F620D"/>
    <w:rsid w:val="007F7463"/>
    <w:rsid w:val="007F780E"/>
    <w:rsid w:val="008008B6"/>
    <w:rsid w:val="00804604"/>
    <w:rsid w:val="00807F19"/>
    <w:rsid w:val="008113A3"/>
    <w:rsid w:val="00812ED9"/>
    <w:rsid w:val="00814A70"/>
    <w:rsid w:val="00815734"/>
    <w:rsid w:val="0081584C"/>
    <w:rsid w:val="00815DC1"/>
    <w:rsid w:val="00815DE7"/>
    <w:rsid w:val="00816392"/>
    <w:rsid w:val="00816BC0"/>
    <w:rsid w:val="00816E35"/>
    <w:rsid w:val="00817652"/>
    <w:rsid w:val="008178B3"/>
    <w:rsid w:val="00817F1C"/>
    <w:rsid w:val="008207CE"/>
    <w:rsid w:val="00821BFB"/>
    <w:rsid w:val="00824331"/>
    <w:rsid w:val="008262C4"/>
    <w:rsid w:val="008266D8"/>
    <w:rsid w:val="00826FA5"/>
    <w:rsid w:val="00827CB4"/>
    <w:rsid w:val="008325C7"/>
    <w:rsid w:val="00833E47"/>
    <w:rsid w:val="00834F85"/>
    <w:rsid w:val="00835CA1"/>
    <w:rsid w:val="00836489"/>
    <w:rsid w:val="00837516"/>
    <w:rsid w:val="008402CF"/>
    <w:rsid w:val="00840AFD"/>
    <w:rsid w:val="00840D30"/>
    <w:rsid w:val="00841E89"/>
    <w:rsid w:val="00845F81"/>
    <w:rsid w:val="008470D5"/>
    <w:rsid w:val="00847EB6"/>
    <w:rsid w:val="0085025B"/>
    <w:rsid w:val="00850AE3"/>
    <w:rsid w:val="00850BC2"/>
    <w:rsid w:val="008530CA"/>
    <w:rsid w:val="00854F1A"/>
    <w:rsid w:val="008563D3"/>
    <w:rsid w:val="008567F5"/>
    <w:rsid w:val="00856C23"/>
    <w:rsid w:val="00857353"/>
    <w:rsid w:val="00857399"/>
    <w:rsid w:val="00857729"/>
    <w:rsid w:val="008603E6"/>
    <w:rsid w:val="00860BC9"/>
    <w:rsid w:val="00861472"/>
    <w:rsid w:val="00861788"/>
    <w:rsid w:val="00861821"/>
    <w:rsid w:val="00862E00"/>
    <w:rsid w:val="00864ED2"/>
    <w:rsid w:val="00865589"/>
    <w:rsid w:val="00865BF3"/>
    <w:rsid w:val="0086671E"/>
    <w:rsid w:val="00867DCD"/>
    <w:rsid w:val="00870BFA"/>
    <w:rsid w:val="00871DA5"/>
    <w:rsid w:val="008741D6"/>
    <w:rsid w:val="0087464E"/>
    <w:rsid w:val="00874810"/>
    <w:rsid w:val="008753D0"/>
    <w:rsid w:val="008769C3"/>
    <w:rsid w:val="00876C2D"/>
    <w:rsid w:val="00881EC5"/>
    <w:rsid w:val="0088266D"/>
    <w:rsid w:val="00882FE5"/>
    <w:rsid w:val="008843B0"/>
    <w:rsid w:val="00884EEF"/>
    <w:rsid w:val="00886834"/>
    <w:rsid w:val="00890475"/>
    <w:rsid w:val="00891C92"/>
    <w:rsid w:val="00892240"/>
    <w:rsid w:val="00892EE0"/>
    <w:rsid w:val="008948D1"/>
    <w:rsid w:val="00896BCD"/>
    <w:rsid w:val="008A09F9"/>
    <w:rsid w:val="008A1696"/>
    <w:rsid w:val="008A46E3"/>
    <w:rsid w:val="008A4FAE"/>
    <w:rsid w:val="008A6DAC"/>
    <w:rsid w:val="008B2585"/>
    <w:rsid w:val="008B25FE"/>
    <w:rsid w:val="008B3430"/>
    <w:rsid w:val="008B3674"/>
    <w:rsid w:val="008B3B66"/>
    <w:rsid w:val="008B54AF"/>
    <w:rsid w:val="008C1588"/>
    <w:rsid w:val="008C1D90"/>
    <w:rsid w:val="008C3541"/>
    <w:rsid w:val="008C6370"/>
    <w:rsid w:val="008C653D"/>
    <w:rsid w:val="008C6BEC"/>
    <w:rsid w:val="008C6C63"/>
    <w:rsid w:val="008C6D29"/>
    <w:rsid w:val="008C6E05"/>
    <w:rsid w:val="008D75D9"/>
    <w:rsid w:val="008E03F5"/>
    <w:rsid w:val="008E0976"/>
    <w:rsid w:val="008E0F51"/>
    <w:rsid w:val="008E2967"/>
    <w:rsid w:val="008E7336"/>
    <w:rsid w:val="008F1C7E"/>
    <w:rsid w:val="00900351"/>
    <w:rsid w:val="0090352A"/>
    <w:rsid w:val="0090437C"/>
    <w:rsid w:val="009055FA"/>
    <w:rsid w:val="009065C8"/>
    <w:rsid w:val="00912E48"/>
    <w:rsid w:val="00914619"/>
    <w:rsid w:val="0091485B"/>
    <w:rsid w:val="009200DB"/>
    <w:rsid w:val="0092120B"/>
    <w:rsid w:val="009225A8"/>
    <w:rsid w:val="00922A6F"/>
    <w:rsid w:val="00923FAE"/>
    <w:rsid w:val="009267E4"/>
    <w:rsid w:val="0093270D"/>
    <w:rsid w:val="0093431A"/>
    <w:rsid w:val="00934B8D"/>
    <w:rsid w:val="00935DC0"/>
    <w:rsid w:val="009362F3"/>
    <w:rsid w:val="00936CB6"/>
    <w:rsid w:val="00936CF7"/>
    <w:rsid w:val="00941CA1"/>
    <w:rsid w:val="00942455"/>
    <w:rsid w:val="00943AC1"/>
    <w:rsid w:val="00944698"/>
    <w:rsid w:val="00944768"/>
    <w:rsid w:val="00945826"/>
    <w:rsid w:val="00950C40"/>
    <w:rsid w:val="00950D34"/>
    <w:rsid w:val="00950F02"/>
    <w:rsid w:val="009546A8"/>
    <w:rsid w:val="009546C0"/>
    <w:rsid w:val="009546C4"/>
    <w:rsid w:val="00955879"/>
    <w:rsid w:val="00957990"/>
    <w:rsid w:val="00960291"/>
    <w:rsid w:val="00960585"/>
    <w:rsid w:val="00960872"/>
    <w:rsid w:val="00961B60"/>
    <w:rsid w:val="009633DF"/>
    <w:rsid w:val="00963522"/>
    <w:rsid w:val="00966ADC"/>
    <w:rsid w:val="00966C5A"/>
    <w:rsid w:val="00967980"/>
    <w:rsid w:val="00967A6D"/>
    <w:rsid w:val="00974507"/>
    <w:rsid w:val="00974934"/>
    <w:rsid w:val="00974A2E"/>
    <w:rsid w:val="00974AA7"/>
    <w:rsid w:val="009778BC"/>
    <w:rsid w:val="00980374"/>
    <w:rsid w:val="00980C86"/>
    <w:rsid w:val="00980D60"/>
    <w:rsid w:val="009838BE"/>
    <w:rsid w:val="00983F73"/>
    <w:rsid w:val="00986826"/>
    <w:rsid w:val="00987110"/>
    <w:rsid w:val="00990852"/>
    <w:rsid w:val="00990A9E"/>
    <w:rsid w:val="00992EEB"/>
    <w:rsid w:val="00995613"/>
    <w:rsid w:val="00996774"/>
    <w:rsid w:val="00997423"/>
    <w:rsid w:val="009A4B68"/>
    <w:rsid w:val="009A6965"/>
    <w:rsid w:val="009A6CE0"/>
    <w:rsid w:val="009A6D93"/>
    <w:rsid w:val="009A6D94"/>
    <w:rsid w:val="009A6EED"/>
    <w:rsid w:val="009A7DBC"/>
    <w:rsid w:val="009B2992"/>
    <w:rsid w:val="009B6835"/>
    <w:rsid w:val="009B694E"/>
    <w:rsid w:val="009B73F3"/>
    <w:rsid w:val="009B74AE"/>
    <w:rsid w:val="009C2D6C"/>
    <w:rsid w:val="009C7630"/>
    <w:rsid w:val="009D110A"/>
    <w:rsid w:val="009D2B84"/>
    <w:rsid w:val="009D3C35"/>
    <w:rsid w:val="009D4AE5"/>
    <w:rsid w:val="009D76A8"/>
    <w:rsid w:val="009E02D8"/>
    <w:rsid w:val="009E2E56"/>
    <w:rsid w:val="009E4465"/>
    <w:rsid w:val="009E5240"/>
    <w:rsid w:val="009E529B"/>
    <w:rsid w:val="009E6064"/>
    <w:rsid w:val="009E60A4"/>
    <w:rsid w:val="009E7D69"/>
    <w:rsid w:val="009F0225"/>
    <w:rsid w:val="009F047C"/>
    <w:rsid w:val="009F0FF1"/>
    <w:rsid w:val="009F1255"/>
    <w:rsid w:val="009F16A4"/>
    <w:rsid w:val="009F2B6B"/>
    <w:rsid w:val="009F35D5"/>
    <w:rsid w:val="009F3F06"/>
    <w:rsid w:val="009F5230"/>
    <w:rsid w:val="009F61B5"/>
    <w:rsid w:val="009F6305"/>
    <w:rsid w:val="009F6F38"/>
    <w:rsid w:val="00A02D74"/>
    <w:rsid w:val="00A039DD"/>
    <w:rsid w:val="00A03A6D"/>
    <w:rsid w:val="00A03FCD"/>
    <w:rsid w:val="00A104DC"/>
    <w:rsid w:val="00A104DD"/>
    <w:rsid w:val="00A10A41"/>
    <w:rsid w:val="00A11A6E"/>
    <w:rsid w:val="00A122CA"/>
    <w:rsid w:val="00A12BB3"/>
    <w:rsid w:val="00A12DBB"/>
    <w:rsid w:val="00A1316A"/>
    <w:rsid w:val="00A133B4"/>
    <w:rsid w:val="00A13AF6"/>
    <w:rsid w:val="00A13E71"/>
    <w:rsid w:val="00A237AF"/>
    <w:rsid w:val="00A25C6A"/>
    <w:rsid w:val="00A30BD9"/>
    <w:rsid w:val="00A310F9"/>
    <w:rsid w:val="00A32687"/>
    <w:rsid w:val="00A34546"/>
    <w:rsid w:val="00A4072E"/>
    <w:rsid w:val="00A4143A"/>
    <w:rsid w:val="00A43F15"/>
    <w:rsid w:val="00A44C19"/>
    <w:rsid w:val="00A44FF0"/>
    <w:rsid w:val="00A4569B"/>
    <w:rsid w:val="00A45709"/>
    <w:rsid w:val="00A4658D"/>
    <w:rsid w:val="00A46633"/>
    <w:rsid w:val="00A47D12"/>
    <w:rsid w:val="00A509AB"/>
    <w:rsid w:val="00A5144D"/>
    <w:rsid w:val="00A51EE3"/>
    <w:rsid w:val="00A530F6"/>
    <w:rsid w:val="00A53967"/>
    <w:rsid w:val="00A53CBC"/>
    <w:rsid w:val="00A57298"/>
    <w:rsid w:val="00A625F3"/>
    <w:rsid w:val="00A63C18"/>
    <w:rsid w:val="00A647BB"/>
    <w:rsid w:val="00A648CB"/>
    <w:rsid w:val="00A64DB6"/>
    <w:rsid w:val="00A6616D"/>
    <w:rsid w:val="00A6678B"/>
    <w:rsid w:val="00A668E4"/>
    <w:rsid w:val="00A66BB4"/>
    <w:rsid w:val="00A71996"/>
    <w:rsid w:val="00A71F27"/>
    <w:rsid w:val="00A723B5"/>
    <w:rsid w:val="00A730E8"/>
    <w:rsid w:val="00A7319C"/>
    <w:rsid w:val="00A73401"/>
    <w:rsid w:val="00A74256"/>
    <w:rsid w:val="00A74602"/>
    <w:rsid w:val="00A764B1"/>
    <w:rsid w:val="00A77EAC"/>
    <w:rsid w:val="00A81F9D"/>
    <w:rsid w:val="00A82401"/>
    <w:rsid w:val="00A853F1"/>
    <w:rsid w:val="00A8755C"/>
    <w:rsid w:val="00A90FC1"/>
    <w:rsid w:val="00A937A2"/>
    <w:rsid w:val="00A944E7"/>
    <w:rsid w:val="00A9472E"/>
    <w:rsid w:val="00A95BB8"/>
    <w:rsid w:val="00A97C4F"/>
    <w:rsid w:val="00AA0C1E"/>
    <w:rsid w:val="00AA5924"/>
    <w:rsid w:val="00AB0059"/>
    <w:rsid w:val="00AB1F18"/>
    <w:rsid w:val="00AB20B4"/>
    <w:rsid w:val="00AB254A"/>
    <w:rsid w:val="00AB4E4E"/>
    <w:rsid w:val="00AB5DF4"/>
    <w:rsid w:val="00AB698E"/>
    <w:rsid w:val="00AB7676"/>
    <w:rsid w:val="00AB7E9A"/>
    <w:rsid w:val="00AC09EE"/>
    <w:rsid w:val="00AC0BD7"/>
    <w:rsid w:val="00AC44C7"/>
    <w:rsid w:val="00AC4B2E"/>
    <w:rsid w:val="00AC74D9"/>
    <w:rsid w:val="00AC78AB"/>
    <w:rsid w:val="00AD0206"/>
    <w:rsid w:val="00AD17CD"/>
    <w:rsid w:val="00AD295C"/>
    <w:rsid w:val="00AD3168"/>
    <w:rsid w:val="00AD5A6A"/>
    <w:rsid w:val="00AD5A79"/>
    <w:rsid w:val="00AD5E1D"/>
    <w:rsid w:val="00AD7555"/>
    <w:rsid w:val="00AE0012"/>
    <w:rsid w:val="00AE243B"/>
    <w:rsid w:val="00AE2E13"/>
    <w:rsid w:val="00AE3B8F"/>
    <w:rsid w:val="00AE7236"/>
    <w:rsid w:val="00AE745B"/>
    <w:rsid w:val="00AF14C9"/>
    <w:rsid w:val="00AF3503"/>
    <w:rsid w:val="00AF371E"/>
    <w:rsid w:val="00AF392A"/>
    <w:rsid w:val="00AF4185"/>
    <w:rsid w:val="00AF4DDD"/>
    <w:rsid w:val="00AF54EB"/>
    <w:rsid w:val="00AF5902"/>
    <w:rsid w:val="00AF6A2C"/>
    <w:rsid w:val="00AF7239"/>
    <w:rsid w:val="00B00DD6"/>
    <w:rsid w:val="00B0204E"/>
    <w:rsid w:val="00B042CF"/>
    <w:rsid w:val="00B10910"/>
    <w:rsid w:val="00B11691"/>
    <w:rsid w:val="00B13DF5"/>
    <w:rsid w:val="00B13F9C"/>
    <w:rsid w:val="00B141E0"/>
    <w:rsid w:val="00B1467E"/>
    <w:rsid w:val="00B14CEE"/>
    <w:rsid w:val="00B200A5"/>
    <w:rsid w:val="00B24017"/>
    <w:rsid w:val="00B2402C"/>
    <w:rsid w:val="00B26511"/>
    <w:rsid w:val="00B26920"/>
    <w:rsid w:val="00B30F3B"/>
    <w:rsid w:val="00B31318"/>
    <w:rsid w:val="00B314FD"/>
    <w:rsid w:val="00B31530"/>
    <w:rsid w:val="00B31950"/>
    <w:rsid w:val="00B32124"/>
    <w:rsid w:val="00B32152"/>
    <w:rsid w:val="00B3358C"/>
    <w:rsid w:val="00B347DA"/>
    <w:rsid w:val="00B36D67"/>
    <w:rsid w:val="00B377FA"/>
    <w:rsid w:val="00B37BE5"/>
    <w:rsid w:val="00B37FCD"/>
    <w:rsid w:val="00B40192"/>
    <w:rsid w:val="00B40D84"/>
    <w:rsid w:val="00B417E4"/>
    <w:rsid w:val="00B43B2E"/>
    <w:rsid w:val="00B44428"/>
    <w:rsid w:val="00B445BE"/>
    <w:rsid w:val="00B45C42"/>
    <w:rsid w:val="00B46EAC"/>
    <w:rsid w:val="00B517E9"/>
    <w:rsid w:val="00B52174"/>
    <w:rsid w:val="00B52379"/>
    <w:rsid w:val="00B53299"/>
    <w:rsid w:val="00B53685"/>
    <w:rsid w:val="00B53957"/>
    <w:rsid w:val="00B5470A"/>
    <w:rsid w:val="00B54CED"/>
    <w:rsid w:val="00B56A42"/>
    <w:rsid w:val="00B56EAD"/>
    <w:rsid w:val="00B6006E"/>
    <w:rsid w:val="00B60664"/>
    <w:rsid w:val="00B62163"/>
    <w:rsid w:val="00B636F2"/>
    <w:rsid w:val="00B645A5"/>
    <w:rsid w:val="00B6603F"/>
    <w:rsid w:val="00B661C6"/>
    <w:rsid w:val="00B6658F"/>
    <w:rsid w:val="00B665E0"/>
    <w:rsid w:val="00B676AB"/>
    <w:rsid w:val="00B74066"/>
    <w:rsid w:val="00B75E7A"/>
    <w:rsid w:val="00B75E8A"/>
    <w:rsid w:val="00B76B84"/>
    <w:rsid w:val="00B81A9C"/>
    <w:rsid w:val="00B8256C"/>
    <w:rsid w:val="00B8443E"/>
    <w:rsid w:val="00B85985"/>
    <w:rsid w:val="00B86914"/>
    <w:rsid w:val="00B92DD6"/>
    <w:rsid w:val="00B943E7"/>
    <w:rsid w:val="00B9478B"/>
    <w:rsid w:val="00B94DFC"/>
    <w:rsid w:val="00B95011"/>
    <w:rsid w:val="00B95089"/>
    <w:rsid w:val="00B95C27"/>
    <w:rsid w:val="00BA2573"/>
    <w:rsid w:val="00BA40B3"/>
    <w:rsid w:val="00BA4249"/>
    <w:rsid w:val="00BA4895"/>
    <w:rsid w:val="00BA49E5"/>
    <w:rsid w:val="00BA4CEA"/>
    <w:rsid w:val="00BA60A6"/>
    <w:rsid w:val="00BA6186"/>
    <w:rsid w:val="00BB3D4C"/>
    <w:rsid w:val="00BB4BB2"/>
    <w:rsid w:val="00BB5352"/>
    <w:rsid w:val="00BB5F15"/>
    <w:rsid w:val="00BB77C0"/>
    <w:rsid w:val="00BC01AD"/>
    <w:rsid w:val="00BC08D3"/>
    <w:rsid w:val="00BC1C53"/>
    <w:rsid w:val="00BC24C8"/>
    <w:rsid w:val="00BC2F9E"/>
    <w:rsid w:val="00BC6441"/>
    <w:rsid w:val="00BC7D60"/>
    <w:rsid w:val="00BD2E97"/>
    <w:rsid w:val="00BD39E2"/>
    <w:rsid w:val="00BD54EB"/>
    <w:rsid w:val="00BD5D75"/>
    <w:rsid w:val="00BD77FA"/>
    <w:rsid w:val="00BE0DCD"/>
    <w:rsid w:val="00BE22CF"/>
    <w:rsid w:val="00BE2CB9"/>
    <w:rsid w:val="00BE65F9"/>
    <w:rsid w:val="00BE6EBC"/>
    <w:rsid w:val="00BF2B3A"/>
    <w:rsid w:val="00BF49DF"/>
    <w:rsid w:val="00BF5227"/>
    <w:rsid w:val="00BF6EB4"/>
    <w:rsid w:val="00BF780C"/>
    <w:rsid w:val="00C02506"/>
    <w:rsid w:val="00C02CF1"/>
    <w:rsid w:val="00C03870"/>
    <w:rsid w:val="00C05603"/>
    <w:rsid w:val="00C062A5"/>
    <w:rsid w:val="00C12F58"/>
    <w:rsid w:val="00C13A0C"/>
    <w:rsid w:val="00C13B52"/>
    <w:rsid w:val="00C164DA"/>
    <w:rsid w:val="00C20666"/>
    <w:rsid w:val="00C218B4"/>
    <w:rsid w:val="00C230EF"/>
    <w:rsid w:val="00C234E2"/>
    <w:rsid w:val="00C2375F"/>
    <w:rsid w:val="00C251CA"/>
    <w:rsid w:val="00C30B7B"/>
    <w:rsid w:val="00C30BDF"/>
    <w:rsid w:val="00C30DE4"/>
    <w:rsid w:val="00C32482"/>
    <w:rsid w:val="00C3334A"/>
    <w:rsid w:val="00C34A6E"/>
    <w:rsid w:val="00C35381"/>
    <w:rsid w:val="00C371E6"/>
    <w:rsid w:val="00C37F91"/>
    <w:rsid w:val="00C37FDC"/>
    <w:rsid w:val="00C411A4"/>
    <w:rsid w:val="00C41454"/>
    <w:rsid w:val="00C42CC3"/>
    <w:rsid w:val="00C432D4"/>
    <w:rsid w:val="00C43917"/>
    <w:rsid w:val="00C46507"/>
    <w:rsid w:val="00C466C1"/>
    <w:rsid w:val="00C47673"/>
    <w:rsid w:val="00C47BF7"/>
    <w:rsid w:val="00C47D09"/>
    <w:rsid w:val="00C506ED"/>
    <w:rsid w:val="00C53A4D"/>
    <w:rsid w:val="00C60578"/>
    <w:rsid w:val="00C616E9"/>
    <w:rsid w:val="00C6182C"/>
    <w:rsid w:val="00C61FEE"/>
    <w:rsid w:val="00C64B49"/>
    <w:rsid w:val="00C677CB"/>
    <w:rsid w:val="00C67D2E"/>
    <w:rsid w:val="00C70DFA"/>
    <w:rsid w:val="00C72070"/>
    <w:rsid w:val="00C724EC"/>
    <w:rsid w:val="00C72E3B"/>
    <w:rsid w:val="00C813D6"/>
    <w:rsid w:val="00C81E69"/>
    <w:rsid w:val="00C827B2"/>
    <w:rsid w:val="00C835D2"/>
    <w:rsid w:val="00C844F8"/>
    <w:rsid w:val="00C84855"/>
    <w:rsid w:val="00C9142D"/>
    <w:rsid w:val="00C915EE"/>
    <w:rsid w:val="00C91967"/>
    <w:rsid w:val="00C91E84"/>
    <w:rsid w:val="00C95321"/>
    <w:rsid w:val="00C9560B"/>
    <w:rsid w:val="00C96B5A"/>
    <w:rsid w:val="00CA0CBF"/>
    <w:rsid w:val="00CA7A5B"/>
    <w:rsid w:val="00CB2923"/>
    <w:rsid w:val="00CB3EA0"/>
    <w:rsid w:val="00CB74C2"/>
    <w:rsid w:val="00CC0959"/>
    <w:rsid w:val="00CC2DC7"/>
    <w:rsid w:val="00CC2EE3"/>
    <w:rsid w:val="00CC310F"/>
    <w:rsid w:val="00CC55F6"/>
    <w:rsid w:val="00CC608B"/>
    <w:rsid w:val="00CD04C4"/>
    <w:rsid w:val="00CD566D"/>
    <w:rsid w:val="00CD61D2"/>
    <w:rsid w:val="00CD61E9"/>
    <w:rsid w:val="00CD6D81"/>
    <w:rsid w:val="00CE329E"/>
    <w:rsid w:val="00CE5EC1"/>
    <w:rsid w:val="00CE7FCE"/>
    <w:rsid w:val="00CF25AC"/>
    <w:rsid w:val="00CF2745"/>
    <w:rsid w:val="00CF5BC4"/>
    <w:rsid w:val="00CF732B"/>
    <w:rsid w:val="00D003C2"/>
    <w:rsid w:val="00D006A6"/>
    <w:rsid w:val="00D01476"/>
    <w:rsid w:val="00D02BB4"/>
    <w:rsid w:val="00D02E7E"/>
    <w:rsid w:val="00D058ED"/>
    <w:rsid w:val="00D062D1"/>
    <w:rsid w:val="00D105AE"/>
    <w:rsid w:val="00D10A59"/>
    <w:rsid w:val="00D117FA"/>
    <w:rsid w:val="00D12041"/>
    <w:rsid w:val="00D121D8"/>
    <w:rsid w:val="00D1280C"/>
    <w:rsid w:val="00D131CD"/>
    <w:rsid w:val="00D1397F"/>
    <w:rsid w:val="00D14F56"/>
    <w:rsid w:val="00D15C49"/>
    <w:rsid w:val="00D16F45"/>
    <w:rsid w:val="00D17C0A"/>
    <w:rsid w:val="00D17D38"/>
    <w:rsid w:val="00D214AA"/>
    <w:rsid w:val="00D313D3"/>
    <w:rsid w:val="00D315CC"/>
    <w:rsid w:val="00D32407"/>
    <w:rsid w:val="00D3338B"/>
    <w:rsid w:val="00D34313"/>
    <w:rsid w:val="00D362EA"/>
    <w:rsid w:val="00D37DD4"/>
    <w:rsid w:val="00D417F0"/>
    <w:rsid w:val="00D4224A"/>
    <w:rsid w:val="00D44C76"/>
    <w:rsid w:val="00D44EAD"/>
    <w:rsid w:val="00D44FBF"/>
    <w:rsid w:val="00D4507D"/>
    <w:rsid w:val="00D45883"/>
    <w:rsid w:val="00D47507"/>
    <w:rsid w:val="00D50503"/>
    <w:rsid w:val="00D50E78"/>
    <w:rsid w:val="00D50FD3"/>
    <w:rsid w:val="00D51AFA"/>
    <w:rsid w:val="00D5273A"/>
    <w:rsid w:val="00D52746"/>
    <w:rsid w:val="00D5550E"/>
    <w:rsid w:val="00D5592B"/>
    <w:rsid w:val="00D56925"/>
    <w:rsid w:val="00D56E21"/>
    <w:rsid w:val="00D60319"/>
    <w:rsid w:val="00D62573"/>
    <w:rsid w:val="00D65BA9"/>
    <w:rsid w:val="00D70953"/>
    <w:rsid w:val="00D715B4"/>
    <w:rsid w:val="00D7194D"/>
    <w:rsid w:val="00D719F8"/>
    <w:rsid w:val="00D73149"/>
    <w:rsid w:val="00D74185"/>
    <w:rsid w:val="00D7438D"/>
    <w:rsid w:val="00D74426"/>
    <w:rsid w:val="00D74543"/>
    <w:rsid w:val="00D80AE1"/>
    <w:rsid w:val="00D85B7B"/>
    <w:rsid w:val="00D91D7B"/>
    <w:rsid w:val="00D949ED"/>
    <w:rsid w:val="00D95140"/>
    <w:rsid w:val="00D9514A"/>
    <w:rsid w:val="00D95D22"/>
    <w:rsid w:val="00D96C3D"/>
    <w:rsid w:val="00DA070D"/>
    <w:rsid w:val="00DA139C"/>
    <w:rsid w:val="00DA184B"/>
    <w:rsid w:val="00DA2969"/>
    <w:rsid w:val="00DA2F42"/>
    <w:rsid w:val="00DA4ECF"/>
    <w:rsid w:val="00DA5546"/>
    <w:rsid w:val="00DA572D"/>
    <w:rsid w:val="00DA5DD6"/>
    <w:rsid w:val="00DA6751"/>
    <w:rsid w:val="00DB0ED4"/>
    <w:rsid w:val="00DB4C02"/>
    <w:rsid w:val="00DB579A"/>
    <w:rsid w:val="00DB5D31"/>
    <w:rsid w:val="00DB62BD"/>
    <w:rsid w:val="00DC1AD4"/>
    <w:rsid w:val="00DC208C"/>
    <w:rsid w:val="00DC41CA"/>
    <w:rsid w:val="00DC5BB8"/>
    <w:rsid w:val="00DC5DF2"/>
    <w:rsid w:val="00DC6408"/>
    <w:rsid w:val="00DD05D6"/>
    <w:rsid w:val="00DD2EBC"/>
    <w:rsid w:val="00DD2FE0"/>
    <w:rsid w:val="00DD34E4"/>
    <w:rsid w:val="00DD5407"/>
    <w:rsid w:val="00DD6F55"/>
    <w:rsid w:val="00DD72C0"/>
    <w:rsid w:val="00DE0396"/>
    <w:rsid w:val="00DE05D2"/>
    <w:rsid w:val="00DE1586"/>
    <w:rsid w:val="00DE1E26"/>
    <w:rsid w:val="00DE267B"/>
    <w:rsid w:val="00DE2D6D"/>
    <w:rsid w:val="00DE46D5"/>
    <w:rsid w:val="00DE59B8"/>
    <w:rsid w:val="00DE793B"/>
    <w:rsid w:val="00DF0E87"/>
    <w:rsid w:val="00DF1803"/>
    <w:rsid w:val="00DF1836"/>
    <w:rsid w:val="00DF20B7"/>
    <w:rsid w:val="00DF4D1E"/>
    <w:rsid w:val="00DF4E56"/>
    <w:rsid w:val="00DF5BF8"/>
    <w:rsid w:val="00DF62D6"/>
    <w:rsid w:val="00DF6F43"/>
    <w:rsid w:val="00E004D8"/>
    <w:rsid w:val="00E0162C"/>
    <w:rsid w:val="00E016ED"/>
    <w:rsid w:val="00E0393D"/>
    <w:rsid w:val="00E1031D"/>
    <w:rsid w:val="00E10747"/>
    <w:rsid w:val="00E10B6E"/>
    <w:rsid w:val="00E148A8"/>
    <w:rsid w:val="00E14AF1"/>
    <w:rsid w:val="00E15C53"/>
    <w:rsid w:val="00E172A2"/>
    <w:rsid w:val="00E17349"/>
    <w:rsid w:val="00E179F5"/>
    <w:rsid w:val="00E20B0C"/>
    <w:rsid w:val="00E21103"/>
    <w:rsid w:val="00E212B3"/>
    <w:rsid w:val="00E2447E"/>
    <w:rsid w:val="00E257EF"/>
    <w:rsid w:val="00E26560"/>
    <w:rsid w:val="00E27635"/>
    <w:rsid w:val="00E27B68"/>
    <w:rsid w:val="00E3017F"/>
    <w:rsid w:val="00E302E6"/>
    <w:rsid w:val="00E3030B"/>
    <w:rsid w:val="00E31CF5"/>
    <w:rsid w:val="00E31F90"/>
    <w:rsid w:val="00E35CC5"/>
    <w:rsid w:val="00E36A5E"/>
    <w:rsid w:val="00E416A7"/>
    <w:rsid w:val="00E433CC"/>
    <w:rsid w:val="00E4402A"/>
    <w:rsid w:val="00E4489B"/>
    <w:rsid w:val="00E467ED"/>
    <w:rsid w:val="00E47B76"/>
    <w:rsid w:val="00E51CBE"/>
    <w:rsid w:val="00E54A39"/>
    <w:rsid w:val="00E54EDC"/>
    <w:rsid w:val="00E569C8"/>
    <w:rsid w:val="00E570C9"/>
    <w:rsid w:val="00E6285C"/>
    <w:rsid w:val="00E63D11"/>
    <w:rsid w:val="00E65666"/>
    <w:rsid w:val="00E65C45"/>
    <w:rsid w:val="00E70F88"/>
    <w:rsid w:val="00E72D14"/>
    <w:rsid w:val="00E73C53"/>
    <w:rsid w:val="00E7486E"/>
    <w:rsid w:val="00E76AEB"/>
    <w:rsid w:val="00E80ACF"/>
    <w:rsid w:val="00E821B4"/>
    <w:rsid w:val="00E83D3A"/>
    <w:rsid w:val="00E907C2"/>
    <w:rsid w:val="00E92579"/>
    <w:rsid w:val="00E947FB"/>
    <w:rsid w:val="00E95332"/>
    <w:rsid w:val="00E97B2B"/>
    <w:rsid w:val="00EA10DF"/>
    <w:rsid w:val="00EA1E73"/>
    <w:rsid w:val="00EA4F49"/>
    <w:rsid w:val="00EA55DE"/>
    <w:rsid w:val="00EA5A63"/>
    <w:rsid w:val="00EA71B5"/>
    <w:rsid w:val="00EA78EF"/>
    <w:rsid w:val="00EB2BBE"/>
    <w:rsid w:val="00EB2D8C"/>
    <w:rsid w:val="00EB34DD"/>
    <w:rsid w:val="00EB4259"/>
    <w:rsid w:val="00EB4E0F"/>
    <w:rsid w:val="00EB5385"/>
    <w:rsid w:val="00EB57AE"/>
    <w:rsid w:val="00EB6702"/>
    <w:rsid w:val="00EB6E3D"/>
    <w:rsid w:val="00EC113F"/>
    <w:rsid w:val="00EC1BFF"/>
    <w:rsid w:val="00EC36A7"/>
    <w:rsid w:val="00EC4E33"/>
    <w:rsid w:val="00EC57AE"/>
    <w:rsid w:val="00EC5A20"/>
    <w:rsid w:val="00EC6350"/>
    <w:rsid w:val="00EC64DF"/>
    <w:rsid w:val="00EC70C7"/>
    <w:rsid w:val="00ED0407"/>
    <w:rsid w:val="00ED0501"/>
    <w:rsid w:val="00ED13E6"/>
    <w:rsid w:val="00ED2008"/>
    <w:rsid w:val="00ED2C14"/>
    <w:rsid w:val="00ED2FC9"/>
    <w:rsid w:val="00ED3DC3"/>
    <w:rsid w:val="00ED460E"/>
    <w:rsid w:val="00ED48B4"/>
    <w:rsid w:val="00ED75ED"/>
    <w:rsid w:val="00ED77A1"/>
    <w:rsid w:val="00ED7B8D"/>
    <w:rsid w:val="00EE1CC0"/>
    <w:rsid w:val="00EE3070"/>
    <w:rsid w:val="00EE359C"/>
    <w:rsid w:val="00EE360A"/>
    <w:rsid w:val="00EE5F3E"/>
    <w:rsid w:val="00EE7642"/>
    <w:rsid w:val="00EF0C7A"/>
    <w:rsid w:val="00EF2320"/>
    <w:rsid w:val="00EF3820"/>
    <w:rsid w:val="00EF4F55"/>
    <w:rsid w:val="00EF717F"/>
    <w:rsid w:val="00F022A2"/>
    <w:rsid w:val="00F04434"/>
    <w:rsid w:val="00F103E1"/>
    <w:rsid w:val="00F1282E"/>
    <w:rsid w:val="00F12A31"/>
    <w:rsid w:val="00F12D4D"/>
    <w:rsid w:val="00F14542"/>
    <w:rsid w:val="00F15A33"/>
    <w:rsid w:val="00F17240"/>
    <w:rsid w:val="00F22B4F"/>
    <w:rsid w:val="00F239ED"/>
    <w:rsid w:val="00F2539B"/>
    <w:rsid w:val="00F31F7A"/>
    <w:rsid w:val="00F3512C"/>
    <w:rsid w:val="00F3513D"/>
    <w:rsid w:val="00F379DB"/>
    <w:rsid w:val="00F42098"/>
    <w:rsid w:val="00F42775"/>
    <w:rsid w:val="00F4710F"/>
    <w:rsid w:val="00F47708"/>
    <w:rsid w:val="00F47D8D"/>
    <w:rsid w:val="00F518B9"/>
    <w:rsid w:val="00F51F0B"/>
    <w:rsid w:val="00F52240"/>
    <w:rsid w:val="00F52340"/>
    <w:rsid w:val="00F54077"/>
    <w:rsid w:val="00F54159"/>
    <w:rsid w:val="00F55201"/>
    <w:rsid w:val="00F61D9B"/>
    <w:rsid w:val="00F62335"/>
    <w:rsid w:val="00F631E5"/>
    <w:rsid w:val="00F677AF"/>
    <w:rsid w:val="00F67810"/>
    <w:rsid w:val="00F702FD"/>
    <w:rsid w:val="00F71D51"/>
    <w:rsid w:val="00F7300E"/>
    <w:rsid w:val="00F74502"/>
    <w:rsid w:val="00F74826"/>
    <w:rsid w:val="00F748CE"/>
    <w:rsid w:val="00F770D5"/>
    <w:rsid w:val="00F77C82"/>
    <w:rsid w:val="00F815A5"/>
    <w:rsid w:val="00F82645"/>
    <w:rsid w:val="00F85884"/>
    <w:rsid w:val="00F870A6"/>
    <w:rsid w:val="00F91B19"/>
    <w:rsid w:val="00F91C9E"/>
    <w:rsid w:val="00F92049"/>
    <w:rsid w:val="00F92668"/>
    <w:rsid w:val="00F93AD6"/>
    <w:rsid w:val="00F93E53"/>
    <w:rsid w:val="00F942B3"/>
    <w:rsid w:val="00F9472F"/>
    <w:rsid w:val="00F95A26"/>
    <w:rsid w:val="00F9639B"/>
    <w:rsid w:val="00F96C25"/>
    <w:rsid w:val="00F976FD"/>
    <w:rsid w:val="00FA12EE"/>
    <w:rsid w:val="00FA1C79"/>
    <w:rsid w:val="00FA2334"/>
    <w:rsid w:val="00FA3F09"/>
    <w:rsid w:val="00FA4252"/>
    <w:rsid w:val="00FA5200"/>
    <w:rsid w:val="00FB0860"/>
    <w:rsid w:val="00FB0D8C"/>
    <w:rsid w:val="00FB3CCF"/>
    <w:rsid w:val="00FB5447"/>
    <w:rsid w:val="00FB57B4"/>
    <w:rsid w:val="00FB7CD4"/>
    <w:rsid w:val="00FC0826"/>
    <w:rsid w:val="00FC1B2A"/>
    <w:rsid w:val="00FC22FD"/>
    <w:rsid w:val="00FC2760"/>
    <w:rsid w:val="00FC2E60"/>
    <w:rsid w:val="00FC341E"/>
    <w:rsid w:val="00FC3767"/>
    <w:rsid w:val="00FC4006"/>
    <w:rsid w:val="00FC5473"/>
    <w:rsid w:val="00FC56A4"/>
    <w:rsid w:val="00FC637B"/>
    <w:rsid w:val="00FC7385"/>
    <w:rsid w:val="00FC748D"/>
    <w:rsid w:val="00FD194F"/>
    <w:rsid w:val="00FD1B51"/>
    <w:rsid w:val="00FD454D"/>
    <w:rsid w:val="00FD4A29"/>
    <w:rsid w:val="00FD667C"/>
    <w:rsid w:val="00FE1376"/>
    <w:rsid w:val="00FE2F87"/>
    <w:rsid w:val="00FE37F0"/>
    <w:rsid w:val="00FE392E"/>
    <w:rsid w:val="00FE4CE4"/>
    <w:rsid w:val="00FE521C"/>
    <w:rsid w:val="00FE79CE"/>
    <w:rsid w:val="00FE7FAC"/>
    <w:rsid w:val="00FF1DDD"/>
    <w:rsid w:val="00FF53E6"/>
    <w:rsid w:val="00FF5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048DD"/>
  <w15:chartTrackingRefBased/>
  <w15:docId w15:val="{4D5C17D0-0473-4264-BAC4-3C3FE3F62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41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30EF"/>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autoRedefine/>
    <w:uiPriority w:val="9"/>
    <w:unhideWhenUsed/>
    <w:qFormat/>
    <w:rsid w:val="00914619"/>
    <w:pPr>
      <w:keepNext/>
      <w:keepLines/>
      <w:spacing w:before="40" w:after="0"/>
      <w:outlineLvl w:val="2"/>
    </w:pPr>
    <w:rPr>
      <w:rFonts w:asciiTheme="majorHAnsi" w:eastAsiaTheme="majorEastAsia" w:hAnsiTheme="majorHAnsi" w:cstheme="majorBidi"/>
      <w:color w:val="1F3763"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1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230EF"/>
    <w:rPr>
      <w:rFonts w:asciiTheme="majorHAnsi" w:eastAsiaTheme="majorEastAsia" w:hAnsiTheme="majorHAnsi" w:cstheme="majorBidi"/>
      <w:color w:val="2F5496" w:themeColor="accent1" w:themeShade="BF"/>
      <w:sz w:val="28"/>
      <w:szCs w:val="26"/>
    </w:rPr>
  </w:style>
  <w:style w:type="paragraph" w:styleId="NoSpacing">
    <w:name w:val="No Spacing"/>
    <w:link w:val="NoSpacingChar"/>
    <w:uiPriority w:val="1"/>
    <w:qFormat/>
    <w:rsid w:val="0056169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1692"/>
    <w:rPr>
      <w:rFonts w:eastAsiaTheme="minorEastAsia"/>
      <w:lang w:val="en-US"/>
    </w:rPr>
  </w:style>
  <w:style w:type="character" w:styleId="Hyperlink">
    <w:name w:val="Hyperlink"/>
    <w:basedOn w:val="DefaultParagraphFont"/>
    <w:uiPriority w:val="99"/>
    <w:unhideWhenUsed/>
    <w:rsid w:val="00B0204E"/>
    <w:rPr>
      <w:color w:val="0563C1" w:themeColor="hyperlink"/>
      <w:u w:val="single"/>
    </w:rPr>
  </w:style>
  <w:style w:type="character" w:styleId="UnresolvedMention">
    <w:name w:val="Unresolved Mention"/>
    <w:basedOn w:val="DefaultParagraphFont"/>
    <w:uiPriority w:val="99"/>
    <w:semiHidden/>
    <w:unhideWhenUsed/>
    <w:rsid w:val="00B0204E"/>
    <w:rPr>
      <w:color w:val="605E5C"/>
      <w:shd w:val="clear" w:color="auto" w:fill="E1DFDD"/>
    </w:rPr>
  </w:style>
  <w:style w:type="paragraph" w:styleId="TOCHeading">
    <w:name w:val="TOC Heading"/>
    <w:basedOn w:val="Heading1"/>
    <w:next w:val="Normal"/>
    <w:uiPriority w:val="39"/>
    <w:unhideWhenUsed/>
    <w:qFormat/>
    <w:rsid w:val="00826FA5"/>
    <w:pPr>
      <w:outlineLvl w:val="9"/>
    </w:pPr>
    <w:rPr>
      <w:lang w:val="en-US"/>
    </w:rPr>
  </w:style>
  <w:style w:type="paragraph" w:styleId="TOC1">
    <w:name w:val="toc 1"/>
    <w:basedOn w:val="Normal"/>
    <w:next w:val="Normal"/>
    <w:autoRedefine/>
    <w:uiPriority w:val="39"/>
    <w:unhideWhenUsed/>
    <w:rsid w:val="00826FA5"/>
    <w:pPr>
      <w:spacing w:after="100"/>
    </w:pPr>
  </w:style>
  <w:style w:type="paragraph" w:styleId="TOC2">
    <w:name w:val="toc 2"/>
    <w:basedOn w:val="Normal"/>
    <w:next w:val="Normal"/>
    <w:autoRedefine/>
    <w:uiPriority w:val="39"/>
    <w:unhideWhenUsed/>
    <w:rsid w:val="00826FA5"/>
    <w:pPr>
      <w:spacing w:after="100"/>
      <w:ind w:left="220"/>
    </w:pPr>
  </w:style>
  <w:style w:type="paragraph" w:styleId="ListParagraph">
    <w:name w:val="List Paragraph"/>
    <w:basedOn w:val="Normal"/>
    <w:uiPriority w:val="34"/>
    <w:qFormat/>
    <w:rsid w:val="005B138F"/>
    <w:pPr>
      <w:ind w:left="720"/>
      <w:contextualSpacing/>
    </w:pPr>
  </w:style>
  <w:style w:type="paragraph" w:styleId="Caption">
    <w:name w:val="caption"/>
    <w:basedOn w:val="Normal"/>
    <w:next w:val="Normal"/>
    <w:uiPriority w:val="35"/>
    <w:unhideWhenUsed/>
    <w:qFormat/>
    <w:rsid w:val="004E44B7"/>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56316A"/>
  </w:style>
  <w:style w:type="character" w:customStyle="1" w:styleId="Heading3Char">
    <w:name w:val="Heading 3 Char"/>
    <w:basedOn w:val="DefaultParagraphFont"/>
    <w:link w:val="Heading3"/>
    <w:uiPriority w:val="9"/>
    <w:rsid w:val="00914619"/>
    <w:rPr>
      <w:rFonts w:asciiTheme="majorHAnsi" w:eastAsiaTheme="majorEastAsia" w:hAnsiTheme="majorHAnsi" w:cstheme="majorBidi"/>
      <w:color w:val="1F3763" w:themeColor="accent1" w:themeShade="7F"/>
      <w:sz w:val="26"/>
      <w:szCs w:val="24"/>
    </w:rPr>
  </w:style>
  <w:style w:type="paragraph" w:styleId="BalloonText">
    <w:name w:val="Balloon Text"/>
    <w:basedOn w:val="Normal"/>
    <w:link w:val="BalloonTextChar"/>
    <w:uiPriority w:val="99"/>
    <w:semiHidden/>
    <w:unhideWhenUsed/>
    <w:rsid w:val="0042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523"/>
    <w:rPr>
      <w:rFonts w:ascii="Segoe UI" w:hAnsi="Segoe UI" w:cs="Segoe UI"/>
      <w:sz w:val="18"/>
      <w:szCs w:val="18"/>
    </w:rPr>
  </w:style>
  <w:style w:type="character" w:styleId="FollowedHyperlink">
    <w:name w:val="FollowedHyperlink"/>
    <w:basedOn w:val="DefaultParagraphFont"/>
    <w:uiPriority w:val="99"/>
    <w:semiHidden/>
    <w:unhideWhenUsed/>
    <w:rsid w:val="009E4465"/>
    <w:rPr>
      <w:color w:val="954F72" w:themeColor="followedHyperlink"/>
      <w:u w:val="single"/>
    </w:rPr>
  </w:style>
  <w:style w:type="paragraph" w:styleId="Header">
    <w:name w:val="header"/>
    <w:basedOn w:val="Normal"/>
    <w:link w:val="HeaderChar"/>
    <w:uiPriority w:val="99"/>
    <w:unhideWhenUsed/>
    <w:rsid w:val="00865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BF3"/>
  </w:style>
  <w:style w:type="paragraph" w:styleId="Footer">
    <w:name w:val="footer"/>
    <w:basedOn w:val="Normal"/>
    <w:link w:val="FooterChar"/>
    <w:uiPriority w:val="99"/>
    <w:unhideWhenUsed/>
    <w:rsid w:val="00865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BF3"/>
  </w:style>
  <w:style w:type="table" w:styleId="TableGrid">
    <w:name w:val="Table Grid"/>
    <w:basedOn w:val="TableNormal"/>
    <w:uiPriority w:val="59"/>
    <w:rsid w:val="0093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A1C79"/>
    <w:pPr>
      <w:spacing w:after="100"/>
      <w:ind w:left="440"/>
    </w:pPr>
  </w:style>
  <w:style w:type="character" w:styleId="PlaceholderText">
    <w:name w:val="Placeholder Text"/>
    <w:basedOn w:val="DefaultParagraphFont"/>
    <w:uiPriority w:val="99"/>
    <w:semiHidden/>
    <w:rsid w:val="004006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8886">
      <w:bodyDiv w:val="1"/>
      <w:marLeft w:val="0"/>
      <w:marRight w:val="0"/>
      <w:marTop w:val="0"/>
      <w:marBottom w:val="0"/>
      <w:divBdr>
        <w:top w:val="none" w:sz="0" w:space="0" w:color="auto"/>
        <w:left w:val="none" w:sz="0" w:space="0" w:color="auto"/>
        <w:bottom w:val="none" w:sz="0" w:space="0" w:color="auto"/>
        <w:right w:val="none" w:sz="0" w:space="0" w:color="auto"/>
      </w:divBdr>
    </w:div>
    <w:div w:id="15430205">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194811">
      <w:bodyDiv w:val="1"/>
      <w:marLeft w:val="0"/>
      <w:marRight w:val="0"/>
      <w:marTop w:val="0"/>
      <w:marBottom w:val="0"/>
      <w:divBdr>
        <w:top w:val="none" w:sz="0" w:space="0" w:color="auto"/>
        <w:left w:val="none" w:sz="0" w:space="0" w:color="auto"/>
        <w:bottom w:val="none" w:sz="0" w:space="0" w:color="auto"/>
        <w:right w:val="none" w:sz="0" w:space="0" w:color="auto"/>
      </w:divBdr>
    </w:div>
    <w:div w:id="30617721">
      <w:bodyDiv w:val="1"/>
      <w:marLeft w:val="0"/>
      <w:marRight w:val="0"/>
      <w:marTop w:val="0"/>
      <w:marBottom w:val="0"/>
      <w:divBdr>
        <w:top w:val="none" w:sz="0" w:space="0" w:color="auto"/>
        <w:left w:val="none" w:sz="0" w:space="0" w:color="auto"/>
        <w:bottom w:val="none" w:sz="0" w:space="0" w:color="auto"/>
        <w:right w:val="none" w:sz="0" w:space="0" w:color="auto"/>
      </w:divBdr>
    </w:div>
    <w:div w:id="33620548">
      <w:bodyDiv w:val="1"/>
      <w:marLeft w:val="0"/>
      <w:marRight w:val="0"/>
      <w:marTop w:val="0"/>
      <w:marBottom w:val="0"/>
      <w:divBdr>
        <w:top w:val="none" w:sz="0" w:space="0" w:color="auto"/>
        <w:left w:val="none" w:sz="0" w:space="0" w:color="auto"/>
        <w:bottom w:val="none" w:sz="0" w:space="0" w:color="auto"/>
        <w:right w:val="none" w:sz="0" w:space="0" w:color="auto"/>
      </w:divBdr>
    </w:div>
    <w:div w:id="34350953">
      <w:bodyDiv w:val="1"/>
      <w:marLeft w:val="0"/>
      <w:marRight w:val="0"/>
      <w:marTop w:val="0"/>
      <w:marBottom w:val="0"/>
      <w:divBdr>
        <w:top w:val="none" w:sz="0" w:space="0" w:color="auto"/>
        <w:left w:val="none" w:sz="0" w:space="0" w:color="auto"/>
        <w:bottom w:val="none" w:sz="0" w:space="0" w:color="auto"/>
        <w:right w:val="none" w:sz="0" w:space="0" w:color="auto"/>
      </w:divBdr>
    </w:div>
    <w:div w:id="35937189">
      <w:bodyDiv w:val="1"/>
      <w:marLeft w:val="0"/>
      <w:marRight w:val="0"/>
      <w:marTop w:val="0"/>
      <w:marBottom w:val="0"/>
      <w:divBdr>
        <w:top w:val="none" w:sz="0" w:space="0" w:color="auto"/>
        <w:left w:val="none" w:sz="0" w:space="0" w:color="auto"/>
        <w:bottom w:val="none" w:sz="0" w:space="0" w:color="auto"/>
        <w:right w:val="none" w:sz="0" w:space="0" w:color="auto"/>
      </w:divBdr>
    </w:div>
    <w:div w:id="46926690">
      <w:bodyDiv w:val="1"/>
      <w:marLeft w:val="0"/>
      <w:marRight w:val="0"/>
      <w:marTop w:val="0"/>
      <w:marBottom w:val="0"/>
      <w:divBdr>
        <w:top w:val="none" w:sz="0" w:space="0" w:color="auto"/>
        <w:left w:val="none" w:sz="0" w:space="0" w:color="auto"/>
        <w:bottom w:val="none" w:sz="0" w:space="0" w:color="auto"/>
        <w:right w:val="none" w:sz="0" w:space="0" w:color="auto"/>
      </w:divBdr>
    </w:div>
    <w:div w:id="61366333">
      <w:bodyDiv w:val="1"/>
      <w:marLeft w:val="0"/>
      <w:marRight w:val="0"/>
      <w:marTop w:val="0"/>
      <w:marBottom w:val="0"/>
      <w:divBdr>
        <w:top w:val="none" w:sz="0" w:space="0" w:color="auto"/>
        <w:left w:val="none" w:sz="0" w:space="0" w:color="auto"/>
        <w:bottom w:val="none" w:sz="0" w:space="0" w:color="auto"/>
        <w:right w:val="none" w:sz="0" w:space="0" w:color="auto"/>
      </w:divBdr>
    </w:div>
    <w:div w:id="76485155">
      <w:bodyDiv w:val="1"/>
      <w:marLeft w:val="0"/>
      <w:marRight w:val="0"/>
      <w:marTop w:val="0"/>
      <w:marBottom w:val="0"/>
      <w:divBdr>
        <w:top w:val="none" w:sz="0" w:space="0" w:color="auto"/>
        <w:left w:val="none" w:sz="0" w:space="0" w:color="auto"/>
        <w:bottom w:val="none" w:sz="0" w:space="0" w:color="auto"/>
        <w:right w:val="none" w:sz="0" w:space="0" w:color="auto"/>
      </w:divBdr>
    </w:div>
    <w:div w:id="88435282">
      <w:bodyDiv w:val="1"/>
      <w:marLeft w:val="0"/>
      <w:marRight w:val="0"/>
      <w:marTop w:val="0"/>
      <w:marBottom w:val="0"/>
      <w:divBdr>
        <w:top w:val="none" w:sz="0" w:space="0" w:color="auto"/>
        <w:left w:val="none" w:sz="0" w:space="0" w:color="auto"/>
        <w:bottom w:val="none" w:sz="0" w:space="0" w:color="auto"/>
        <w:right w:val="none" w:sz="0" w:space="0" w:color="auto"/>
      </w:divBdr>
    </w:div>
    <w:div w:id="98839611">
      <w:bodyDiv w:val="1"/>
      <w:marLeft w:val="0"/>
      <w:marRight w:val="0"/>
      <w:marTop w:val="0"/>
      <w:marBottom w:val="0"/>
      <w:divBdr>
        <w:top w:val="none" w:sz="0" w:space="0" w:color="auto"/>
        <w:left w:val="none" w:sz="0" w:space="0" w:color="auto"/>
        <w:bottom w:val="none" w:sz="0" w:space="0" w:color="auto"/>
        <w:right w:val="none" w:sz="0" w:space="0" w:color="auto"/>
      </w:divBdr>
    </w:div>
    <w:div w:id="99495526">
      <w:bodyDiv w:val="1"/>
      <w:marLeft w:val="0"/>
      <w:marRight w:val="0"/>
      <w:marTop w:val="0"/>
      <w:marBottom w:val="0"/>
      <w:divBdr>
        <w:top w:val="none" w:sz="0" w:space="0" w:color="auto"/>
        <w:left w:val="none" w:sz="0" w:space="0" w:color="auto"/>
        <w:bottom w:val="none" w:sz="0" w:space="0" w:color="auto"/>
        <w:right w:val="none" w:sz="0" w:space="0" w:color="auto"/>
      </w:divBdr>
    </w:div>
    <w:div w:id="108859491">
      <w:bodyDiv w:val="1"/>
      <w:marLeft w:val="0"/>
      <w:marRight w:val="0"/>
      <w:marTop w:val="0"/>
      <w:marBottom w:val="0"/>
      <w:divBdr>
        <w:top w:val="none" w:sz="0" w:space="0" w:color="auto"/>
        <w:left w:val="none" w:sz="0" w:space="0" w:color="auto"/>
        <w:bottom w:val="none" w:sz="0" w:space="0" w:color="auto"/>
        <w:right w:val="none" w:sz="0" w:space="0" w:color="auto"/>
      </w:divBdr>
    </w:div>
    <w:div w:id="112019105">
      <w:bodyDiv w:val="1"/>
      <w:marLeft w:val="0"/>
      <w:marRight w:val="0"/>
      <w:marTop w:val="0"/>
      <w:marBottom w:val="0"/>
      <w:divBdr>
        <w:top w:val="none" w:sz="0" w:space="0" w:color="auto"/>
        <w:left w:val="none" w:sz="0" w:space="0" w:color="auto"/>
        <w:bottom w:val="none" w:sz="0" w:space="0" w:color="auto"/>
        <w:right w:val="none" w:sz="0" w:space="0" w:color="auto"/>
      </w:divBdr>
    </w:div>
    <w:div w:id="125858972">
      <w:bodyDiv w:val="1"/>
      <w:marLeft w:val="0"/>
      <w:marRight w:val="0"/>
      <w:marTop w:val="0"/>
      <w:marBottom w:val="0"/>
      <w:divBdr>
        <w:top w:val="none" w:sz="0" w:space="0" w:color="auto"/>
        <w:left w:val="none" w:sz="0" w:space="0" w:color="auto"/>
        <w:bottom w:val="none" w:sz="0" w:space="0" w:color="auto"/>
        <w:right w:val="none" w:sz="0" w:space="0" w:color="auto"/>
      </w:divBdr>
    </w:div>
    <w:div w:id="140656033">
      <w:bodyDiv w:val="1"/>
      <w:marLeft w:val="0"/>
      <w:marRight w:val="0"/>
      <w:marTop w:val="0"/>
      <w:marBottom w:val="0"/>
      <w:divBdr>
        <w:top w:val="none" w:sz="0" w:space="0" w:color="auto"/>
        <w:left w:val="none" w:sz="0" w:space="0" w:color="auto"/>
        <w:bottom w:val="none" w:sz="0" w:space="0" w:color="auto"/>
        <w:right w:val="none" w:sz="0" w:space="0" w:color="auto"/>
      </w:divBdr>
    </w:div>
    <w:div w:id="141240251">
      <w:bodyDiv w:val="1"/>
      <w:marLeft w:val="0"/>
      <w:marRight w:val="0"/>
      <w:marTop w:val="0"/>
      <w:marBottom w:val="0"/>
      <w:divBdr>
        <w:top w:val="none" w:sz="0" w:space="0" w:color="auto"/>
        <w:left w:val="none" w:sz="0" w:space="0" w:color="auto"/>
        <w:bottom w:val="none" w:sz="0" w:space="0" w:color="auto"/>
        <w:right w:val="none" w:sz="0" w:space="0" w:color="auto"/>
      </w:divBdr>
    </w:div>
    <w:div w:id="142504384">
      <w:bodyDiv w:val="1"/>
      <w:marLeft w:val="0"/>
      <w:marRight w:val="0"/>
      <w:marTop w:val="0"/>
      <w:marBottom w:val="0"/>
      <w:divBdr>
        <w:top w:val="none" w:sz="0" w:space="0" w:color="auto"/>
        <w:left w:val="none" w:sz="0" w:space="0" w:color="auto"/>
        <w:bottom w:val="none" w:sz="0" w:space="0" w:color="auto"/>
        <w:right w:val="none" w:sz="0" w:space="0" w:color="auto"/>
      </w:divBdr>
    </w:div>
    <w:div w:id="153382188">
      <w:bodyDiv w:val="1"/>
      <w:marLeft w:val="0"/>
      <w:marRight w:val="0"/>
      <w:marTop w:val="0"/>
      <w:marBottom w:val="0"/>
      <w:divBdr>
        <w:top w:val="none" w:sz="0" w:space="0" w:color="auto"/>
        <w:left w:val="none" w:sz="0" w:space="0" w:color="auto"/>
        <w:bottom w:val="none" w:sz="0" w:space="0" w:color="auto"/>
        <w:right w:val="none" w:sz="0" w:space="0" w:color="auto"/>
      </w:divBdr>
    </w:div>
    <w:div w:id="160003424">
      <w:bodyDiv w:val="1"/>
      <w:marLeft w:val="0"/>
      <w:marRight w:val="0"/>
      <w:marTop w:val="0"/>
      <w:marBottom w:val="0"/>
      <w:divBdr>
        <w:top w:val="none" w:sz="0" w:space="0" w:color="auto"/>
        <w:left w:val="none" w:sz="0" w:space="0" w:color="auto"/>
        <w:bottom w:val="none" w:sz="0" w:space="0" w:color="auto"/>
        <w:right w:val="none" w:sz="0" w:space="0" w:color="auto"/>
      </w:divBdr>
    </w:div>
    <w:div w:id="165830307">
      <w:bodyDiv w:val="1"/>
      <w:marLeft w:val="0"/>
      <w:marRight w:val="0"/>
      <w:marTop w:val="0"/>
      <w:marBottom w:val="0"/>
      <w:divBdr>
        <w:top w:val="none" w:sz="0" w:space="0" w:color="auto"/>
        <w:left w:val="none" w:sz="0" w:space="0" w:color="auto"/>
        <w:bottom w:val="none" w:sz="0" w:space="0" w:color="auto"/>
        <w:right w:val="none" w:sz="0" w:space="0" w:color="auto"/>
      </w:divBdr>
    </w:div>
    <w:div w:id="167209141">
      <w:bodyDiv w:val="1"/>
      <w:marLeft w:val="0"/>
      <w:marRight w:val="0"/>
      <w:marTop w:val="0"/>
      <w:marBottom w:val="0"/>
      <w:divBdr>
        <w:top w:val="none" w:sz="0" w:space="0" w:color="auto"/>
        <w:left w:val="none" w:sz="0" w:space="0" w:color="auto"/>
        <w:bottom w:val="none" w:sz="0" w:space="0" w:color="auto"/>
        <w:right w:val="none" w:sz="0" w:space="0" w:color="auto"/>
      </w:divBdr>
    </w:div>
    <w:div w:id="191843985">
      <w:bodyDiv w:val="1"/>
      <w:marLeft w:val="0"/>
      <w:marRight w:val="0"/>
      <w:marTop w:val="0"/>
      <w:marBottom w:val="0"/>
      <w:divBdr>
        <w:top w:val="none" w:sz="0" w:space="0" w:color="auto"/>
        <w:left w:val="none" w:sz="0" w:space="0" w:color="auto"/>
        <w:bottom w:val="none" w:sz="0" w:space="0" w:color="auto"/>
        <w:right w:val="none" w:sz="0" w:space="0" w:color="auto"/>
      </w:divBdr>
    </w:div>
    <w:div w:id="199822905">
      <w:bodyDiv w:val="1"/>
      <w:marLeft w:val="0"/>
      <w:marRight w:val="0"/>
      <w:marTop w:val="0"/>
      <w:marBottom w:val="0"/>
      <w:divBdr>
        <w:top w:val="none" w:sz="0" w:space="0" w:color="auto"/>
        <w:left w:val="none" w:sz="0" w:space="0" w:color="auto"/>
        <w:bottom w:val="none" w:sz="0" w:space="0" w:color="auto"/>
        <w:right w:val="none" w:sz="0" w:space="0" w:color="auto"/>
      </w:divBdr>
    </w:div>
    <w:div w:id="204101715">
      <w:bodyDiv w:val="1"/>
      <w:marLeft w:val="0"/>
      <w:marRight w:val="0"/>
      <w:marTop w:val="0"/>
      <w:marBottom w:val="0"/>
      <w:divBdr>
        <w:top w:val="none" w:sz="0" w:space="0" w:color="auto"/>
        <w:left w:val="none" w:sz="0" w:space="0" w:color="auto"/>
        <w:bottom w:val="none" w:sz="0" w:space="0" w:color="auto"/>
        <w:right w:val="none" w:sz="0" w:space="0" w:color="auto"/>
      </w:divBdr>
    </w:div>
    <w:div w:id="205679428">
      <w:bodyDiv w:val="1"/>
      <w:marLeft w:val="0"/>
      <w:marRight w:val="0"/>
      <w:marTop w:val="0"/>
      <w:marBottom w:val="0"/>
      <w:divBdr>
        <w:top w:val="none" w:sz="0" w:space="0" w:color="auto"/>
        <w:left w:val="none" w:sz="0" w:space="0" w:color="auto"/>
        <w:bottom w:val="none" w:sz="0" w:space="0" w:color="auto"/>
        <w:right w:val="none" w:sz="0" w:space="0" w:color="auto"/>
      </w:divBdr>
    </w:div>
    <w:div w:id="210381751">
      <w:bodyDiv w:val="1"/>
      <w:marLeft w:val="0"/>
      <w:marRight w:val="0"/>
      <w:marTop w:val="0"/>
      <w:marBottom w:val="0"/>
      <w:divBdr>
        <w:top w:val="none" w:sz="0" w:space="0" w:color="auto"/>
        <w:left w:val="none" w:sz="0" w:space="0" w:color="auto"/>
        <w:bottom w:val="none" w:sz="0" w:space="0" w:color="auto"/>
        <w:right w:val="none" w:sz="0" w:space="0" w:color="auto"/>
      </w:divBdr>
    </w:div>
    <w:div w:id="210655551">
      <w:bodyDiv w:val="1"/>
      <w:marLeft w:val="0"/>
      <w:marRight w:val="0"/>
      <w:marTop w:val="0"/>
      <w:marBottom w:val="0"/>
      <w:divBdr>
        <w:top w:val="none" w:sz="0" w:space="0" w:color="auto"/>
        <w:left w:val="none" w:sz="0" w:space="0" w:color="auto"/>
        <w:bottom w:val="none" w:sz="0" w:space="0" w:color="auto"/>
        <w:right w:val="none" w:sz="0" w:space="0" w:color="auto"/>
      </w:divBdr>
    </w:div>
    <w:div w:id="210848979">
      <w:bodyDiv w:val="1"/>
      <w:marLeft w:val="0"/>
      <w:marRight w:val="0"/>
      <w:marTop w:val="0"/>
      <w:marBottom w:val="0"/>
      <w:divBdr>
        <w:top w:val="none" w:sz="0" w:space="0" w:color="auto"/>
        <w:left w:val="none" w:sz="0" w:space="0" w:color="auto"/>
        <w:bottom w:val="none" w:sz="0" w:space="0" w:color="auto"/>
        <w:right w:val="none" w:sz="0" w:space="0" w:color="auto"/>
      </w:divBdr>
    </w:div>
    <w:div w:id="211620219">
      <w:bodyDiv w:val="1"/>
      <w:marLeft w:val="0"/>
      <w:marRight w:val="0"/>
      <w:marTop w:val="0"/>
      <w:marBottom w:val="0"/>
      <w:divBdr>
        <w:top w:val="none" w:sz="0" w:space="0" w:color="auto"/>
        <w:left w:val="none" w:sz="0" w:space="0" w:color="auto"/>
        <w:bottom w:val="none" w:sz="0" w:space="0" w:color="auto"/>
        <w:right w:val="none" w:sz="0" w:space="0" w:color="auto"/>
      </w:divBdr>
    </w:div>
    <w:div w:id="213591102">
      <w:bodyDiv w:val="1"/>
      <w:marLeft w:val="0"/>
      <w:marRight w:val="0"/>
      <w:marTop w:val="0"/>
      <w:marBottom w:val="0"/>
      <w:divBdr>
        <w:top w:val="none" w:sz="0" w:space="0" w:color="auto"/>
        <w:left w:val="none" w:sz="0" w:space="0" w:color="auto"/>
        <w:bottom w:val="none" w:sz="0" w:space="0" w:color="auto"/>
        <w:right w:val="none" w:sz="0" w:space="0" w:color="auto"/>
      </w:divBdr>
    </w:div>
    <w:div w:id="220406827">
      <w:bodyDiv w:val="1"/>
      <w:marLeft w:val="0"/>
      <w:marRight w:val="0"/>
      <w:marTop w:val="0"/>
      <w:marBottom w:val="0"/>
      <w:divBdr>
        <w:top w:val="none" w:sz="0" w:space="0" w:color="auto"/>
        <w:left w:val="none" w:sz="0" w:space="0" w:color="auto"/>
        <w:bottom w:val="none" w:sz="0" w:space="0" w:color="auto"/>
        <w:right w:val="none" w:sz="0" w:space="0" w:color="auto"/>
      </w:divBdr>
    </w:div>
    <w:div w:id="221446744">
      <w:bodyDiv w:val="1"/>
      <w:marLeft w:val="0"/>
      <w:marRight w:val="0"/>
      <w:marTop w:val="0"/>
      <w:marBottom w:val="0"/>
      <w:divBdr>
        <w:top w:val="none" w:sz="0" w:space="0" w:color="auto"/>
        <w:left w:val="none" w:sz="0" w:space="0" w:color="auto"/>
        <w:bottom w:val="none" w:sz="0" w:space="0" w:color="auto"/>
        <w:right w:val="none" w:sz="0" w:space="0" w:color="auto"/>
      </w:divBdr>
    </w:div>
    <w:div w:id="224337561">
      <w:bodyDiv w:val="1"/>
      <w:marLeft w:val="0"/>
      <w:marRight w:val="0"/>
      <w:marTop w:val="0"/>
      <w:marBottom w:val="0"/>
      <w:divBdr>
        <w:top w:val="none" w:sz="0" w:space="0" w:color="auto"/>
        <w:left w:val="none" w:sz="0" w:space="0" w:color="auto"/>
        <w:bottom w:val="none" w:sz="0" w:space="0" w:color="auto"/>
        <w:right w:val="none" w:sz="0" w:space="0" w:color="auto"/>
      </w:divBdr>
    </w:div>
    <w:div w:id="227427740">
      <w:bodyDiv w:val="1"/>
      <w:marLeft w:val="0"/>
      <w:marRight w:val="0"/>
      <w:marTop w:val="0"/>
      <w:marBottom w:val="0"/>
      <w:divBdr>
        <w:top w:val="none" w:sz="0" w:space="0" w:color="auto"/>
        <w:left w:val="none" w:sz="0" w:space="0" w:color="auto"/>
        <w:bottom w:val="none" w:sz="0" w:space="0" w:color="auto"/>
        <w:right w:val="none" w:sz="0" w:space="0" w:color="auto"/>
      </w:divBdr>
    </w:div>
    <w:div w:id="233275352">
      <w:bodyDiv w:val="1"/>
      <w:marLeft w:val="0"/>
      <w:marRight w:val="0"/>
      <w:marTop w:val="0"/>
      <w:marBottom w:val="0"/>
      <w:divBdr>
        <w:top w:val="none" w:sz="0" w:space="0" w:color="auto"/>
        <w:left w:val="none" w:sz="0" w:space="0" w:color="auto"/>
        <w:bottom w:val="none" w:sz="0" w:space="0" w:color="auto"/>
        <w:right w:val="none" w:sz="0" w:space="0" w:color="auto"/>
      </w:divBdr>
    </w:div>
    <w:div w:id="235475826">
      <w:bodyDiv w:val="1"/>
      <w:marLeft w:val="0"/>
      <w:marRight w:val="0"/>
      <w:marTop w:val="0"/>
      <w:marBottom w:val="0"/>
      <w:divBdr>
        <w:top w:val="none" w:sz="0" w:space="0" w:color="auto"/>
        <w:left w:val="none" w:sz="0" w:space="0" w:color="auto"/>
        <w:bottom w:val="none" w:sz="0" w:space="0" w:color="auto"/>
        <w:right w:val="none" w:sz="0" w:space="0" w:color="auto"/>
      </w:divBdr>
    </w:div>
    <w:div w:id="241523419">
      <w:bodyDiv w:val="1"/>
      <w:marLeft w:val="0"/>
      <w:marRight w:val="0"/>
      <w:marTop w:val="0"/>
      <w:marBottom w:val="0"/>
      <w:divBdr>
        <w:top w:val="none" w:sz="0" w:space="0" w:color="auto"/>
        <w:left w:val="none" w:sz="0" w:space="0" w:color="auto"/>
        <w:bottom w:val="none" w:sz="0" w:space="0" w:color="auto"/>
        <w:right w:val="none" w:sz="0" w:space="0" w:color="auto"/>
      </w:divBdr>
    </w:div>
    <w:div w:id="242299157">
      <w:bodyDiv w:val="1"/>
      <w:marLeft w:val="0"/>
      <w:marRight w:val="0"/>
      <w:marTop w:val="0"/>
      <w:marBottom w:val="0"/>
      <w:divBdr>
        <w:top w:val="none" w:sz="0" w:space="0" w:color="auto"/>
        <w:left w:val="none" w:sz="0" w:space="0" w:color="auto"/>
        <w:bottom w:val="none" w:sz="0" w:space="0" w:color="auto"/>
        <w:right w:val="none" w:sz="0" w:space="0" w:color="auto"/>
      </w:divBdr>
    </w:div>
    <w:div w:id="257716604">
      <w:bodyDiv w:val="1"/>
      <w:marLeft w:val="0"/>
      <w:marRight w:val="0"/>
      <w:marTop w:val="0"/>
      <w:marBottom w:val="0"/>
      <w:divBdr>
        <w:top w:val="none" w:sz="0" w:space="0" w:color="auto"/>
        <w:left w:val="none" w:sz="0" w:space="0" w:color="auto"/>
        <w:bottom w:val="none" w:sz="0" w:space="0" w:color="auto"/>
        <w:right w:val="none" w:sz="0" w:space="0" w:color="auto"/>
      </w:divBdr>
    </w:div>
    <w:div w:id="262568226">
      <w:bodyDiv w:val="1"/>
      <w:marLeft w:val="0"/>
      <w:marRight w:val="0"/>
      <w:marTop w:val="0"/>
      <w:marBottom w:val="0"/>
      <w:divBdr>
        <w:top w:val="none" w:sz="0" w:space="0" w:color="auto"/>
        <w:left w:val="none" w:sz="0" w:space="0" w:color="auto"/>
        <w:bottom w:val="none" w:sz="0" w:space="0" w:color="auto"/>
        <w:right w:val="none" w:sz="0" w:space="0" w:color="auto"/>
      </w:divBdr>
    </w:div>
    <w:div w:id="279268989">
      <w:bodyDiv w:val="1"/>
      <w:marLeft w:val="0"/>
      <w:marRight w:val="0"/>
      <w:marTop w:val="0"/>
      <w:marBottom w:val="0"/>
      <w:divBdr>
        <w:top w:val="none" w:sz="0" w:space="0" w:color="auto"/>
        <w:left w:val="none" w:sz="0" w:space="0" w:color="auto"/>
        <w:bottom w:val="none" w:sz="0" w:space="0" w:color="auto"/>
        <w:right w:val="none" w:sz="0" w:space="0" w:color="auto"/>
      </w:divBdr>
    </w:div>
    <w:div w:id="280113523">
      <w:bodyDiv w:val="1"/>
      <w:marLeft w:val="0"/>
      <w:marRight w:val="0"/>
      <w:marTop w:val="0"/>
      <w:marBottom w:val="0"/>
      <w:divBdr>
        <w:top w:val="none" w:sz="0" w:space="0" w:color="auto"/>
        <w:left w:val="none" w:sz="0" w:space="0" w:color="auto"/>
        <w:bottom w:val="none" w:sz="0" w:space="0" w:color="auto"/>
        <w:right w:val="none" w:sz="0" w:space="0" w:color="auto"/>
      </w:divBdr>
    </w:div>
    <w:div w:id="280765789">
      <w:bodyDiv w:val="1"/>
      <w:marLeft w:val="0"/>
      <w:marRight w:val="0"/>
      <w:marTop w:val="0"/>
      <w:marBottom w:val="0"/>
      <w:divBdr>
        <w:top w:val="none" w:sz="0" w:space="0" w:color="auto"/>
        <w:left w:val="none" w:sz="0" w:space="0" w:color="auto"/>
        <w:bottom w:val="none" w:sz="0" w:space="0" w:color="auto"/>
        <w:right w:val="none" w:sz="0" w:space="0" w:color="auto"/>
      </w:divBdr>
    </w:div>
    <w:div w:id="285048162">
      <w:bodyDiv w:val="1"/>
      <w:marLeft w:val="0"/>
      <w:marRight w:val="0"/>
      <w:marTop w:val="0"/>
      <w:marBottom w:val="0"/>
      <w:divBdr>
        <w:top w:val="none" w:sz="0" w:space="0" w:color="auto"/>
        <w:left w:val="none" w:sz="0" w:space="0" w:color="auto"/>
        <w:bottom w:val="none" w:sz="0" w:space="0" w:color="auto"/>
        <w:right w:val="none" w:sz="0" w:space="0" w:color="auto"/>
      </w:divBdr>
    </w:div>
    <w:div w:id="294339675">
      <w:bodyDiv w:val="1"/>
      <w:marLeft w:val="0"/>
      <w:marRight w:val="0"/>
      <w:marTop w:val="0"/>
      <w:marBottom w:val="0"/>
      <w:divBdr>
        <w:top w:val="none" w:sz="0" w:space="0" w:color="auto"/>
        <w:left w:val="none" w:sz="0" w:space="0" w:color="auto"/>
        <w:bottom w:val="none" w:sz="0" w:space="0" w:color="auto"/>
        <w:right w:val="none" w:sz="0" w:space="0" w:color="auto"/>
      </w:divBdr>
    </w:div>
    <w:div w:id="302734324">
      <w:bodyDiv w:val="1"/>
      <w:marLeft w:val="0"/>
      <w:marRight w:val="0"/>
      <w:marTop w:val="0"/>
      <w:marBottom w:val="0"/>
      <w:divBdr>
        <w:top w:val="none" w:sz="0" w:space="0" w:color="auto"/>
        <w:left w:val="none" w:sz="0" w:space="0" w:color="auto"/>
        <w:bottom w:val="none" w:sz="0" w:space="0" w:color="auto"/>
        <w:right w:val="none" w:sz="0" w:space="0" w:color="auto"/>
      </w:divBdr>
    </w:div>
    <w:div w:id="303320778">
      <w:bodyDiv w:val="1"/>
      <w:marLeft w:val="0"/>
      <w:marRight w:val="0"/>
      <w:marTop w:val="0"/>
      <w:marBottom w:val="0"/>
      <w:divBdr>
        <w:top w:val="none" w:sz="0" w:space="0" w:color="auto"/>
        <w:left w:val="none" w:sz="0" w:space="0" w:color="auto"/>
        <w:bottom w:val="none" w:sz="0" w:space="0" w:color="auto"/>
        <w:right w:val="none" w:sz="0" w:space="0" w:color="auto"/>
      </w:divBdr>
    </w:div>
    <w:div w:id="308287659">
      <w:bodyDiv w:val="1"/>
      <w:marLeft w:val="0"/>
      <w:marRight w:val="0"/>
      <w:marTop w:val="0"/>
      <w:marBottom w:val="0"/>
      <w:divBdr>
        <w:top w:val="none" w:sz="0" w:space="0" w:color="auto"/>
        <w:left w:val="none" w:sz="0" w:space="0" w:color="auto"/>
        <w:bottom w:val="none" w:sz="0" w:space="0" w:color="auto"/>
        <w:right w:val="none" w:sz="0" w:space="0" w:color="auto"/>
      </w:divBdr>
    </w:div>
    <w:div w:id="310254199">
      <w:bodyDiv w:val="1"/>
      <w:marLeft w:val="0"/>
      <w:marRight w:val="0"/>
      <w:marTop w:val="0"/>
      <w:marBottom w:val="0"/>
      <w:divBdr>
        <w:top w:val="none" w:sz="0" w:space="0" w:color="auto"/>
        <w:left w:val="none" w:sz="0" w:space="0" w:color="auto"/>
        <w:bottom w:val="none" w:sz="0" w:space="0" w:color="auto"/>
        <w:right w:val="none" w:sz="0" w:space="0" w:color="auto"/>
      </w:divBdr>
    </w:div>
    <w:div w:id="312222277">
      <w:bodyDiv w:val="1"/>
      <w:marLeft w:val="0"/>
      <w:marRight w:val="0"/>
      <w:marTop w:val="0"/>
      <w:marBottom w:val="0"/>
      <w:divBdr>
        <w:top w:val="none" w:sz="0" w:space="0" w:color="auto"/>
        <w:left w:val="none" w:sz="0" w:space="0" w:color="auto"/>
        <w:bottom w:val="none" w:sz="0" w:space="0" w:color="auto"/>
        <w:right w:val="none" w:sz="0" w:space="0" w:color="auto"/>
      </w:divBdr>
    </w:div>
    <w:div w:id="327563833">
      <w:bodyDiv w:val="1"/>
      <w:marLeft w:val="0"/>
      <w:marRight w:val="0"/>
      <w:marTop w:val="0"/>
      <w:marBottom w:val="0"/>
      <w:divBdr>
        <w:top w:val="none" w:sz="0" w:space="0" w:color="auto"/>
        <w:left w:val="none" w:sz="0" w:space="0" w:color="auto"/>
        <w:bottom w:val="none" w:sz="0" w:space="0" w:color="auto"/>
        <w:right w:val="none" w:sz="0" w:space="0" w:color="auto"/>
      </w:divBdr>
    </w:div>
    <w:div w:id="328292712">
      <w:bodyDiv w:val="1"/>
      <w:marLeft w:val="0"/>
      <w:marRight w:val="0"/>
      <w:marTop w:val="0"/>
      <w:marBottom w:val="0"/>
      <w:divBdr>
        <w:top w:val="none" w:sz="0" w:space="0" w:color="auto"/>
        <w:left w:val="none" w:sz="0" w:space="0" w:color="auto"/>
        <w:bottom w:val="none" w:sz="0" w:space="0" w:color="auto"/>
        <w:right w:val="none" w:sz="0" w:space="0" w:color="auto"/>
      </w:divBdr>
    </w:div>
    <w:div w:id="337192571">
      <w:bodyDiv w:val="1"/>
      <w:marLeft w:val="0"/>
      <w:marRight w:val="0"/>
      <w:marTop w:val="0"/>
      <w:marBottom w:val="0"/>
      <w:divBdr>
        <w:top w:val="none" w:sz="0" w:space="0" w:color="auto"/>
        <w:left w:val="none" w:sz="0" w:space="0" w:color="auto"/>
        <w:bottom w:val="none" w:sz="0" w:space="0" w:color="auto"/>
        <w:right w:val="none" w:sz="0" w:space="0" w:color="auto"/>
      </w:divBdr>
    </w:div>
    <w:div w:id="338047918">
      <w:bodyDiv w:val="1"/>
      <w:marLeft w:val="0"/>
      <w:marRight w:val="0"/>
      <w:marTop w:val="0"/>
      <w:marBottom w:val="0"/>
      <w:divBdr>
        <w:top w:val="none" w:sz="0" w:space="0" w:color="auto"/>
        <w:left w:val="none" w:sz="0" w:space="0" w:color="auto"/>
        <w:bottom w:val="none" w:sz="0" w:space="0" w:color="auto"/>
        <w:right w:val="none" w:sz="0" w:space="0" w:color="auto"/>
      </w:divBdr>
    </w:div>
    <w:div w:id="343363955">
      <w:bodyDiv w:val="1"/>
      <w:marLeft w:val="0"/>
      <w:marRight w:val="0"/>
      <w:marTop w:val="0"/>
      <w:marBottom w:val="0"/>
      <w:divBdr>
        <w:top w:val="none" w:sz="0" w:space="0" w:color="auto"/>
        <w:left w:val="none" w:sz="0" w:space="0" w:color="auto"/>
        <w:bottom w:val="none" w:sz="0" w:space="0" w:color="auto"/>
        <w:right w:val="none" w:sz="0" w:space="0" w:color="auto"/>
      </w:divBdr>
    </w:div>
    <w:div w:id="345059778">
      <w:bodyDiv w:val="1"/>
      <w:marLeft w:val="0"/>
      <w:marRight w:val="0"/>
      <w:marTop w:val="0"/>
      <w:marBottom w:val="0"/>
      <w:divBdr>
        <w:top w:val="none" w:sz="0" w:space="0" w:color="auto"/>
        <w:left w:val="none" w:sz="0" w:space="0" w:color="auto"/>
        <w:bottom w:val="none" w:sz="0" w:space="0" w:color="auto"/>
        <w:right w:val="none" w:sz="0" w:space="0" w:color="auto"/>
      </w:divBdr>
    </w:div>
    <w:div w:id="351734557">
      <w:bodyDiv w:val="1"/>
      <w:marLeft w:val="0"/>
      <w:marRight w:val="0"/>
      <w:marTop w:val="0"/>
      <w:marBottom w:val="0"/>
      <w:divBdr>
        <w:top w:val="none" w:sz="0" w:space="0" w:color="auto"/>
        <w:left w:val="none" w:sz="0" w:space="0" w:color="auto"/>
        <w:bottom w:val="none" w:sz="0" w:space="0" w:color="auto"/>
        <w:right w:val="none" w:sz="0" w:space="0" w:color="auto"/>
      </w:divBdr>
    </w:div>
    <w:div w:id="353380633">
      <w:bodyDiv w:val="1"/>
      <w:marLeft w:val="0"/>
      <w:marRight w:val="0"/>
      <w:marTop w:val="0"/>
      <w:marBottom w:val="0"/>
      <w:divBdr>
        <w:top w:val="none" w:sz="0" w:space="0" w:color="auto"/>
        <w:left w:val="none" w:sz="0" w:space="0" w:color="auto"/>
        <w:bottom w:val="none" w:sz="0" w:space="0" w:color="auto"/>
        <w:right w:val="none" w:sz="0" w:space="0" w:color="auto"/>
      </w:divBdr>
    </w:div>
    <w:div w:id="353767929">
      <w:bodyDiv w:val="1"/>
      <w:marLeft w:val="0"/>
      <w:marRight w:val="0"/>
      <w:marTop w:val="0"/>
      <w:marBottom w:val="0"/>
      <w:divBdr>
        <w:top w:val="none" w:sz="0" w:space="0" w:color="auto"/>
        <w:left w:val="none" w:sz="0" w:space="0" w:color="auto"/>
        <w:bottom w:val="none" w:sz="0" w:space="0" w:color="auto"/>
        <w:right w:val="none" w:sz="0" w:space="0" w:color="auto"/>
      </w:divBdr>
    </w:div>
    <w:div w:id="356123323">
      <w:bodyDiv w:val="1"/>
      <w:marLeft w:val="0"/>
      <w:marRight w:val="0"/>
      <w:marTop w:val="0"/>
      <w:marBottom w:val="0"/>
      <w:divBdr>
        <w:top w:val="none" w:sz="0" w:space="0" w:color="auto"/>
        <w:left w:val="none" w:sz="0" w:space="0" w:color="auto"/>
        <w:bottom w:val="none" w:sz="0" w:space="0" w:color="auto"/>
        <w:right w:val="none" w:sz="0" w:space="0" w:color="auto"/>
      </w:divBdr>
    </w:div>
    <w:div w:id="357853062">
      <w:bodyDiv w:val="1"/>
      <w:marLeft w:val="0"/>
      <w:marRight w:val="0"/>
      <w:marTop w:val="0"/>
      <w:marBottom w:val="0"/>
      <w:divBdr>
        <w:top w:val="none" w:sz="0" w:space="0" w:color="auto"/>
        <w:left w:val="none" w:sz="0" w:space="0" w:color="auto"/>
        <w:bottom w:val="none" w:sz="0" w:space="0" w:color="auto"/>
        <w:right w:val="none" w:sz="0" w:space="0" w:color="auto"/>
      </w:divBdr>
    </w:div>
    <w:div w:id="363210080">
      <w:bodyDiv w:val="1"/>
      <w:marLeft w:val="0"/>
      <w:marRight w:val="0"/>
      <w:marTop w:val="0"/>
      <w:marBottom w:val="0"/>
      <w:divBdr>
        <w:top w:val="none" w:sz="0" w:space="0" w:color="auto"/>
        <w:left w:val="none" w:sz="0" w:space="0" w:color="auto"/>
        <w:bottom w:val="none" w:sz="0" w:space="0" w:color="auto"/>
        <w:right w:val="none" w:sz="0" w:space="0" w:color="auto"/>
      </w:divBdr>
    </w:div>
    <w:div w:id="366105785">
      <w:bodyDiv w:val="1"/>
      <w:marLeft w:val="0"/>
      <w:marRight w:val="0"/>
      <w:marTop w:val="0"/>
      <w:marBottom w:val="0"/>
      <w:divBdr>
        <w:top w:val="none" w:sz="0" w:space="0" w:color="auto"/>
        <w:left w:val="none" w:sz="0" w:space="0" w:color="auto"/>
        <w:bottom w:val="none" w:sz="0" w:space="0" w:color="auto"/>
        <w:right w:val="none" w:sz="0" w:space="0" w:color="auto"/>
      </w:divBdr>
    </w:div>
    <w:div w:id="375005411">
      <w:bodyDiv w:val="1"/>
      <w:marLeft w:val="0"/>
      <w:marRight w:val="0"/>
      <w:marTop w:val="0"/>
      <w:marBottom w:val="0"/>
      <w:divBdr>
        <w:top w:val="none" w:sz="0" w:space="0" w:color="auto"/>
        <w:left w:val="none" w:sz="0" w:space="0" w:color="auto"/>
        <w:bottom w:val="none" w:sz="0" w:space="0" w:color="auto"/>
        <w:right w:val="none" w:sz="0" w:space="0" w:color="auto"/>
      </w:divBdr>
    </w:div>
    <w:div w:id="375128963">
      <w:bodyDiv w:val="1"/>
      <w:marLeft w:val="0"/>
      <w:marRight w:val="0"/>
      <w:marTop w:val="0"/>
      <w:marBottom w:val="0"/>
      <w:divBdr>
        <w:top w:val="none" w:sz="0" w:space="0" w:color="auto"/>
        <w:left w:val="none" w:sz="0" w:space="0" w:color="auto"/>
        <w:bottom w:val="none" w:sz="0" w:space="0" w:color="auto"/>
        <w:right w:val="none" w:sz="0" w:space="0" w:color="auto"/>
      </w:divBdr>
    </w:div>
    <w:div w:id="377515031">
      <w:bodyDiv w:val="1"/>
      <w:marLeft w:val="0"/>
      <w:marRight w:val="0"/>
      <w:marTop w:val="0"/>
      <w:marBottom w:val="0"/>
      <w:divBdr>
        <w:top w:val="none" w:sz="0" w:space="0" w:color="auto"/>
        <w:left w:val="none" w:sz="0" w:space="0" w:color="auto"/>
        <w:bottom w:val="none" w:sz="0" w:space="0" w:color="auto"/>
        <w:right w:val="none" w:sz="0" w:space="0" w:color="auto"/>
      </w:divBdr>
    </w:div>
    <w:div w:id="379718804">
      <w:bodyDiv w:val="1"/>
      <w:marLeft w:val="0"/>
      <w:marRight w:val="0"/>
      <w:marTop w:val="0"/>
      <w:marBottom w:val="0"/>
      <w:divBdr>
        <w:top w:val="none" w:sz="0" w:space="0" w:color="auto"/>
        <w:left w:val="none" w:sz="0" w:space="0" w:color="auto"/>
        <w:bottom w:val="none" w:sz="0" w:space="0" w:color="auto"/>
        <w:right w:val="none" w:sz="0" w:space="0" w:color="auto"/>
      </w:divBdr>
    </w:div>
    <w:div w:id="381758636">
      <w:bodyDiv w:val="1"/>
      <w:marLeft w:val="0"/>
      <w:marRight w:val="0"/>
      <w:marTop w:val="0"/>
      <w:marBottom w:val="0"/>
      <w:divBdr>
        <w:top w:val="none" w:sz="0" w:space="0" w:color="auto"/>
        <w:left w:val="none" w:sz="0" w:space="0" w:color="auto"/>
        <w:bottom w:val="none" w:sz="0" w:space="0" w:color="auto"/>
        <w:right w:val="none" w:sz="0" w:space="0" w:color="auto"/>
      </w:divBdr>
    </w:div>
    <w:div w:id="385957137">
      <w:bodyDiv w:val="1"/>
      <w:marLeft w:val="0"/>
      <w:marRight w:val="0"/>
      <w:marTop w:val="0"/>
      <w:marBottom w:val="0"/>
      <w:divBdr>
        <w:top w:val="none" w:sz="0" w:space="0" w:color="auto"/>
        <w:left w:val="none" w:sz="0" w:space="0" w:color="auto"/>
        <w:bottom w:val="none" w:sz="0" w:space="0" w:color="auto"/>
        <w:right w:val="none" w:sz="0" w:space="0" w:color="auto"/>
      </w:divBdr>
    </w:div>
    <w:div w:id="388770117">
      <w:bodyDiv w:val="1"/>
      <w:marLeft w:val="0"/>
      <w:marRight w:val="0"/>
      <w:marTop w:val="0"/>
      <w:marBottom w:val="0"/>
      <w:divBdr>
        <w:top w:val="none" w:sz="0" w:space="0" w:color="auto"/>
        <w:left w:val="none" w:sz="0" w:space="0" w:color="auto"/>
        <w:bottom w:val="none" w:sz="0" w:space="0" w:color="auto"/>
        <w:right w:val="none" w:sz="0" w:space="0" w:color="auto"/>
      </w:divBdr>
    </w:div>
    <w:div w:id="391929301">
      <w:bodyDiv w:val="1"/>
      <w:marLeft w:val="0"/>
      <w:marRight w:val="0"/>
      <w:marTop w:val="0"/>
      <w:marBottom w:val="0"/>
      <w:divBdr>
        <w:top w:val="none" w:sz="0" w:space="0" w:color="auto"/>
        <w:left w:val="none" w:sz="0" w:space="0" w:color="auto"/>
        <w:bottom w:val="none" w:sz="0" w:space="0" w:color="auto"/>
        <w:right w:val="none" w:sz="0" w:space="0" w:color="auto"/>
      </w:divBdr>
    </w:div>
    <w:div w:id="397485707">
      <w:bodyDiv w:val="1"/>
      <w:marLeft w:val="0"/>
      <w:marRight w:val="0"/>
      <w:marTop w:val="0"/>
      <w:marBottom w:val="0"/>
      <w:divBdr>
        <w:top w:val="none" w:sz="0" w:space="0" w:color="auto"/>
        <w:left w:val="none" w:sz="0" w:space="0" w:color="auto"/>
        <w:bottom w:val="none" w:sz="0" w:space="0" w:color="auto"/>
        <w:right w:val="none" w:sz="0" w:space="0" w:color="auto"/>
      </w:divBdr>
    </w:div>
    <w:div w:id="408431123">
      <w:bodyDiv w:val="1"/>
      <w:marLeft w:val="0"/>
      <w:marRight w:val="0"/>
      <w:marTop w:val="0"/>
      <w:marBottom w:val="0"/>
      <w:divBdr>
        <w:top w:val="none" w:sz="0" w:space="0" w:color="auto"/>
        <w:left w:val="none" w:sz="0" w:space="0" w:color="auto"/>
        <w:bottom w:val="none" w:sz="0" w:space="0" w:color="auto"/>
        <w:right w:val="none" w:sz="0" w:space="0" w:color="auto"/>
      </w:divBdr>
    </w:div>
    <w:div w:id="414522703">
      <w:bodyDiv w:val="1"/>
      <w:marLeft w:val="0"/>
      <w:marRight w:val="0"/>
      <w:marTop w:val="0"/>
      <w:marBottom w:val="0"/>
      <w:divBdr>
        <w:top w:val="none" w:sz="0" w:space="0" w:color="auto"/>
        <w:left w:val="none" w:sz="0" w:space="0" w:color="auto"/>
        <w:bottom w:val="none" w:sz="0" w:space="0" w:color="auto"/>
        <w:right w:val="none" w:sz="0" w:space="0" w:color="auto"/>
      </w:divBdr>
    </w:div>
    <w:div w:id="427041625">
      <w:bodyDiv w:val="1"/>
      <w:marLeft w:val="0"/>
      <w:marRight w:val="0"/>
      <w:marTop w:val="0"/>
      <w:marBottom w:val="0"/>
      <w:divBdr>
        <w:top w:val="none" w:sz="0" w:space="0" w:color="auto"/>
        <w:left w:val="none" w:sz="0" w:space="0" w:color="auto"/>
        <w:bottom w:val="none" w:sz="0" w:space="0" w:color="auto"/>
        <w:right w:val="none" w:sz="0" w:space="0" w:color="auto"/>
      </w:divBdr>
    </w:div>
    <w:div w:id="436364396">
      <w:bodyDiv w:val="1"/>
      <w:marLeft w:val="0"/>
      <w:marRight w:val="0"/>
      <w:marTop w:val="0"/>
      <w:marBottom w:val="0"/>
      <w:divBdr>
        <w:top w:val="none" w:sz="0" w:space="0" w:color="auto"/>
        <w:left w:val="none" w:sz="0" w:space="0" w:color="auto"/>
        <w:bottom w:val="none" w:sz="0" w:space="0" w:color="auto"/>
        <w:right w:val="none" w:sz="0" w:space="0" w:color="auto"/>
      </w:divBdr>
    </w:div>
    <w:div w:id="449394064">
      <w:bodyDiv w:val="1"/>
      <w:marLeft w:val="0"/>
      <w:marRight w:val="0"/>
      <w:marTop w:val="0"/>
      <w:marBottom w:val="0"/>
      <w:divBdr>
        <w:top w:val="none" w:sz="0" w:space="0" w:color="auto"/>
        <w:left w:val="none" w:sz="0" w:space="0" w:color="auto"/>
        <w:bottom w:val="none" w:sz="0" w:space="0" w:color="auto"/>
        <w:right w:val="none" w:sz="0" w:space="0" w:color="auto"/>
      </w:divBdr>
    </w:div>
    <w:div w:id="450394072">
      <w:bodyDiv w:val="1"/>
      <w:marLeft w:val="0"/>
      <w:marRight w:val="0"/>
      <w:marTop w:val="0"/>
      <w:marBottom w:val="0"/>
      <w:divBdr>
        <w:top w:val="none" w:sz="0" w:space="0" w:color="auto"/>
        <w:left w:val="none" w:sz="0" w:space="0" w:color="auto"/>
        <w:bottom w:val="none" w:sz="0" w:space="0" w:color="auto"/>
        <w:right w:val="none" w:sz="0" w:space="0" w:color="auto"/>
      </w:divBdr>
    </w:div>
    <w:div w:id="457338646">
      <w:bodyDiv w:val="1"/>
      <w:marLeft w:val="0"/>
      <w:marRight w:val="0"/>
      <w:marTop w:val="0"/>
      <w:marBottom w:val="0"/>
      <w:divBdr>
        <w:top w:val="none" w:sz="0" w:space="0" w:color="auto"/>
        <w:left w:val="none" w:sz="0" w:space="0" w:color="auto"/>
        <w:bottom w:val="none" w:sz="0" w:space="0" w:color="auto"/>
        <w:right w:val="none" w:sz="0" w:space="0" w:color="auto"/>
      </w:divBdr>
    </w:div>
    <w:div w:id="475339829">
      <w:bodyDiv w:val="1"/>
      <w:marLeft w:val="0"/>
      <w:marRight w:val="0"/>
      <w:marTop w:val="0"/>
      <w:marBottom w:val="0"/>
      <w:divBdr>
        <w:top w:val="none" w:sz="0" w:space="0" w:color="auto"/>
        <w:left w:val="none" w:sz="0" w:space="0" w:color="auto"/>
        <w:bottom w:val="none" w:sz="0" w:space="0" w:color="auto"/>
        <w:right w:val="none" w:sz="0" w:space="0" w:color="auto"/>
      </w:divBdr>
    </w:div>
    <w:div w:id="477888815">
      <w:bodyDiv w:val="1"/>
      <w:marLeft w:val="0"/>
      <w:marRight w:val="0"/>
      <w:marTop w:val="0"/>
      <w:marBottom w:val="0"/>
      <w:divBdr>
        <w:top w:val="none" w:sz="0" w:space="0" w:color="auto"/>
        <w:left w:val="none" w:sz="0" w:space="0" w:color="auto"/>
        <w:bottom w:val="none" w:sz="0" w:space="0" w:color="auto"/>
        <w:right w:val="none" w:sz="0" w:space="0" w:color="auto"/>
      </w:divBdr>
    </w:div>
    <w:div w:id="478304623">
      <w:bodyDiv w:val="1"/>
      <w:marLeft w:val="0"/>
      <w:marRight w:val="0"/>
      <w:marTop w:val="0"/>
      <w:marBottom w:val="0"/>
      <w:divBdr>
        <w:top w:val="none" w:sz="0" w:space="0" w:color="auto"/>
        <w:left w:val="none" w:sz="0" w:space="0" w:color="auto"/>
        <w:bottom w:val="none" w:sz="0" w:space="0" w:color="auto"/>
        <w:right w:val="none" w:sz="0" w:space="0" w:color="auto"/>
      </w:divBdr>
    </w:div>
    <w:div w:id="488987819">
      <w:bodyDiv w:val="1"/>
      <w:marLeft w:val="0"/>
      <w:marRight w:val="0"/>
      <w:marTop w:val="0"/>
      <w:marBottom w:val="0"/>
      <w:divBdr>
        <w:top w:val="none" w:sz="0" w:space="0" w:color="auto"/>
        <w:left w:val="none" w:sz="0" w:space="0" w:color="auto"/>
        <w:bottom w:val="none" w:sz="0" w:space="0" w:color="auto"/>
        <w:right w:val="none" w:sz="0" w:space="0" w:color="auto"/>
      </w:divBdr>
    </w:div>
    <w:div w:id="494999745">
      <w:bodyDiv w:val="1"/>
      <w:marLeft w:val="0"/>
      <w:marRight w:val="0"/>
      <w:marTop w:val="0"/>
      <w:marBottom w:val="0"/>
      <w:divBdr>
        <w:top w:val="none" w:sz="0" w:space="0" w:color="auto"/>
        <w:left w:val="none" w:sz="0" w:space="0" w:color="auto"/>
        <w:bottom w:val="none" w:sz="0" w:space="0" w:color="auto"/>
        <w:right w:val="none" w:sz="0" w:space="0" w:color="auto"/>
      </w:divBdr>
    </w:div>
    <w:div w:id="509562662">
      <w:bodyDiv w:val="1"/>
      <w:marLeft w:val="0"/>
      <w:marRight w:val="0"/>
      <w:marTop w:val="0"/>
      <w:marBottom w:val="0"/>
      <w:divBdr>
        <w:top w:val="none" w:sz="0" w:space="0" w:color="auto"/>
        <w:left w:val="none" w:sz="0" w:space="0" w:color="auto"/>
        <w:bottom w:val="none" w:sz="0" w:space="0" w:color="auto"/>
        <w:right w:val="none" w:sz="0" w:space="0" w:color="auto"/>
      </w:divBdr>
    </w:div>
    <w:div w:id="512762900">
      <w:bodyDiv w:val="1"/>
      <w:marLeft w:val="0"/>
      <w:marRight w:val="0"/>
      <w:marTop w:val="0"/>
      <w:marBottom w:val="0"/>
      <w:divBdr>
        <w:top w:val="none" w:sz="0" w:space="0" w:color="auto"/>
        <w:left w:val="none" w:sz="0" w:space="0" w:color="auto"/>
        <w:bottom w:val="none" w:sz="0" w:space="0" w:color="auto"/>
        <w:right w:val="none" w:sz="0" w:space="0" w:color="auto"/>
      </w:divBdr>
    </w:div>
    <w:div w:id="514659022">
      <w:bodyDiv w:val="1"/>
      <w:marLeft w:val="0"/>
      <w:marRight w:val="0"/>
      <w:marTop w:val="0"/>
      <w:marBottom w:val="0"/>
      <w:divBdr>
        <w:top w:val="none" w:sz="0" w:space="0" w:color="auto"/>
        <w:left w:val="none" w:sz="0" w:space="0" w:color="auto"/>
        <w:bottom w:val="none" w:sz="0" w:space="0" w:color="auto"/>
        <w:right w:val="none" w:sz="0" w:space="0" w:color="auto"/>
      </w:divBdr>
    </w:div>
    <w:div w:id="515078244">
      <w:bodyDiv w:val="1"/>
      <w:marLeft w:val="0"/>
      <w:marRight w:val="0"/>
      <w:marTop w:val="0"/>
      <w:marBottom w:val="0"/>
      <w:divBdr>
        <w:top w:val="none" w:sz="0" w:space="0" w:color="auto"/>
        <w:left w:val="none" w:sz="0" w:space="0" w:color="auto"/>
        <w:bottom w:val="none" w:sz="0" w:space="0" w:color="auto"/>
        <w:right w:val="none" w:sz="0" w:space="0" w:color="auto"/>
      </w:divBdr>
    </w:div>
    <w:div w:id="519128383">
      <w:bodyDiv w:val="1"/>
      <w:marLeft w:val="0"/>
      <w:marRight w:val="0"/>
      <w:marTop w:val="0"/>
      <w:marBottom w:val="0"/>
      <w:divBdr>
        <w:top w:val="none" w:sz="0" w:space="0" w:color="auto"/>
        <w:left w:val="none" w:sz="0" w:space="0" w:color="auto"/>
        <w:bottom w:val="none" w:sz="0" w:space="0" w:color="auto"/>
        <w:right w:val="none" w:sz="0" w:space="0" w:color="auto"/>
      </w:divBdr>
    </w:div>
    <w:div w:id="520047434">
      <w:bodyDiv w:val="1"/>
      <w:marLeft w:val="0"/>
      <w:marRight w:val="0"/>
      <w:marTop w:val="0"/>
      <w:marBottom w:val="0"/>
      <w:divBdr>
        <w:top w:val="none" w:sz="0" w:space="0" w:color="auto"/>
        <w:left w:val="none" w:sz="0" w:space="0" w:color="auto"/>
        <w:bottom w:val="none" w:sz="0" w:space="0" w:color="auto"/>
        <w:right w:val="none" w:sz="0" w:space="0" w:color="auto"/>
      </w:divBdr>
    </w:div>
    <w:div w:id="520164491">
      <w:bodyDiv w:val="1"/>
      <w:marLeft w:val="0"/>
      <w:marRight w:val="0"/>
      <w:marTop w:val="0"/>
      <w:marBottom w:val="0"/>
      <w:divBdr>
        <w:top w:val="none" w:sz="0" w:space="0" w:color="auto"/>
        <w:left w:val="none" w:sz="0" w:space="0" w:color="auto"/>
        <w:bottom w:val="none" w:sz="0" w:space="0" w:color="auto"/>
        <w:right w:val="none" w:sz="0" w:space="0" w:color="auto"/>
      </w:divBdr>
    </w:div>
    <w:div w:id="523328379">
      <w:bodyDiv w:val="1"/>
      <w:marLeft w:val="0"/>
      <w:marRight w:val="0"/>
      <w:marTop w:val="0"/>
      <w:marBottom w:val="0"/>
      <w:divBdr>
        <w:top w:val="none" w:sz="0" w:space="0" w:color="auto"/>
        <w:left w:val="none" w:sz="0" w:space="0" w:color="auto"/>
        <w:bottom w:val="none" w:sz="0" w:space="0" w:color="auto"/>
        <w:right w:val="none" w:sz="0" w:space="0" w:color="auto"/>
      </w:divBdr>
    </w:div>
    <w:div w:id="533273828">
      <w:bodyDiv w:val="1"/>
      <w:marLeft w:val="0"/>
      <w:marRight w:val="0"/>
      <w:marTop w:val="0"/>
      <w:marBottom w:val="0"/>
      <w:divBdr>
        <w:top w:val="none" w:sz="0" w:space="0" w:color="auto"/>
        <w:left w:val="none" w:sz="0" w:space="0" w:color="auto"/>
        <w:bottom w:val="none" w:sz="0" w:space="0" w:color="auto"/>
        <w:right w:val="none" w:sz="0" w:space="0" w:color="auto"/>
      </w:divBdr>
    </w:div>
    <w:div w:id="547762843">
      <w:bodyDiv w:val="1"/>
      <w:marLeft w:val="0"/>
      <w:marRight w:val="0"/>
      <w:marTop w:val="0"/>
      <w:marBottom w:val="0"/>
      <w:divBdr>
        <w:top w:val="none" w:sz="0" w:space="0" w:color="auto"/>
        <w:left w:val="none" w:sz="0" w:space="0" w:color="auto"/>
        <w:bottom w:val="none" w:sz="0" w:space="0" w:color="auto"/>
        <w:right w:val="none" w:sz="0" w:space="0" w:color="auto"/>
      </w:divBdr>
    </w:div>
    <w:div w:id="556210899">
      <w:bodyDiv w:val="1"/>
      <w:marLeft w:val="0"/>
      <w:marRight w:val="0"/>
      <w:marTop w:val="0"/>
      <w:marBottom w:val="0"/>
      <w:divBdr>
        <w:top w:val="none" w:sz="0" w:space="0" w:color="auto"/>
        <w:left w:val="none" w:sz="0" w:space="0" w:color="auto"/>
        <w:bottom w:val="none" w:sz="0" w:space="0" w:color="auto"/>
        <w:right w:val="none" w:sz="0" w:space="0" w:color="auto"/>
      </w:divBdr>
    </w:div>
    <w:div w:id="571231298">
      <w:bodyDiv w:val="1"/>
      <w:marLeft w:val="0"/>
      <w:marRight w:val="0"/>
      <w:marTop w:val="0"/>
      <w:marBottom w:val="0"/>
      <w:divBdr>
        <w:top w:val="none" w:sz="0" w:space="0" w:color="auto"/>
        <w:left w:val="none" w:sz="0" w:space="0" w:color="auto"/>
        <w:bottom w:val="none" w:sz="0" w:space="0" w:color="auto"/>
        <w:right w:val="none" w:sz="0" w:space="0" w:color="auto"/>
      </w:divBdr>
    </w:div>
    <w:div w:id="575239502">
      <w:bodyDiv w:val="1"/>
      <w:marLeft w:val="0"/>
      <w:marRight w:val="0"/>
      <w:marTop w:val="0"/>
      <w:marBottom w:val="0"/>
      <w:divBdr>
        <w:top w:val="none" w:sz="0" w:space="0" w:color="auto"/>
        <w:left w:val="none" w:sz="0" w:space="0" w:color="auto"/>
        <w:bottom w:val="none" w:sz="0" w:space="0" w:color="auto"/>
        <w:right w:val="none" w:sz="0" w:space="0" w:color="auto"/>
      </w:divBdr>
    </w:div>
    <w:div w:id="582449669">
      <w:bodyDiv w:val="1"/>
      <w:marLeft w:val="0"/>
      <w:marRight w:val="0"/>
      <w:marTop w:val="0"/>
      <w:marBottom w:val="0"/>
      <w:divBdr>
        <w:top w:val="none" w:sz="0" w:space="0" w:color="auto"/>
        <w:left w:val="none" w:sz="0" w:space="0" w:color="auto"/>
        <w:bottom w:val="none" w:sz="0" w:space="0" w:color="auto"/>
        <w:right w:val="none" w:sz="0" w:space="0" w:color="auto"/>
      </w:divBdr>
    </w:div>
    <w:div w:id="589124086">
      <w:bodyDiv w:val="1"/>
      <w:marLeft w:val="0"/>
      <w:marRight w:val="0"/>
      <w:marTop w:val="0"/>
      <w:marBottom w:val="0"/>
      <w:divBdr>
        <w:top w:val="none" w:sz="0" w:space="0" w:color="auto"/>
        <w:left w:val="none" w:sz="0" w:space="0" w:color="auto"/>
        <w:bottom w:val="none" w:sz="0" w:space="0" w:color="auto"/>
        <w:right w:val="none" w:sz="0" w:space="0" w:color="auto"/>
      </w:divBdr>
    </w:div>
    <w:div w:id="609624174">
      <w:bodyDiv w:val="1"/>
      <w:marLeft w:val="0"/>
      <w:marRight w:val="0"/>
      <w:marTop w:val="0"/>
      <w:marBottom w:val="0"/>
      <w:divBdr>
        <w:top w:val="none" w:sz="0" w:space="0" w:color="auto"/>
        <w:left w:val="none" w:sz="0" w:space="0" w:color="auto"/>
        <w:bottom w:val="none" w:sz="0" w:space="0" w:color="auto"/>
        <w:right w:val="none" w:sz="0" w:space="0" w:color="auto"/>
      </w:divBdr>
    </w:div>
    <w:div w:id="615673509">
      <w:bodyDiv w:val="1"/>
      <w:marLeft w:val="0"/>
      <w:marRight w:val="0"/>
      <w:marTop w:val="0"/>
      <w:marBottom w:val="0"/>
      <w:divBdr>
        <w:top w:val="none" w:sz="0" w:space="0" w:color="auto"/>
        <w:left w:val="none" w:sz="0" w:space="0" w:color="auto"/>
        <w:bottom w:val="none" w:sz="0" w:space="0" w:color="auto"/>
        <w:right w:val="none" w:sz="0" w:space="0" w:color="auto"/>
      </w:divBdr>
    </w:div>
    <w:div w:id="616106968">
      <w:bodyDiv w:val="1"/>
      <w:marLeft w:val="0"/>
      <w:marRight w:val="0"/>
      <w:marTop w:val="0"/>
      <w:marBottom w:val="0"/>
      <w:divBdr>
        <w:top w:val="none" w:sz="0" w:space="0" w:color="auto"/>
        <w:left w:val="none" w:sz="0" w:space="0" w:color="auto"/>
        <w:bottom w:val="none" w:sz="0" w:space="0" w:color="auto"/>
        <w:right w:val="none" w:sz="0" w:space="0" w:color="auto"/>
      </w:divBdr>
    </w:div>
    <w:div w:id="618223880">
      <w:bodyDiv w:val="1"/>
      <w:marLeft w:val="0"/>
      <w:marRight w:val="0"/>
      <w:marTop w:val="0"/>
      <w:marBottom w:val="0"/>
      <w:divBdr>
        <w:top w:val="none" w:sz="0" w:space="0" w:color="auto"/>
        <w:left w:val="none" w:sz="0" w:space="0" w:color="auto"/>
        <w:bottom w:val="none" w:sz="0" w:space="0" w:color="auto"/>
        <w:right w:val="none" w:sz="0" w:space="0" w:color="auto"/>
      </w:divBdr>
    </w:div>
    <w:div w:id="619192935">
      <w:bodyDiv w:val="1"/>
      <w:marLeft w:val="0"/>
      <w:marRight w:val="0"/>
      <w:marTop w:val="0"/>
      <w:marBottom w:val="0"/>
      <w:divBdr>
        <w:top w:val="none" w:sz="0" w:space="0" w:color="auto"/>
        <w:left w:val="none" w:sz="0" w:space="0" w:color="auto"/>
        <w:bottom w:val="none" w:sz="0" w:space="0" w:color="auto"/>
        <w:right w:val="none" w:sz="0" w:space="0" w:color="auto"/>
      </w:divBdr>
    </w:div>
    <w:div w:id="631209860">
      <w:bodyDiv w:val="1"/>
      <w:marLeft w:val="0"/>
      <w:marRight w:val="0"/>
      <w:marTop w:val="0"/>
      <w:marBottom w:val="0"/>
      <w:divBdr>
        <w:top w:val="none" w:sz="0" w:space="0" w:color="auto"/>
        <w:left w:val="none" w:sz="0" w:space="0" w:color="auto"/>
        <w:bottom w:val="none" w:sz="0" w:space="0" w:color="auto"/>
        <w:right w:val="none" w:sz="0" w:space="0" w:color="auto"/>
      </w:divBdr>
    </w:div>
    <w:div w:id="636105519">
      <w:bodyDiv w:val="1"/>
      <w:marLeft w:val="0"/>
      <w:marRight w:val="0"/>
      <w:marTop w:val="0"/>
      <w:marBottom w:val="0"/>
      <w:divBdr>
        <w:top w:val="none" w:sz="0" w:space="0" w:color="auto"/>
        <w:left w:val="none" w:sz="0" w:space="0" w:color="auto"/>
        <w:bottom w:val="none" w:sz="0" w:space="0" w:color="auto"/>
        <w:right w:val="none" w:sz="0" w:space="0" w:color="auto"/>
      </w:divBdr>
    </w:div>
    <w:div w:id="642009751">
      <w:bodyDiv w:val="1"/>
      <w:marLeft w:val="0"/>
      <w:marRight w:val="0"/>
      <w:marTop w:val="0"/>
      <w:marBottom w:val="0"/>
      <w:divBdr>
        <w:top w:val="none" w:sz="0" w:space="0" w:color="auto"/>
        <w:left w:val="none" w:sz="0" w:space="0" w:color="auto"/>
        <w:bottom w:val="none" w:sz="0" w:space="0" w:color="auto"/>
        <w:right w:val="none" w:sz="0" w:space="0" w:color="auto"/>
      </w:divBdr>
    </w:div>
    <w:div w:id="648480092">
      <w:bodyDiv w:val="1"/>
      <w:marLeft w:val="0"/>
      <w:marRight w:val="0"/>
      <w:marTop w:val="0"/>
      <w:marBottom w:val="0"/>
      <w:divBdr>
        <w:top w:val="none" w:sz="0" w:space="0" w:color="auto"/>
        <w:left w:val="none" w:sz="0" w:space="0" w:color="auto"/>
        <w:bottom w:val="none" w:sz="0" w:space="0" w:color="auto"/>
        <w:right w:val="none" w:sz="0" w:space="0" w:color="auto"/>
      </w:divBdr>
    </w:div>
    <w:div w:id="660694382">
      <w:bodyDiv w:val="1"/>
      <w:marLeft w:val="0"/>
      <w:marRight w:val="0"/>
      <w:marTop w:val="0"/>
      <w:marBottom w:val="0"/>
      <w:divBdr>
        <w:top w:val="none" w:sz="0" w:space="0" w:color="auto"/>
        <w:left w:val="none" w:sz="0" w:space="0" w:color="auto"/>
        <w:bottom w:val="none" w:sz="0" w:space="0" w:color="auto"/>
        <w:right w:val="none" w:sz="0" w:space="0" w:color="auto"/>
      </w:divBdr>
    </w:div>
    <w:div w:id="661197045">
      <w:bodyDiv w:val="1"/>
      <w:marLeft w:val="0"/>
      <w:marRight w:val="0"/>
      <w:marTop w:val="0"/>
      <w:marBottom w:val="0"/>
      <w:divBdr>
        <w:top w:val="none" w:sz="0" w:space="0" w:color="auto"/>
        <w:left w:val="none" w:sz="0" w:space="0" w:color="auto"/>
        <w:bottom w:val="none" w:sz="0" w:space="0" w:color="auto"/>
        <w:right w:val="none" w:sz="0" w:space="0" w:color="auto"/>
      </w:divBdr>
    </w:div>
    <w:div w:id="678234312">
      <w:bodyDiv w:val="1"/>
      <w:marLeft w:val="0"/>
      <w:marRight w:val="0"/>
      <w:marTop w:val="0"/>
      <w:marBottom w:val="0"/>
      <w:divBdr>
        <w:top w:val="none" w:sz="0" w:space="0" w:color="auto"/>
        <w:left w:val="none" w:sz="0" w:space="0" w:color="auto"/>
        <w:bottom w:val="none" w:sz="0" w:space="0" w:color="auto"/>
        <w:right w:val="none" w:sz="0" w:space="0" w:color="auto"/>
      </w:divBdr>
    </w:div>
    <w:div w:id="687800372">
      <w:bodyDiv w:val="1"/>
      <w:marLeft w:val="0"/>
      <w:marRight w:val="0"/>
      <w:marTop w:val="0"/>
      <w:marBottom w:val="0"/>
      <w:divBdr>
        <w:top w:val="none" w:sz="0" w:space="0" w:color="auto"/>
        <w:left w:val="none" w:sz="0" w:space="0" w:color="auto"/>
        <w:bottom w:val="none" w:sz="0" w:space="0" w:color="auto"/>
        <w:right w:val="none" w:sz="0" w:space="0" w:color="auto"/>
      </w:divBdr>
    </w:div>
    <w:div w:id="692847070">
      <w:bodyDiv w:val="1"/>
      <w:marLeft w:val="0"/>
      <w:marRight w:val="0"/>
      <w:marTop w:val="0"/>
      <w:marBottom w:val="0"/>
      <w:divBdr>
        <w:top w:val="none" w:sz="0" w:space="0" w:color="auto"/>
        <w:left w:val="none" w:sz="0" w:space="0" w:color="auto"/>
        <w:bottom w:val="none" w:sz="0" w:space="0" w:color="auto"/>
        <w:right w:val="none" w:sz="0" w:space="0" w:color="auto"/>
      </w:divBdr>
    </w:div>
    <w:div w:id="700858685">
      <w:bodyDiv w:val="1"/>
      <w:marLeft w:val="0"/>
      <w:marRight w:val="0"/>
      <w:marTop w:val="0"/>
      <w:marBottom w:val="0"/>
      <w:divBdr>
        <w:top w:val="none" w:sz="0" w:space="0" w:color="auto"/>
        <w:left w:val="none" w:sz="0" w:space="0" w:color="auto"/>
        <w:bottom w:val="none" w:sz="0" w:space="0" w:color="auto"/>
        <w:right w:val="none" w:sz="0" w:space="0" w:color="auto"/>
      </w:divBdr>
    </w:div>
    <w:div w:id="714233234">
      <w:bodyDiv w:val="1"/>
      <w:marLeft w:val="0"/>
      <w:marRight w:val="0"/>
      <w:marTop w:val="0"/>
      <w:marBottom w:val="0"/>
      <w:divBdr>
        <w:top w:val="none" w:sz="0" w:space="0" w:color="auto"/>
        <w:left w:val="none" w:sz="0" w:space="0" w:color="auto"/>
        <w:bottom w:val="none" w:sz="0" w:space="0" w:color="auto"/>
        <w:right w:val="none" w:sz="0" w:space="0" w:color="auto"/>
      </w:divBdr>
    </w:div>
    <w:div w:id="715005700">
      <w:bodyDiv w:val="1"/>
      <w:marLeft w:val="0"/>
      <w:marRight w:val="0"/>
      <w:marTop w:val="0"/>
      <w:marBottom w:val="0"/>
      <w:divBdr>
        <w:top w:val="none" w:sz="0" w:space="0" w:color="auto"/>
        <w:left w:val="none" w:sz="0" w:space="0" w:color="auto"/>
        <w:bottom w:val="none" w:sz="0" w:space="0" w:color="auto"/>
        <w:right w:val="none" w:sz="0" w:space="0" w:color="auto"/>
      </w:divBdr>
    </w:div>
    <w:div w:id="723797923">
      <w:bodyDiv w:val="1"/>
      <w:marLeft w:val="0"/>
      <w:marRight w:val="0"/>
      <w:marTop w:val="0"/>
      <w:marBottom w:val="0"/>
      <w:divBdr>
        <w:top w:val="none" w:sz="0" w:space="0" w:color="auto"/>
        <w:left w:val="none" w:sz="0" w:space="0" w:color="auto"/>
        <w:bottom w:val="none" w:sz="0" w:space="0" w:color="auto"/>
        <w:right w:val="none" w:sz="0" w:space="0" w:color="auto"/>
      </w:divBdr>
    </w:div>
    <w:div w:id="724253021">
      <w:bodyDiv w:val="1"/>
      <w:marLeft w:val="0"/>
      <w:marRight w:val="0"/>
      <w:marTop w:val="0"/>
      <w:marBottom w:val="0"/>
      <w:divBdr>
        <w:top w:val="none" w:sz="0" w:space="0" w:color="auto"/>
        <w:left w:val="none" w:sz="0" w:space="0" w:color="auto"/>
        <w:bottom w:val="none" w:sz="0" w:space="0" w:color="auto"/>
        <w:right w:val="none" w:sz="0" w:space="0" w:color="auto"/>
      </w:divBdr>
    </w:div>
    <w:div w:id="729617674">
      <w:bodyDiv w:val="1"/>
      <w:marLeft w:val="0"/>
      <w:marRight w:val="0"/>
      <w:marTop w:val="0"/>
      <w:marBottom w:val="0"/>
      <w:divBdr>
        <w:top w:val="none" w:sz="0" w:space="0" w:color="auto"/>
        <w:left w:val="none" w:sz="0" w:space="0" w:color="auto"/>
        <w:bottom w:val="none" w:sz="0" w:space="0" w:color="auto"/>
        <w:right w:val="none" w:sz="0" w:space="0" w:color="auto"/>
      </w:divBdr>
    </w:div>
    <w:div w:id="746150268">
      <w:bodyDiv w:val="1"/>
      <w:marLeft w:val="0"/>
      <w:marRight w:val="0"/>
      <w:marTop w:val="0"/>
      <w:marBottom w:val="0"/>
      <w:divBdr>
        <w:top w:val="none" w:sz="0" w:space="0" w:color="auto"/>
        <w:left w:val="none" w:sz="0" w:space="0" w:color="auto"/>
        <w:bottom w:val="none" w:sz="0" w:space="0" w:color="auto"/>
        <w:right w:val="none" w:sz="0" w:space="0" w:color="auto"/>
      </w:divBdr>
    </w:div>
    <w:div w:id="764300442">
      <w:bodyDiv w:val="1"/>
      <w:marLeft w:val="0"/>
      <w:marRight w:val="0"/>
      <w:marTop w:val="0"/>
      <w:marBottom w:val="0"/>
      <w:divBdr>
        <w:top w:val="none" w:sz="0" w:space="0" w:color="auto"/>
        <w:left w:val="none" w:sz="0" w:space="0" w:color="auto"/>
        <w:bottom w:val="none" w:sz="0" w:space="0" w:color="auto"/>
        <w:right w:val="none" w:sz="0" w:space="0" w:color="auto"/>
      </w:divBdr>
    </w:div>
    <w:div w:id="769355284">
      <w:bodyDiv w:val="1"/>
      <w:marLeft w:val="0"/>
      <w:marRight w:val="0"/>
      <w:marTop w:val="0"/>
      <w:marBottom w:val="0"/>
      <w:divBdr>
        <w:top w:val="none" w:sz="0" w:space="0" w:color="auto"/>
        <w:left w:val="none" w:sz="0" w:space="0" w:color="auto"/>
        <w:bottom w:val="none" w:sz="0" w:space="0" w:color="auto"/>
        <w:right w:val="none" w:sz="0" w:space="0" w:color="auto"/>
      </w:divBdr>
    </w:div>
    <w:div w:id="769470400">
      <w:bodyDiv w:val="1"/>
      <w:marLeft w:val="0"/>
      <w:marRight w:val="0"/>
      <w:marTop w:val="0"/>
      <w:marBottom w:val="0"/>
      <w:divBdr>
        <w:top w:val="none" w:sz="0" w:space="0" w:color="auto"/>
        <w:left w:val="none" w:sz="0" w:space="0" w:color="auto"/>
        <w:bottom w:val="none" w:sz="0" w:space="0" w:color="auto"/>
        <w:right w:val="none" w:sz="0" w:space="0" w:color="auto"/>
      </w:divBdr>
    </w:div>
    <w:div w:id="771049637">
      <w:bodyDiv w:val="1"/>
      <w:marLeft w:val="0"/>
      <w:marRight w:val="0"/>
      <w:marTop w:val="0"/>
      <w:marBottom w:val="0"/>
      <w:divBdr>
        <w:top w:val="none" w:sz="0" w:space="0" w:color="auto"/>
        <w:left w:val="none" w:sz="0" w:space="0" w:color="auto"/>
        <w:bottom w:val="none" w:sz="0" w:space="0" w:color="auto"/>
        <w:right w:val="none" w:sz="0" w:space="0" w:color="auto"/>
      </w:divBdr>
    </w:div>
    <w:div w:id="786243096">
      <w:bodyDiv w:val="1"/>
      <w:marLeft w:val="0"/>
      <w:marRight w:val="0"/>
      <w:marTop w:val="0"/>
      <w:marBottom w:val="0"/>
      <w:divBdr>
        <w:top w:val="none" w:sz="0" w:space="0" w:color="auto"/>
        <w:left w:val="none" w:sz="0" w:space="0" w:color="auto"/>
        <w:bottom w:val="none" w:sz="0" w:space="0" w:color="auto"/>
        <w:right w:val="none" w:sz="0" w:space="0" w:color="auto"/>
      </w:divBdr>
    </w:div>
    <w:div w:id="793720062">
      <w:bodyDiv w:val="1"/>
      <w:marLeft w:val="0"/>
      <w:marRight w:val="0"/>
      <w:marTop w:val="0"/>
      <w:marBottom w:val="0"/>
      <w:divBdr>
        <w:top w:val="none" w:sz="0" w:space="0" w:color="auto"/>
        <w:left w:val="none" w:sz="0" w:space="0" w:color="auto"/>
        <w:bottom w:val="none" w:sz="0" w:space="0" w:color="auto"/>
        <w:right w:val="none" w:sz="0" w:space="0" w:color="auto"/>
      </w:divBdr>
    </w:div>
    <w:div w:id="797993018">
      <w:bodyDiv w:val="1"/>
      <w:marLeft w:val="0"/>
      <w:marRight w:val="0"/>
      <w:marTop w:val="0"/>
      <w:marBottom w:val="0"/>
      <w:divBdr>
        <w:top w:val="none" w:sz="0" w:space="0" w:color="auto"/>
        <w:left w:val="none" w:sz="0" w:space="0" w:color="auto"/>
        <w:bottom w:val="none" w:sz="0" w:space="0" w:color="auto"/>
        <w:right w:val="none" w:sz="0" w:space="0" w:color="auto"/>
      </w:divBdr>
    </w:div>
    <w:div w:id="805464999">
      <w:bodyDiv w:val="1"/>
      <w:marLeft w:val="0"/>
      <w:marRight w:val="0"/>
      <w:marTop w:val="0"/>
      <w:marBottom w:val="0"/>
      <w:divBdr>
        <w:top w:val="none" w:sz="0" w:space="0" w:color="auto"/>
        <w:left w:val="none" w:sz="0" w:space="0" w:color="auto"/>
        <w:bottom w:val="none" w:sz="0" w:space="0" w:color="auto"/>
        <w:right w:val="none" w:sz="0" w:space="0" w:color="auto"/>
      </w:divBdr>
    </w:div>
    <w:div w:id="816339959">
      <w:bodyDiv w:val="1"/>
      <w:marLeft w:val="0"/>
      <w:marRight w:val="0"/>
      <w:marTop w:val="0"/>
      <w:marBottom w:val="0"/>
      <w:divBdr>
        <w:top w:val="none" w:sz="0" w:space="0" w:color="auto"/>
        <w:left w:val="none" w:sz="0" w:space="0" w:color="auto"/>
        <w:bottom w:val="none" w:sz="0" w:space="0" w:color="auto"/>
        <w:right w:val="none" w:sz="0" w:space="0" w:color="auto"/>
      </w:divBdr>
    </w:div>
    <w:div w:id="817189806">
      <w:bodyDiv w:val="1"/>
      <w:marLeft w:val="0"/>
      <w:marRight w:val="0"/>
      <w:marTop w:val="0"/>
      <w:marBottom w:val="0"/>
      <w:divBdr>
        <w:top w:val="none" w:sz="0" w:space="0" w:color="auto"/>
        <w:left w:val="none" w:sz="0" w:space="0" w:color="auto"/>
        <w:bottom w:val="none" w:sz="0" w:space="0" w:color="auto"/>
        <w:right w:val="none" w:sz="0" w:space="0" w:color="auto"/>
      </w:divBdr>
    </w:div>
    <w:div w:id="819200879">
      <w:bodyDiv w:val="1"/>
      <w:marLeft w:val="0"/>
      <w:marRight w:val="0"/>
      <w:marTop w:val="0"/>
      <w:marBottom w:val="0"/>
      <w:divBdr>
        <w:top w:val="none" w:sz="0" w:space="0" w:color="auto"/>
        <w:left w:val="none" w:sz="0" w:space="0" w:color="auto"/>
        <w:bottom w:val="none" w:sz="0" w:space="0" w:color="auto"/>
        <w:right w:val="none" w:sz="0" w:space="0" w:color="auto"/>
      </w:divBdr>
    </w:div>
    <w:div w:id="819928597">
      <w:bodyDiv w:val="1"/>
      <w:marLeft w:val="0"/>
      <w:marRight w:val="0"/>
      <w:marTop w:val="0"/>
      <w:marBottom w:val="0"/>
      <w:divBdr>
        <w:top w:val="none" w:sz="0" w:space="0" w:color="auto"/>
        <w:left w:val="none" w:sz="0" w:space="0" w:color="auto"/>
        <w:bottom w:val="none" w:sz="0" w:space="0" w:color="auto"/>
        <w:right w:val="none" w:sz="0" w:space="0" w:color="auto"/>
      </w:divBdr>
    </w:div>
    <w:div w:id="821235121">
      <w:bodyDiv w:val="1"/>
      <w:marLeft w:val="0"/>
      <w:marRight w:val="0"/>
      <w:marTop w:val="0"/>
      <w:marBottom w:val="0"/>
      <w:divBdr>
        <w:top w:val="none" w:sz="0" w:space="0" w:color="auto"/>
        <w:left w:val="none" w:sz="0" w:space="0" w:color="auto"/>
        <w:bottom w:val="none" w:sz="0" w:space="0" w:color="auto"/>
        <w:right w:val="none" w:sz="0" w:space="0" w:color="auto"/>
      </w:divBdr>
    </w:div>
    <w:div w:id="821241955">
      <w:bodyDiv w:val="1"/>
      <w:marLeft w:val="0"/>
      <w:marRight w:val="0"/>
      <w:marTop w:val="0"/>
      <w:marBottom w:val="0"/>
      <w:divBdr>
        <w:top w:val="none" w:sz="0" w:space="0" w:color="auto"/>
        <w:left w:val="none" w:sz="0" w:space="0" w:color="auto"/>
        <w:bottom w:val="none" w:sz="0" w:space="0" w:color="auto"/>
        <w:right w:val="none" w:sz="0" w:space="0" w:color="auto"/>
      </w:divBdr>
    </w:div>
    <w:div w:id="831524278">
      <w:bodyDiv w:val="1"/>
      <w:marLeft w:val="0"/>
      <w:marRight w:val="0"/>
      <w:marTop w:val="0"/>
      <w:marBottom w:val="0"/>
      <w:divBdr>
        <w:top w:val="none" w:sz="0" w:space="0" w:color="auto"/>
        <w:left w:val="none" w:sz="0" w:space="0" w:color="auto"/>
        <w:bottom w:val="none" w:sz="0" w:space="0" w:color="auto"/>
        <w:right w:val="none" w:sz="0" w:space="0" w:color="auto"/>
      </w:divBdr>
    </w:div>
    <w:div w:id="845287653">
      <w:bodyDiv w:val="1"/>
      <w:marLeft w:val="0"/>
      <w:marRight w:val="0"/>
      <w:marTop w:val="0"/>
      <w:marBottom w:val="0"/>
      <w:divBdr>
        <w:top w:val="none" w:sz="0" w:space="0" w:color="auto"/>
        <w:left w:val="none" w:sz="0" w:space="0" w:color="auto"/>
        <w:bottom w:val="none" w:sz="0" w:space="0" w:color="auto"/>
        <w:right w:val="none" w:sz="0" w:space="0" w:color="auto"/>
      </w:divBdr>
    </w:div>
    <w:div w:id="847015544">
      <w:bodyDiv w:val="1"/>
      <w:marLeft w:val="0"/>
      <w:marRight w:val="0"/>
      <w:marTop w:val="0"/>
      <w:marBottom w:val="0"/>
      <w:divBdr>
        <w:top w:val="none" w:sz="0" w:space="0" w:color="auto"/>
        <w:left w:val="none" w:sz="0" w:space="0" w:color="auto"/>
        <w:bottom w:val="none" w:sz="0" w:space="0" w:color="auto"/>
        <w:right w:val="none" w:sz="0" w:space="0" w:color="auto"/>
      </w:divBdr>
    </w:div>
    <w:div w:id="870649542">
      <w:bodyDiv w:val="1"/>
      <w:marLeft w:val="0"/>
      <w:marRight w:val="0"/>
      <w:marTop w:val="0"/>
      <w:marBottom w:val="0"/>
      <w:divBdr>
        <w:top w:val="none" w:sz="0" w:space="0" w:color="auto"/>
        <w:left w:val="none" w:sz="0" w:space="0" w:color="auto"/>
        <w:bottom w:val="none" w:sz="0" w:space="0" w:color="auto"/>
        <w:right w:val="none" w:sz="0" w:space="0" w:color="auto"/>
      </w:divBdr>
    </w:div>
    <w:div w:id="888151474">
      <w:bodyDiv w:val="1"/>
      <w:marLeft w:val="0"/>
      <w:marRight w:val="0"/>
      <w:marTop w:val="0"/>
      <w:marBottom w:val="0"/>
      <w:divBdr>
        <w:top w:val="none" w:sz="0" w:space="0" w:color="auto"/>
        <w:left w:val="none" w:sz="0" w:space="0" w:color="auto"/>
        <w:bottom w:val="none" w:sz="0" w:space="0" w:color="auto"/>
        <w:right w:val="none" w:sz="0" w:space="0" w:color="auto"/>
      </w:divBdr>
    </w:div>
    <w:div w:id="890582233">
      <w:bodyDiv w:val="1"/>
      <w:marLeft w:val="0"/>
      <w:marRight w:val="0"/>
      <w:marTop w:val="0"/>
      <w:marBottom w:val="0"/>
      <w:divBdr>
        <w:top w:val="none" w:sz="0" w:space="0" w:color="auto"/>
        <w:left w:val="none" w:sz="0" w:space="0" w:color="auto"/>
        <w:bottom w:val="none" w:sz="0" w:space="0" w:color="auto"/>
        <w:right w:val="none" w:sz="0" w:space="0" w:color="auto"/>
      </w:divBdr>
    </w:div>
    <w:div w:id="890774324">
      <w:bodyDiv w:val="1"/>
      <w:marLeft w:val="0"/>
      <w:marRight w:val="0"/>
      <w:marTop w:val="0"/>
      <w:marBottom w:val="0"/>
      <w:divBdr>
        <w:top w:val="none" w:sz="0" w:space="0" w:color="auto"/>
        <w:left w:val="none" w:sz="0" w:space="0" w:color="auto"/>
        <w:bottom w:val="none" w:sz="0" w:space="0" w:color="auto"/>
        <w:right w:val="none" w:sz="0" w:space="0" w:color="auto"/>
      </w:divBdr>
    </w:div>
    <w:div w:id="890849687">
      <w:bodyDiv w:val="1"/>
      <w:marLeft w:val="0"/>
      <w:marRight w:val="0"/>
      <w:marTop w:val="0"/>
      <w:marBottom w:val="0"/>
      <w:divBdr>
        <w:top w:val="none" w:sz="0" w:space="0" w:color="auto"/>
        <w:left w:val="none" w:sz="0" w:space="0" w:color="auto"/>
        <w:bottom w:val="none" w:sz="0" w:space="0" w:color="auto"/>
        <w:right w:val="none" w:sz="0" w:space="0" w:color="auto"/>
      </w:divBdr>
    </w:div>
    <w:div w:id="901719934">
      <w:bodyDiv w:val="1"/>
      <w:marLeft w:val="0"/>
      <w:marRight w:val="0"/>
      <w:marTop w:val="0"/>
      <w:marBottom w:val="0"/>
      <w:divBdr>
        <w:top w:val="none" w:sz="0" w:space="0" w:color="auto"/>
        <w:left w:val="none" w:sz="0" w:space="0" w:color="auto"/>
        <w:bottom w:val="none" w:sz="0" w:space="0" w:color="auto"/>
        <w:right w:val="none" w:sz="0" w:space="0" w:color="auto"/>
      </w:divBdr>
    </w:div>
    <w:div w:id="905183458">
      <w:bodyDiv w:val="1"/>
      <w:marLeft w:val="0"/>
      <w:marRight w:val="0"/>
      <w:marTop w:val="0"/>
      <w:marBottom w:val="0"/>
      <w:divBdr>
        <w:top w:val="none" w:sz="0" w:space="0" w:color="auto"/>
        <w:left w:val="none" w:sz="0" w:space="0" w:color="auto"/>
        <w:bottom w:val="none" w:sz="0" w:space="0" w:color="auto"/>
        <w:right w:val="none" w:sz="0" w:space="0" w:color="auto"/>
      </w:divBdr>
    </w:div>
    <w:div w:id="911626491">
      <w:bodyDiv w:val="1"/>
      <w:marLeft w:val="0"/>
      <w:marRight w:val="0"/>
      <w:marTop w:val="0"/>
      <w:marBottom w:val="0"/>
      <w:divBdr>
        <w:top w:val="none" w:sz="0" w:space="0" w:color="auto"/>
        <w:left w:val="none" w:sz="0" w:space="0" w:color="auto"/>
        <w:bottom w:val="none" w:sz="0" w:space="0" w:color="auto"/>
        <w:right w:val="none" w:sz="0" w:space="0" w:color="auto"/>
      </w:divBdr>
    </w:div>
    <w:div w:id="914752403">
      <w:bodyDiv w:val="1"/>
      <w:marLeft w:val="0"/>
      <w:marRight w:val="0"/>
      <w:marTop w:val="0"/>
      <w:marBottom w:val="0"/>
      <w:divBdr>
        <w:top w:val="none" w:sz="0" w:space="0" w:color="auto"/>
        <w:left w:val="none" w:sz="0" w:space="0" w:color="auto"/>
        <w:bottom w:val="none" w:sz="0" w:space="0" w:color="auto"/>
        <w:right w:val="none" w:sz="0" w:space="0" w:color="auto"/>
      </w:divBdr>
    </w:div>
    <w:div w:id="915091452">
      <w:bodyDiv w:val="1"/>
      <w:marLeft w:val="0"/>
      <w:marRight w:val="0"/>
      <w:marTop w:val="0"/>
      <w:marBottom w:val="0"/>
      <w:divBdr>
        <w:top w:val="none" w:sz="0" w:space="0" w:color="auto"/>
        <w:left w:val="none" w:sz="0" w:space="0" w:color="auto"/>
        <w:bottom w:val="none" w:sz="0" w:space="0" w:color="auto"/>
        <w:right w:val="none" w:sz="0" w:space="0" w:color="auto"/>
      </w:divBdr>
    </w:div>
    <w:div w:id="918321591">
      <w:bodyDiv w:val="1"/>
      <w:marLeft w:val="0"/>
      <w:marRight w:val="0"/>
      <w:marTop w:val="0"/>
      <w:marBottom w:val="0"/>
      <w:divBdr>
        <w:top w:val="none" w:sz="0" w:space="0" w:color="auto"/>
        <w:left w:val="none" w:sz="0" w:space="0" w:color="auto"/>
        <w:bottom w:val="none" w:sz="0" w:space="0" w:color="auto"/>
        <w:right w:val="none" w:sz="0" w:space="0" w:color="auto"/>
      </w:divBdr>
    </w:div>
    <w:div w:id="932318377">
      <w:bodyDiv w:val="1"/>
      <w:marLeft w:val="0"/>
      <w:marRight w:val="0"/>
      <w:marTop w:val="0"/>
      <w:marBottom w:val="0"/>
      <w:divBdr>
        <w:top w:val="none" w:sz="0" w:space="0" w:color="auto"/>
        <w:left w:val="none" w:sz="0" w:space="0" w:color="auto"/>
        <w:bottom w:val="none" w:sz="0" w:space="0" w:color="auto"/>
        <w:right w:val="none" w:sz="0" w:space="0" w:color="auto"/>
      </w:divBdr>
    </w:div>
    <w:div w:id="941492612">
      <w:bodyDiv w:val="1"/>
      <w:marLeft w:val="0"/>
      <w:marRight w:val="0"/>
      <w:marTop w:val="0"/>
      <w:marBottom w:val="0"/>
      <w:divBdr>
        <w:top w:val="none" w:sz="0" w:space="0" w:color="auto"/>
        <w:left w:val="none" w:sz="0" w:space="0" w:color="auto"/>
        <w:bottom w:val="none" w:sz="0" w:space="0" w:color="auto"/>
        <w:right w:val="none" w:sz="0" w:space="0" w:color="auto"/>
      </w:divBdr>
    </w:div>
    <w:div w:id="954411891">
      <w:bodyDiv w:val="1"/>
      <w:marLeft w:val="0"/>
      <w:marRight w:val="0"/>
      <w:marTop w:val="0"/>
      <w:marBottom w:val="0"/>
      <w:divBdr>
        <w:top w:val="none" w:sz="0" w:space="0" w:color="auto"/>
        <w:left w:val="none" w:sz="0" w:space="0" w:color="auto"/>
        <w:bottom w:val="none" w:sz="0" w:space="0" w:color="auto"/>
        <w:right w:val="none" w:sz="0" w:space="0" w:color="auto"/>
      </w:divBdr>
    </w:div>
    <w:div w:id="955915998">
      <w:bodyDiv w:val="1"/>
      <w:marLeft w:val="0"/>
      <w:marRight w:val="0"/>
      <w:marTop w:val="0"/>
      <w:marBottom w:val="0"/>
      <w:divBdr>
        <w:top w:val="none" w:sz="0" w:space="0" w:color="auto"/>
        <w:left w:val="none" w:sz="0" w:space="0" w:color="auto"/>
        <w:bottom w:val="none" w:sz="0" w:space="0" w:color="auto"/>
        <w:right w:val="none" w:sz="0" w:space="0" w:color="auto"/>
      </w:divBdr>
    </w:div>
    <w:div w:id="955991335">
      <w:bodyDiv w:val="1"/>
      <w:marLeft w:val="0"/>
      <w:marRight w:val="0"/>
      <w:marTop w:val="0"/>
      <w:marBottom w:val="0"/>
      <w:divBdr>
        <w:top w:val="none" w:sz="0" w:space="0" w:color="auto"/>
        <w:left w:val="none" w:sz="0" w:space="0" w:color="auto"/>
        <w:bottom w:val="none" w:sz="0" w:space="0" w:color="auto"/>
        <w:right w:val="none" w:sz="0" w:space="0" w:color="auto"/>
      </w:divBdr>
    </w:div>
    <w:div w:id="957562541">
      <w:bodyDiv w:val="1"/>
      <w:marLeft w:val="0"/>
      <w:marRight w:val="0"/>
      <w:marTop w:val="0"/>
      <w:marBottom w:val="0"/>
      <w:divBdr>
        <w:top w:val="none" w:sz="0" w:space="0" w:color="auto"/>
        <w:left w:val="none" w:sz="0" w:space="0" w:color="auto"/>
        <w:bottom w:val="none" w:sz="0" w:space="0" w:color="auto"/>
        <w:right w:val="none" w:sz="0" w:space="0" w:color="auto"/>
      </w:divBdr>
    </w:div>
    <w:div w:id="964238926">
      <w:bodyDiv w:val="1"/>
      <w:marLeft w:val="0"/>
      <w:marRight w:val="0"/>
      <w:marTop w:val="0"/>
      <w:marBottom w:val="0"/>
      <w:divBdr>
        <w:top w:val="none" w:sz="0" w:space="0" w:color="auto"/>
        <w:left w:val="none" w:sz="0" w:space="0" w:color="auto"/>
        <w:bottom w:val="none" w:sz="0" w:space="0" w:color="auto"/>
        <w:right w:val="none" w:sz="0" w:space="0" w:color="auto"/>
      </w:divBdr>
    </w:div>
    <w:div w:id="964655341">
      <w:bodyDiv w:val="1"/>
      <w:marLeft w:val="0"/>
      <w:marRight w:val="0"/>
      <w:marTop w:val="0"/>
      <w:marBottom w:val="0"/>
      <w:divBdr>
        <w:top w:val="none" w:sz="0" w:space="0" w:color="auto"/>
        <w:left w:val="none" w:sz="0" w:space="0" w:color="auto"/>
        <w:bottom w:val="none" w:sz="0" w:space="0" w:color="auto"/>
        <w:right w:val="none" w:sz="0" w:space="0" w:color="auto"/>
      </w:divBdr>
    </w:div>
    <w:div w:id="968169085">
      <w:bodyDiv w:val="1"/>
      <w:marLeft w:val="0"/>
      <w:marRight w:val="0"/>
      <w:marTop w:val="0"/>
      <w:marBottom w:val="0"/>
      <w:divBdr>
        <w:top w:val="none" w:sz="0" w:space="0" w:color="auto"/>
        <w:left w:val="none" w:sz="0" w:space="0" w:color="auto"/>
        <w:bottom w:val="none" w:sz="0" w:space="0" w:color="auto"/>
        <w:right w:val="none" w:sz="0" w:space="0" w:color="auto"/>
      </w:divBdr>
    </w:div>
    <w:div w:id="972252594">
      <w:bodyDiv w:val="1"/>
      <w:marLeft w:val="0"/>
      <w:marRight w:val="0"/>
      <w:marTop w:val="0"/>
      <w:marBottom w:val="0"/>
      <w:divBdr>
        <w:top w:val="none" w:sz="0" w:space="0" w:color="auto"/>
        <w:left w:val="none" w:sz="0" w:space="0" w:color="auto"/>
        <w:bottom w:val="none" w:sz="0" w:space="0" w:color="auto"/>
        <w:right w:val="none" w:sz="0" w:space="0" w:color="auto"/>
      </w:divBdr>
    </w:div>
    <w:div w:id="979772343">
      <w:bodyDiv w:val="1"/>
      <w:marLeft w:val="0"/>
      <w:marRight w:val="0"/>
      <w:marTop w:val="0"/>
      <w:marBottom w:val="0"/>
      <w:divBdr>
        <w:top w:val="none" w:sz="0" w:space="0" w:color="auto"/>
        <w:left w:val="none" w:sz="0" w:space="0" w:color="auto"/>
        <w:bottom w:val="none" w:sz="0" w:space="0" w:color="auto"/>
        <w:right w:val="none" w:sz="0" w:space="0" w:color="auto"/>
      </w:divBdr>
    </w:div>
    <w:div w:id="983392396">
      <w:bodyDiv w:val="1"/>
      <w:marLeft w:val="0"/>
      <w:marRight w:val="0"/>
      <w:marTop w:val="0"/>
      <w:marBottom w:val="0"/>
      <w:divBdr>
        <w:top w:val="none" w:sz="0" w:space="0" w:color="auto"/>
        <w:left w:val="none" w:sz="0" w:space="0" w:color="auto"/>
        <w:bottom w:val="none" w:sz="0" w:space="0" w:color="auto"/>
        <w:right w:val="none" w:sz="0" w:space="0" w:color="auto"/>
      </w:divBdr>
    </w:div>
    <w:div w:id="983703669">
      <w:bodyDiv w:val="1"/>
      <w:marLeft w:val="0"/>
      <w:marRight w:val="0"/>
      <w:marTop w:val="0"/>
      <w:marBottom w:val="0"/>
      <w:divBdr>
        <w:top w:val="none" w:sz="0" w:space="0" w:color="auto"/>
        <w:left w:val="none" w:sz="0" w:space="0" w:color="auto"/>
        <w:bottom w:val="none" w:sz="0" w:space="0" w:color="auto"/>
        <w:right w:val="none" w:sz="0" w:space="0" w:color="auto"/>
      </w:divBdr>
    </w:div>
    <w:div w:id="987170984">
      <w:bodyDiv w:val="1"/>
      <w:marLeft w:val="0"/>
      <w:marRight w:val="0"/>
      <w:marTop w:val="0"/>
      <w:marBottom w:val="0"/>
      <w:divBdr>
        <w:top w:val="none" w:sz="0" w:space="0" w:color="auto"/>
        <w:left w:val="none" w:sz="0" w:space="0" w:color="auto"/>
        <w:bottom w:val="none" w:sz="0" w:space="0" w:color="auto"/>
        <w:right w:val="none" w:sz="0" w:space="0" w:color="auto"/>
      </w:divBdr>
    </w:div>
    <w:div w:id="998388813">
      <w:bodyDiv w:val="1"/>
      <w:marLeft w:val="0"/>
      <w:marRight w:val="0"/>
      <w:marTop w:val="0"/>
      <w:marBottom w:val="0"/>
      <w:divBdr>
        <w:top w:val="none" w:sz="0" w:space="0" w:color="auto"/>
        <w:left w:val="none" w:sz="0" w:space="0" w:color="auto"/>
        <w:bottom w:val="none" w:sz="0" w:space="0" w:color="auto"/>
        <w:right w:val="none" w:sz="0" w:space="0" w:color="auto"/>
      </w:divBdr>
    </w:div>
    <w:div w:id="998460538">
      <w:bodyDiv w:val="1"/>
      <w:marLeft w:val="0"/>
      <w:marRight w:val="0"/>
      <w:marTop w:val="0"/>
      <w:marBottom w:val="0"/>
      <w:divBdr>
        <w:top w:val="none" w:sz="0" w:space="0" w:color="auto"/>
        <w:left w:val="none" w:sz="0" w:space="0" w:color="auto"/>
        <w:bottom w:val="none" w:sz="0" w:space="0" w:color="auto"/>
        <w:right w:val="none" w:sz="0" w:space="0" w:color="auto"/>
      </w:divBdr>
    </w:div>
    <w:div w:id="1004824003">
      <w:bodyDiv w:val="1"/>
      <w:marLeft w:val="0"/>
      <w:marRight w:val="0"/>
      <w:marTop w:val="0"/>
      <w:marBottom w:val="0"/>
      <w:divBdr>
        <w:top w:val="none" w:sz="0" w:space="0" w:color="auto"/>
        <w:left w:val="none" w:sz="0" w:space="0" w:color="auto"/>
        <w:bottom w:val="none" w:sz="0" w:space="0" w:color="auto"/>
        <w:right w:val="none" w:sz="0" w:space="0" w:color="auto"/>
      </w:divBdr>
    </w:div>
    <w:div w:id="1005136518">
      <w:bodyDiv w:val="1"/>
      <w:marLeft w:val="0"/>
      <w:marRight w:val="0"/>
      <w:marTop w:val="0"/>
      <w:marBottom w:val="0"/>
      <w:divBdr>
        <w:top w:val="none" w:sz="0" w:space="0" w:color="auto"/>
        <w:left w:val="none" w:sz="0" w:space="0" w:color="auto"/>
        <w:bottom w:val="none" w:sz="0" w:space="0" w:color="auto"/>
        <w:right w:val="none" w:sz="0" w:space="0" w:color="auto"/>
      </w:divBdr>
    </w:div>
    <w:div w:id="1010529363">
      <w:bodyDiv w:val="1"/>
      <w:marLeft w:val="0"/>
      <w:marRight w:val="0"/>
      <w:marTop w:val="0"/>
      <w:marBottom w:val="0"/>
      <w:divBdr>
        <w:top w:val="none" w:sz="0" w:space="0" w:color="auto"/>
        <w:left w:val="none" w:sz="0" w:space="0" w:color="auto"/>
        <w:bottom w:val="none" w:sz="0" w:space="0" w:color="auto"/>
        <w:right w:val="none" w:sz="0" w:space="0" w:color="auto"/>
      </w:divBdr>
    </w:div>
    <w:div w:id="1013531610">
      <w:bodyDiv w:val="1"/>
      <w:marLeft w:val="0"/>
      <w:marRight w:val="0"/>
      <w:marTop w:val="0"/>
      <w:marBottom w:val="0"/>
      <w:divBdr>
        <w:top w:val="none" w:sz="0" w:space="0" w:color="auto"/>
        <w:left w:val="none" w:sz="0" w:space="0" w:color="auto"/>
        <w:bottom w:val="none" w:sz="0" w:space="0" w:color="auto"/>
        <w:right w:val="none" w:sz="0" w:space="0" w:color="auto"/>
      </w:divBdr>
    </w:div>
    <w:div w:id="1047728913">
      <w:bodyDiv w:val="1"/>
      <w:marLeft w:val="0"/>
      <w:marRight w:val="0"/>
      <w:marTop w:val="0"/>
      <w:marBottom w:val="0"/>
      <w:divBdr>
        <w:top w:val="none" w:sz="0" w:space="0" w:color="auto"/>
        <w:left w:val="none" w:sz="0" w:space="0" w:color="auto"/>
        <w:bottom w:val="none" w:sz="0" w:space="0" w:color="auto"/>
        <w:right w:val="none" w:sz="0" w:space="0" w:color="auto"/>
      </w:divBdr>
    </w:div>
    <w:div w:id="1049767447">
      <w:bodyDiv w:val="1"/>
      <w:marLeft w:val="0"/>
      <w:marRight w:val="0"/>
      <w:marTop w:val="0"/>
      <w:marBottom w:val="0"/>
      <w:divBdr>
        <w:top w:val="none" w:sz="0" w:space="0" w:color="auto"/>
        <w:left w:val="none" w:sz="0" w:space="0" w:color="auto"/>
        <w:bottom w:val="none" w:sz="0" w:space="0" w:color="auto"/>
        <w:right w:val="none" w:sz="0" w:space="0" w:color="auto"/>
      </w:divBdr>
    </w:div>
    <w:div w:id="1058433026">
      <w:bodyDiv w:val="1"/>
      <w:marLeft w:val="0"/>
      <w:marRight w:val="0"/>
      <w:marTop w:val="0"/>
      <w:marBottom w:val="0"/>
      <w:divBdr>
        <w:top w:val="none" w:sz="0" w:space="0" w:color="auto"/>
        <w:left w:val="none" w:sz="0" w:space="0" w:color="auto"/>
        <w:bottom w:val="none" w:sz="0" w:space="0" w:color="auto"/>
        <w:right w:val="none" w:sz="0" w:space="0" w:color="auto"/>
      </w:divBdr>
    </w:div>
    <w:div w:id="1059062414">
      <w:bodyDiv w:val="1"/>
      <w:marLeft w:val="0"/>
      <w:marRight w:val="0"/>
      <w:marTop w:val="0"/>
      <w:marBottom w:val="0"/>
      <w:divBdr>
        <w:top w:val="none" w:sz="0" w:space="0" w:color="auto"/>
        <w:left w:val="none" w:sz="0" w:space="0" w:color="auto"/>
        <w:bottom w:val="none" w:sz="0" w:space="0" w:color="auto"/>
        <w:right w:val="none" w:sz="0" w:space="0" w:color="auto"/>
      </w:divBdr>
    </w:div>
    <w:div w:id="1062946246">
      <w:bodyDiv w:val="1"/>
      <w:marLeft w:val="0"/>
      <w:marRight w:val="0"/>
      <w:marTop w:val="0"/>
      <w:marBottom w:val="0"/>
      <w:divBdr>
        <w:top w:val="none" w:sz="0" w:space="0" w:color="auto"/>
        <w:left w:val="none" w:sz="0" w:space="0" w:color="auto"/>
        <w:bottom w:val="none" w:sz="0" w:space="0" w:color="auto"/>
        <w:right w:val="none" w:sz="0" w:space="0" w:color="auto"/>
      </w:divBdr>
    </w:div>
    <w:div w:id="1064064316">
      <w:bodyDiv w:val="1"/>
      <w:marLeft w:val="0"/>
      <w:marRight w:val="0"/>
      <w:marTop w:val="0"/>
      <w:marBottom w:val="0"/>
      <w:divBdr>
        <w:top w:val="none" w:sz="0" w:space="0" w:color="auto"/>
        <w:left w:val="none" w:sz="0" w:space="0" w:color="auto"/>
        <w:bottom w:val="none" w:sz="0" w:space="0" w:color="auto"/>
        <w:right w:val="none" w:sz="0" w:space="0" w:color="auto"/>
      </w:divBdr>
    </w:div>
    <w:div w:id="1069419113">
      <w:bodyDiv w:val="1"/>
      <w:marLeft w:val="0"/>
      <w:marRight w:val="0"/>
      <w:marTop w:val="0"/>
      <w:marBottom w:val="0"/>
      <w:divBdr>
        <w:top w:val="none" w:sz="0" w:space="0" w:color="auto"/>
        <w:left w:val="none" w:sz="0" w:space="0" w:color="auto"/>
        <w:bottom w:val="none" w:sz="0" w:space="0" w:color="auto"/>
        <w:right w:val="none" w:sz="0" w:space="0" w:color="auto"/>
      </w:divBdr>
    </w:div>
    <w:div w:id="1077676517">
      <w:bodyDiv w:val="1"/>
      <w:marLeft w:val="0"/>
      <w:marRight w:val="0"/>
      <w:marTop w:val="0"/>
      <w:marBottom w:val="0"/>
      <w:divBdr>
        <w:top w:val="none" w:sz="0" w:space="0" w:color="auto"/>
        <w:left w:val="none" w:sz="0" w:space="0" w:color="auto"/>
        <w:bottom w:val="none" w:sz="0" w:space="0" w:color="auto"/>
        <w:right w:val="none" w:sz="0" w:space="0" w:color="auto"/>
      </w:divBdr>
    </w:div>
    <w:div w:id="1089958561">
      <w:bodyDiv w:val="1"/>
      <w:marLeft w:val="0"/>
      <w:marRight w:val="0"/>
      <w:marTop w:val="0"/>
      <w:marBottom w:val="0"/>
      <w:divBdr>
        <w:top w:val="none" w:sz="0" w:space="0" w:color="auto"/>
        <w:left w:val="none" w:sz="0" w:space="0" w:color="auto"/>
        <w:bottom w:val="none" w:sz="0" w:space="0" w:color="auto"/>
        <w:right w:val="none" w:sz="0" w:space="0" w:color="auto"/>
      </w:divBdr>
    </w:div>
    <w:div w:id="1107968017">
      <w:bodyDiv w:val="1"/>
      <w:marLeft w:val="0"/>
      <w:marRight w:val="0"/>
      <w:marTop w:val="0"/>
      <w:marBottom w:val="0"/>
      <w:divBdr>
        <w:top w:val="none" w:sz="0" w:space="0" w:color="auto"/>
        <w:left w:val="none" w:sz="0" w:space="0" w:color="auto"/>
        <w:bottom w:val="none" w:sz="0" w:space="0" w:color="auto"/>
        <w:right w:val="none" w:sz="0" w:space="0" w:color="auto"/>
      </w:divBdr>
    </w:div>
    <w:div w:id="1108506644">
      <w:bodyDiv w:val="1"/>
      <w:marLeft w:val="0"/>
      <w:marRight w:val="0"/>
      <w:marTop w:val="0"/>
      <w:marBottom w:val="0"/>
      <w:divBdr>
        <w:top w:val="none" w:sz="0" w:space="0" w:color="auto"/>
        <w:left w:val="none" w:sz="0" w:space="0" w:color="auto"/>
        <w:bottom w:val="none" w:sz="0" w:space="0" w:color="auto"/>
        <w:right w:val="none" w:sz="0" w:space="0" w:color="auto"/>
      </w:divBdr>
    </w:div>
    <w:div w:id="1115906157">
      <w:bodyDiv w:val="1"/>
      <w:marLeft w:val="0"/>
      <w:marRight w:val="0"/>
      <w:marTop w:val="0"/>
      <w:marBottom w:val="0"/>
      <w:divBdr>
        <w:top w:val="none" w:sz="0" w:space="0" w:color="auto"/>
        <w:left w:val="none" w:sz="0" w:space="0" w:color="auto"/>
        <w:bottom w:val="none" w:sz="0" w:space="0" w:color="auto"/>
        <w:right w:val="none" w:sz="0" w:space="0" w:color="auto"/>
      </w:divBdr>
    </w:div>
    <w:div w:id="1118917754">
      <w:bodyDiv w:val="1"/>
      <w:marLeft w:val="0"/>
      <w:marRight w:val="0"/>
      <w:marTop w:val="0"/>
      <w:marBottom w:val="0"/>
      <w:divBdr>
        <w:top w:val="none" w:sz="0" w:space="0" w:color="auto"/>
        <w:left w:val="none" w:sz="0" w:space="0" w:color="auto"/>
        <w:bottom w:val="none" w:sz="0" w:space="0" w:color="auto"/>
        <w:right w:val="none" w:sz="0" w:space="0" w:color="auto"/>
      </w:divBdr>
    </w:div>
    <w:div w:id="1130438158">
      <w:bodyDiv w:val="1"/>
      <w:marLeft w:val="0"/>
      <w:marRight w:val="0"/>
      <w:marTop w:val="0"/>
      <w:marBottom w:val="0"/>
      <w:divBdr>
        <w:top w:val="none" w:sz="0" w:space="0" w:color="auto"/>
        <w:left w:val="none" w:sz="0" w:space="0" w:color="auto"/>
        <w:bottom w:val="none" w:sz="0" w:space="0" w:color="auto"/>
        <w:right w:val="none" w:sz="0" w:space="0" w:color="auto"/>
      </w:divBdr>
    </w:div>
    <w:div w:id="1130972041">
      <w:bodyDiv w:val="1"/>
      <w:marLeft w:val="0"/>
      <w:marRight w:val="0"/>
      <w:marTop w:val="0"/>
      <w:marBottom w:val="0"/>
      <w:divBdr>
        <w:top w:val="none" w:sz="0" w:space="0" w:color="auto"/>
        <w:left w:val="none" w:sz="0" w:space="0" w:color="auto"/>
        <w:bottom w:val="none" w:sz="0" w:space="0" w:color="auto"/>
        <w:right w:val="none" w:sz="0" w:space="0" w:color="auto"/>
      </w:divBdr>
    </w:div>
    <w:div w:id="1134953447">
      <w:bodyDiv w:val="1"/>
      <w:marLeft w:val="0"/>
      <w:marRight w:val="0"/>
      <w:marTop w:val="0"/>
      <w:marBottom w:val="0"/>
      <w:divBdr>
        <w:top w:val="none" w:sz="0" w:space="0" w:color="auto"/>
        <w:left w:val="none" w:sz="0" w:space="0" w:color="auto"/>
        <w:bottom w:val="none" w:sz="0" w:space="0" w:color="auto"/>
        <w:right w:val="none" w:sz="0" w:space="0" w:color="auto"/>
      </w:divBdr>
    </w:div>
    <w:div w:id="1134981334">
      <w:bodyDiv w:val="1"/>
      <w:marLeft w:val="0"/>
      <w:marRight w:val="0"/>
      <w:marTop w:val="0"/>
      <w:marBottom w:val="0"/>
      <w:divBdr>
        <w:top w:val="none" w:sz="0" w:space="0" w:color="auto"/>
        <w:left w:val="none" w:sz="0" w:space="0" w:color="auto"/>
        <w:bottom w:val="none" w:sz="0" w:space="0" w:color="auto"/>
        <w:right w:val="none" w:sz="0" w:space="0" w:color="auto"/>
      </w:divBdr>
    </w:div>
    <w:div w:id="1143738560">
      <w:bodyDiv w:val="1"/>
      <w:marLeft w:val="0"/>
      <w:marRight w:val="0"/>
      <w:marTop w:val="0"/>
      <w:marBottom w:val="0"/>
      <w:divBdr>
        <w:top w:val="none" w:sz="0" w:space="0" w:color="auto"/>
        <w:left w:val="none" w:sz="0" w:space="0" w:color="auto"/>
        <w:bottom w:val="none" w:sz="0" w:space="0" w:color="auto"/>
        <w:right w:val="none" w:sz="0" w:space="0" w:color="auto"/>
      </w:divBdr>
    </w:div>
    <w:div w:id="1146898128">
      <w:bodyDiv w:val="1"/>
      <w:marLeft w:val="0"/>
      <w:marRight w:val="0"/>
      <w:marTop w:val="0"/>
      <w:marBottom w:val="0"/>
      <w:divBdr>
        <w:top w:val="none" w:sz="0" w:space="0" w:color="auto"/>
        <w:left w:val="none" w:sz="0" w:space="0" w:color="auto"/>
        <w:bottom w:val="none" w:sz="0" w:space="0" w:color="auto"/>
        <w:right w:val="none" w:sz="0" w:space="0" w:color="auto"/>
      </w:divBdr>
    </w:div>
    <w:div w:id="1154839125">
      <w:bodyDiv w:val="1"/>
      <w:marLeft w:val="0"/>
      <w:marRight w:val="0"/>
      <w:marTop w:val="0"/>
      <w:marBottom w:val="0"/>
      <w:divBdr>
        <w:top w:val="none" w:sz="0" w:space="0" w:color="auto"/>
        <w:left w:val="none" w:sz="0" w:space="0" w:color="auto"/>
        <w:bottom w:val="none" w:sz="0" w:space="0" w:color="auto"/>
        <w:right w:val="none" w:sz="0" w:space="0" w:color="auto"/>
      </w:divBdr>
    </w:div>
    <w:div w:id="1158576519">
      <w:bodyDiv w:val="1"/>
      <w:marLeft w:val="0"/>
      <w:marRight w:val="0"/>
      <w:marTop w:val="0"/>
      <w:marBottom w:val="0"/>
      <w:divBdr>
        <w:top w:val="none" w:sz="0" w:space="0" w:color="auto"/>
        <w:left w:val="none" w:sz="0" w:space="0" w:color="auto"/>
        <w:bottom w:val="none" w:sz="0" w:space="0" w:color="auto"/>
        <w:right w:val="none" w:sz="0" w:space="0" w:color="auto"/>
      </w:divBdr>
    </w:div>
    <w:div w:id="1162089564">
      <w:bodyDiv w:val="1"/>
      <w:marLeft w:val="0"/>
      <w:marRight w:val="0"/>
      <w:marTop w:val="0"/>
      <w:marBottom w:val="0"/>
      <w:divBdr>
        <w:top w:val="none" w:sz="0" w:space="0" w:color="auto"/>
        <w:left w:val="none" w:sz="0" w:space="0" w:color="auto"/>
        <w:bottom w:val="none" w:sz="0" w:space="0" w:color="auto"/>
        <w:right w:val="none" w:sz="0" w:space="0" w:color="auto"/>
      </w:divBdr>
    </w:div>
    <w:div w:id="1169637113">
      <w:bodyDiv w:val="1"/>
      <w:marLeft w:val="0"/>
      <w:marRight w:val="0"/>
      <w:marTop w:val="0"/>
      <w:marBottom w:val="0"/>
      <w:divBdr>
        <w:top w:val="none" w:sz="0" w:space="0" w:color="auto"/>
        <w:left w:val="none" w:sz="0" w:space="0" w:color="auto"/>
        <w:bottom w:val="none" w:sz="0" w:space="0" w:color="auto"/>
        <w:right w:val="none" w:sz="0" w:space="0" w:color="auto"/>
      </w:divBdr>
    </w:div>
    <w:div w:id="1171333043">
      <w:bodyDiv w:val="1"/>
      <w:marLeft w:val="0"/>
      <w:marRight w:val="0"/>
      <w:marTop w:val="0"/>
      <w:marBottom w:val="0"/>
      <w:divBdr>
        <w:top w:val="none" w:sz="0" w:space="0" w:color="auto"/>
        <w:left w:val="none" w:sz="0" w:space="0" w:color="auto"/>
        <w:bottom w:val="none" w:sz="0" w:space="0" w:color="auto"/>
        <w:right w:val="none" w:sz="0" w:space="0" w:color="auto"/>
      </w:divBdr>
    </w:div>
    <w:div w:id="1186283012">
      <w:bodyDiv w:val="1"/>
      <w:marLeft w:val="0"/>
      <w:marRight w:val="0"/>
      <w:marTop w:val="0"/>
      <w:marBottom w:val="0"/>
      <w:divBdr>
        <w:top w:val="none" w:sz="0" w:space="0" w:color="auto"/>
        <w:left w:val="none" w:sz="0" w:space="0" w:color="auto"/>
        <w:bottom w:val="none" w:sz="0" w:space="0" w:color="auto"/>
        <w:right w:val="none" w:sz="0" w:space="0" w:color="auto"/>
      </w:divBdr>
    </w:div>
    <w:div w:id="1189561779">
      <w:bodyDiv w:val="1"/>
      <w:marLeft w:val="0"/>
      <w:marRight w:val="0"/>
      <w:marTop w:val="0"/>
      <w:marBottom w:val="0"/>
      <w:divBdr>
        <w:top w:val="none" w:sz="0" w:space="0" w:color="auto"/>
        <w:left w:val="none" w:sz="0" w:space="0" w:color="auto"/>
        <w:bottom w:val="none" w:sz="0" w:space="0" w:color="auto"/>
        <w:right w:val="none" w:sz="0" w:space="0" w:color="auto"/>
      </w:divBdr>
    </w:div>
    <w:div w:id="1190752022">
      <w:bodyDiv w:val="1"/>
      <w:marLeft w:val="0"/>
      <w:marRight w:val="0"/>
      <w:marTop w:val="0"/>
      <w:marBottom w:val="0"/>
      <w:divBdr>
        <w:top w:val="none" w:sz="0" w:space="0" w:color="auto"/>
        <w:left w:val="none" w:sz="0" w:space="0" w:color="auto"/>
        <w:bottom w:val="none" w:sz="0" w:space="0" w:color="auto"/>
        <w:right w:val="none" w:sz="0" w:space="0" w:color="auto"/>
      </w:divBdr>
    </w:div>
    <w:div w:id="1198007140">
      <w:bodyDiv w:val="1"/>
      <w:marLeft w:val="0"/>
      <w:marRight w:val="0"/>
      <w:marTop w:val="0"/>
      <w:marBottom w:val="0"/>
      <w:divBdr>
        <w:top w:val="none" w:sz="0" w:space="0" w:color="auto"/>
        <w:left w:val="none" w:sz="0" w:space="0" w:color="auto"/>
        <w:bottom w:val="none" w:sz="0" w:space="0" w:color="auto"/>
        <w:right w:val="none" w:sz="0" w:space="0" w:color="auto"/>
      </w:divBdr>
    </w:div>
    <w:div w:id="1198588107">
      <w:bodyDiv w:val="1"/>
      <w:marLeft w:val="0"/>
      <w:marRight w:val="0"/>
      <w:marTop w:val="0"/>
      <w:marBottom w:val="0"/>
      <w:divBdr>
        <w:top w:val="none" w:sz="0" w:space="0" w:color="auto"/>
        <w:left w:val="none" w:sz="0" w:space="0" w:color="auto"/>
        <w:bottom w:val="none" w:sz="0" w:space="0" w:color="auto"/>
        <w:right w:val="none" w:sz="0" w:space="0" w:color="auto"/>
      </w:divBdr>
    </w:div>
    <w:div w:id="1205021717">
      <w:bodyDiv w:val="1"/>
      <w:marLeft w:val="0"/>
      <w:marRight w:val="0"/>
      <w:marTop w:val="0"/>
      <w:marBottom w:val="0"/>
      <w:divBdr>
        <w:top w:val="none" w:sz="0" w:space="0" w:color="auto"/>
        <w:left w:val="none" w:sz="0" w:space="0" w:color="auto"/>
        <w:bottom w:val="none" w:sz="0" w:space="0" w:color="auto"/>
        <w:right w:val="none" w:sz="0" w:space="0" w:color="auto"/>
      </w:divBdr>
    </w:div>
    <w:div w:id="1209685432">
      <w:bodyDiv w:val="1"/>
      <w:marLeft w:val="0"/>
      <w:marRight w:val="0"/>
      <w:marTop w:val="0"/>
      <w:marBottom w:val="0"/>
      <w:divBdr>
        <w:top w:val="none" w:sz="0" w:space="0" w:color="auto"/>
        <w:left w:val="none" w:sz="0" w:space="0" w:color="auto"/>
        <w:bottom w:val="none" w:sz="0" w:space="0" w:color="auto"/>
        <w:right w:val="none" w:sz="0" w:space="0" w:color="auto"/>
      </w:divBdr>
    </w:div>
    <w:div w:id="1212812519">
      <w:bodyDiv w:val="1"/>
      <w:marLeft w:val="0"/>
      <w:marRight w:val="0"/>
      <w:marTop w:val="0"/>
      <w:marBottom w:val="0"/>
      <w:divBdr>
        <w:top w:val="none" w:sz="0" w:space="0" w:color="auto"/>
        <w:left w:val="none" w:sz="0" w:space="0" w:color="auto"/>
        <w:bottom w:val="none" w:sz="0" w:space="0" w:color="auto"/>
        <w:right w:val="none" w:sz="0" w:space="0" w:color="auto"/>
      </w:divBdr>
    </w:div>
    <w:div w:id="1213536433">
      <w:bodyDiv w:val="1"/>
      <w:marLeft w:val="0"/>
      <w:marRight w:val="0"/>
      <w:marTop w:val="0"/>
      <w:marBottom w:val="0"/>
      <w:divBdr>
        <w:top w:val="none" w:sz="0" w:space="0" w:color="auto"/>
        <w:left w:val="none" w:sz="0" w:space="0" w:color="auto"/>
        <w:bottom w:val="none" w:sz="0" w:space="0" w:color="auto"/>
        <w:right w:val="none" w:sz="0" w:space="0" w:color="auto"/>
      </w:divBdr>
    </w:div>
    <w:div w:id="1232039496">
      <w:bodyDiv w:val="1"/>
      <w:marLeft w:val="0"/>
      <w:marRight w:val="0"/>
      <w:marTop w:val="0"/>
      <w:marBottom w:val="0"/>
      <w:divBdr>
        <w:top w:val="none" w:sz="0" w:space="0" w:color="auto"/>
        <w:left w:val="none" w:sz="0" w:space="0" w:color="auto"/>
        <w:bottom w:val="none" w:sz="0" w:space="0" w:color="auto"/>
        <w:right w:val="none" w:sz="0" w:space="0" w:color="auto"/>
      </w:divBdr>
    </w:div>
    <w:div w:id="1234851338">
      <w:bodyDiv w:val="1"/>
      <w:marLeft w:val="0"/>
      <w:marRight w:val="0"/>
      <w:marTop w:val="0"/>
      <w:marBottom w:val="0"/>
      <w:divBdr>
        <w:top w:val="none" w:sz="0" w:space="0" w:color="auto"/>
        <w:left w:val="none" w:sz="0" w:space="0" w:color="auto"/>
        <w:bottom w:val="none" w:sz="0" w:space="0" w:color="auto"/>
        <w:right w:val="none" w:sz="0" w:space="0" w:color="auto"/>
      </w:divBdr>
    </w:div>
    <w:div w:id="1237325692">
      <w:bodyDiv w:val="1"/>
      <w:marLeft w:val="0"/>
      <w:marRight w:val="0"/>
      <w:marTop w:val="0"/>
      <w:marBottom w:val="0"/>
      <w:divBdr>
        <w:top w:val="none" w:sz="0" w:space="0" w:color="auto"/>
        <w:left w:val="none" w:sz="0" w:space="0" w:color="auto"/>
        <w:bottom w:val="none" w:sz="0" w:space="0" w:color="auto"/>
        <w:right w:val="none" w:sz="0" w:space="0" w:color="auto"/>
      </w:divBdr>
    </w:div>
    <w:div w:id="1238243922">
      <w:bodyDiv w:val="1"/>
      <w:marLeft w:val="0"/>
      <w:marRight w:val="0"/>
      <w:marTop w:val="0"/>
      <w:marBottom w:val="0"/>
      <w:divBdr>
        <w:top w:val="none" w:sz="0" w:space="0" w:color="auto"/>
        <w:left w:val="none" w:sz="0" w:space="0" w:color="auto"/>
        <w:bottom w:val="none" w:sz="0" w:space="0" w:color="auto"/>
        <w:right w:val="none" w:sz="0" w:space="0" w:color="auto"/>
      </w:divBdr>
    </w:div>
    <w:div w:id="1253321740">
      <w:bodyDiv w:val="1"/>
      <w:marLeft w:val="0"/>
      <w:marRight w:val="0"/>
      <w:marTop w:val="0"/>
      <w:marBottom w:val="0"/>
      <w:divBdr>
        <w:top w:val="none" w:sz="0" w:space="0" w:color="auto"/>
        <w:left w:val="none" w:sz="0" w:space="0" w:color="auto"/>
        <w:bottom w:val="none" w:sz="0" w:space="0" w:color="auto"/>
        <w:right w:val="none" w:sz="0" w:space="0" w:color="auto"/>
      </w:divBdr>
    </w:div>
    <w:div w:id="1262421374">
      <w:bodyDiv w:val="1"/>
      <w:marLeft w:val="0"/>
      <w:marRight w:val="0"/>
      <w:marTop w:val="0"/>
      <w:marBottom w:val="0"/>
      <w:divBdr>
        <w:top w:val="none" w:sz="0" w:space="0" w:color="auto"/>
        <w:left w:val="none" w:sz="0" w:space="0" w:color="auto"/>
        <w:bottom w:val="none" w:sz="0" w:space="0" w:color="auto"/>
        <w:right w:val="none" w:sz="0" w:space="0" w:color="auto"/>
      </w:divBdr>
    </w:div>
    <w:div w:id="1281841126">
      <w:bodyDiv w:val="1"/>
      <w:marLeft w:val="0"/>
      <w:marRight w:val="0"/>
      <w:marTop w:val="0"/>
      <w:marBottom w:val="0"/>
      <w:divBdr>
        <w:top w:val="none" w:sz="0" w:space="0" w:color="auto"/>
        <w:left w:val="none" w:sz="0" w:space="0" w:color="auto"/>
        <w:bottom w:val="none" w:sz="0" w:space="0" w:color="auto"/>
        <w:right w:val="none" w:sz="0" w:space="0" w:color="auto"/>
      </w:divBdr>
    </w:div>
    <w:div w:id="1298412657">
      <w:bodyDiv w:val="1"/>
      <w:marLeft w:val="0"/>
      <w:marRight w:val="0"/>
      <w:marTop w:val="0"/>
      <w:marBottom w:val="0"/>
      <w:divBdr>
        <w:top w:val="none" w:sz="0" w:space="0" w:color="auto"/>
        <w:left w:val="none" w:sz="0" w:space="0" w:color="auto"/>
        <w:bottom w:val="none" w:sz="0" w:space="0" w:color="auto"/>
        <w:right w:val="none" w:sz="0" w:space="0" w:color="auto"/>
      </w:divBdr>
    </w:div>
    <w:div w:id="1305505023">
      <w:bodyDiv w:val="1"/>
      <w:marLeft w:val="0"/>
      <w:marRight w:val="0"/>
      <w:marTop w:val="0"/>
      <w:marBottom w:val="0"/>
      <w:divBdr>
        <w:top w:val="none" w:sz="0" w:space="0" w:color="auto"/>
        <w:left w:val="none" w:sz="0" w:space="0" w:color="auto"/>
        <w:bottom w:val="none" w:sz="0" w:space="0" w:color="auto"/>
        <w:right w:val="none" w:sz="0" w:space="0" w:color="auto"/>
      </w:divBdr>
    </w:div>
    <w:div w:id="1306012288">
      <w:bodyDiv w:val="1"/>
      <w:marLeft w:val="0"/>
      <w:marRight w:val="0"/>
      <w:marTop w:val="0"/>
      <w:marBottom w:val="0"/>
      <w:divBdr>
        <w:top w:val="none" w:sz="0" w:space="0" w:color="auto"/>
        <w:left w:val="none" w:sz="0" w:space="0" w:color="auto"/>
        <w:bottom w:val="none" w:sz="0" w:space="0" w:color="auto"/>
        <w:right w:val="none" w:sz="0" w:space="0" w:color="auto"/>
      </w:divBdr>
    </w:div>
    <w:div w:id="1308125802">
      <w:bodyDiv w:val="1"/>
      <w:marLeft w:val="0"/>
      <w:marRight w:val="0"/>
      <w:marTop w:val="0"/>
      <w:marBottom w:val="0"/>
      <w:divBdr>
        <w:top w:val="none" w:sz="0" w:space="0" w:color="auto"/>
        <w:left w:val="none" w:sz="0" w:space="0" w:color="auto"/>
        <w:bottom w:val="none" w:sz="0" w:space="0" w:color="auto"/>
        <w:right w:val="none" w:sz="0" w:space="0" w:color="auto"/>
      </w:divBdr>
    </w:div>
    <w:div w:id="1311784345">
      <w:bodyDiv w:val="1"/>
      <w:marLeft w:val="0"/>
      <w:marRight w:val="0"/>
      <w:marTop w:val="0"/>
      <w:marBottom w:val="0"/>
      <w:divBdr>
        <w:top w:val="none" w:sz="0" w:space="0" w:color="auto"/>
        <w:left w:val="none" w:sz="0" w:space="0" w:color="auto"/>
        <w:bottom w:val="none" w:sz="0" w:space="0" w:color="auto"/>
        <w:right w:val="none" w:sz="0" w:space="0" w:color="auto"/>
      </w:divBdr>
    </w:div>
    <w:div w:id="1324623232">
      <w:bodyDiv w:val="1"/>
      <w:marLeft w:val="0"/>
      <w:marRight w:val="0"/>
      <w:marTop w:val="0"/>
      <w:marBottom w:val="0"/>
      <w:divBdr>
        <w:top w:val="none" w:sz="0" w:space="0" w:color="auto"/>
        <w:left w:val="none" w:sz="0" w:space="0" w:color="auto"/>
        <w:bottom w:val="none" w:sz="0" w:space="0" w:color="auto"/>
        <w:right w:val="none" w:sz="0" w:space="0" w:color="auto"/>
      </w:divBdr>
    </w:div>
    <w:div w:id="1327711029">
      <w:bodyDiv w:val="1"/>
      <w:marLeft w:val="0"/>
      <w:marRight w:val="0"/>
      <w:marTop w:val="0"/>
      <w:marBottom w:val="0"/>
      <w:divBdr>
        <w:top w:val="none" w:sz="0" w:space="0" w:color="auto"/>
        <w:left w:val="none" w:sz="0" w:space="0" w:color="auto"/>
        <w:bottom w:val="none" w:sz="0" w:space="0" w:color="auto"/>
        <w:right w:val="none" w:sz="0" w:space="0" w:color="auto"/>
      </w:divBdr>
    </w:div>
    <w:div w:id="1329406020">
      <w:bodyDiv w:val="1"/>
      <w:marLeft w:val="0"/>
      <w:marRight w:val="0"/>
      <w:marTop w:val="0"/>
      <w:marBottom w:val="0"/>
      <w:divBdr>
        <w:top w:val="none" w:sz="0" w:space="0" w:color="auto"/>
        <w:left w:val="none" w:sz="0" w:space="0" w:color="auto"/>
        <w:bottom w:val="none" w:sz="0" w:space="0" w:color="auto"/>
        <w:right w:val="none" w:sz="0" w:space="0" w:color="auto"/>
      </w:divBdr>
    </w:div>
    <w:div w:id="1333683345">
      <w:bodyDiv w:val="1"/>
      <w:marLeft w:val="0"/>
      <w:marRight w:val="0"/>
      <w:marTop w:val="0"/>
      <w:marBottom w:val="0"/>
      <w:divBdr>
        <w:top w:val="none" w:sz="0" w:space="0" w:color="auto"/>
        <w:left w:val="none" w:sz="0" w:space="0" w:color="auto"/>
        <w:bottom w:val="none" w:sz="0" w:space="0" w:color="auto"/>
        <w:right w:val="none" w:sz="0" w:space="0" w:color="auto"/>
      </w:divBdr>
    </w:div>
    <w:div w:id="1336805237">
      <w:bodyDiv w:val="1"/>
      <w:marLeft w:val="0"/>
      <w:marRight w:val="0"/>
      <w:marTop w:val="0"/>
      <w:marBottom w:val="0"/>
      <w:divBdr>
        <w:top w:val="none" w:sz="0" w:space="0" w:color="auto"/>
        <w:left w:val="none" w:sz="0" w:space="0" w:color="auto"/>
        <w:bottom w:val="none" w:sz="0" w:space="0" w:color="auto"/>
        <w:right w:val="none" w:sz="0" w:space="0" w:color="auto"/>
      </w:divBdr>
    </w:div>
    <w:div w:id="1337074163">
      <w:bodyDiv w:val="1"/>
      <w:marLeft w:val="0"/>
      <w:marRight w:val="0"/>
      <w:marTop w:val="0"/>
      <w:marBottom w:val="0"/>
      <w:divBdr>
        <w:top w:val="none" w:sz="0" w:space="0" w:color="auto"/>
        <w:left w:val="none" w:sz="0" w:space="0" w:color="auto"/>
        <w:bottom w:val="none" w:sz="0" w:space="0" w:color="auto"/>
        <w:right w:val="none" w:sz="0" w:space="0" w:color="auto"/>
      </w:divBdr>
    </w:div>
    <w:div w:id="1344279327">
      <w:bodyDiv w:val="1"/>
      <w:marLeft w:val="0"/>
      <w:marRight w:val="0"/>
      <w:marTop w:val="0"/>
      <w:marBottom w:val="0"/>
      <w:divBdr>
        <w:top w:val="none" w:sz="0" w:space="0" w:color="auto"/>
        <w:left w:val="none" w:sz="0" w:space="0" w:color="auto"/>
        <w:bottom w:val="none" w:sz="0" w:space="0" w:color="auto"/>
        <w:right w:val="none" w:sz="0" w:space="0" w:color="auto"/>
      </w:divBdr>
    </w:div>
    <w:div w:id="1352027395">
      <w:bodyDiv w:val="1"/>
      <w:marLeft w:val="0"/>
      <w:marRight w:val="0"/>
      <w:marTop w:val="0"/>
      <w:marBottom w:val="0"/>
      <w:divBdr>
        <w:top w:val="none" w:sz="0" w:space="0" w:color="auto"/>
        <w:left w:val="none" w:sz="0" w:space="0" w:color="auto"/>
        <w:bottom w:val="none" w:sz="0" w:space="0" w:color="auto"/>
        <w:right w:val="none" w:sz="0" w:space="0" w:color="auto"/>
      </w:divBdr>
    </w:div>
    <w:div w:id="1353260073">
      <w:bodyDiv w:val="1"/>
      <w:marLeft w:val="0"/>
      <w:marRight w:val="0"/>
      <w:marTop w:val="0"/>
      <w:marBottom w:val="0"/>
      <w:divBdr>
        <w:top w:val="none" w:sz="0" w:space="0" w:color="auto"/>
        <w:left w:val="none" w:sz="0" w:space="0" w:color="auto"/>
        <w:bottom w:val="none" w:sz="0" w:space="0" w:color="auto"/>
        <w:right w:val="none" w:sz="0" w:space="0" w:color="auto"/>
      </w:divBdr>
    </w:div>
    <w:div w:id="1364674281">
      <w:bodyDiv w:val="1"/>
      <w:marLeft w:val="0"/>
      <w:marRight w:val="0"/>
      <w:marTop w:val="0"/>
      <w:marBottom w:val="0"/>
      <w:divBdr>
        <w:top w:val="none" w:sz="0" w:space="0" w:color="auto"/>
        <w:left w:val="none" w:sz="0" w:space="0" w:color="auto"/>
        <w:bottom w:val="none" w:sz="0" w:space="0" w:color="auto"/>
        <w:right w:val="none" w:sz="0" w:space="0" w:color="auto"/>
      </w:divBdr>
    </w:div>
    <w:div w:id="1375811308">
      <w:bodyDiv w:val="1"/>
      <w:marLeft w:val="0"/>
      <w:marRight w:val="0"/>
      <w:marTop w:val="0"/>
      <w:marBottom w:val="0"/>
      <w:divBdr>
        <w:top w:val="none" w:sz="0" w:space="0" w:color="auto"/>
        <w:left w:val="none" w:sz="0" w:space="0" w:color="auto"/>
        <w:bottom w:val="none" w:sz="0" w:space="0" w:color="auto"/>
        <w:right w:val="none" w:sz="0" w:space="0" w:color="auto"/>
      </w:divBdr>
    </w:div>
    <w:div w:id="1384793638">
      <w:bodyDiv w:val="1"/>
      <w:marLeft w:val="0"/>
      <w:marRight w:val="0"/>
      <w:marTop w:val="0"/>
      <w:marBottom w:val="0"/>
      <w:divBdr>
        <w:top w:val="none" w:sz="0" w:space="0" w:color="auto"/>
        <w:left w:val="none" w:sz="0" w:space="0" w:color="auto"/>
        <w:bottom w:val="none" w:sz="0" w:space="0" w:color="auto"/>
        <w:right w:val="none" w:sz="0" w:space="0" w:color="auto"/>
      </w:divBdr>
    </w:div>
    <w:div w:id="1385134455">
      <w:bodyDiv w:val="1"/>
      <w:marLeft w:val="0"/>
      <w:marRight w:val="0"/>
      <w:marTop w:val="0"/>
      <w:marBottom w:val="0"/>
      <w:divBdr>
        <w:top w:val="none" w:sz="0" w:space="0" w:color="auto"/>
        <w:left w:val="none" w:sz="0" w:space="0" w:color="auto"/>
        <w:bottom w:val="none" w:sz="0" w:space="0" w:color="auto"/>
        <w:right w:val="none" w:sz="0" w:space="0" w:color="auto"/>
      </w:divBdr>
    </w:div>
    <w:div w:id="1389260421">
      <w:bodyDiv w:val="1"/>
      <w:marLeft w:val="0"/>
      <w:marRight w:val="0"/>
      <w:marTop w:val="0"/>
      <w:marBottom w:val="0"/>
      <w:divBdr>
        <w:top w:val="none" w:sz="0" w:space="0" w:color="auto"/>
        <w:left w:val="none" w:sz="0" w:space="0" w:color="auto"/>
        <w:bottom w:val="none" w:sz="0" w:space="0" w:color="auto"/>
        <w:right w:val="none" w:sz="0" w:space="0" w:color="auto"/>
      </w:divBdr>
    </w:div>
    <w:div w:id="1389262458">
      <w:bodyDiv w:val="1"/>
      <w:marLeft w:val="0"/>
      <w:marRight w:val="0"/>
      <w:marTop w:val="0"/>
      <w:marBottom w:val="0"/>
      <w:divBdr>
        <w:top w:val="none" w:sz="0" w:space="0" w:color="auto"/>
        <w:left w:val="none" w:sz="0" w:space="0" w:color="auto"/>
        <w:bottom w:val="none" w:sz="0" w:space="0" w:color="auto"/>
        <w:right w:val="none" w:sz="0" w:space="0" w:color="auto"/>
      </w:divBdr>
    </w:div>
    <w:div w:id="1397893767">
      <w:bodyDiv w:val="1"/>
      <w:marLeft w:val="0"/>
      <w:marRight w:val="0"/>
      <w:marTop w:val="0"/>
      <w:marBottom w:val="0"/>
      <w:divBdr>
        <w:top w:val="none" w:sz="0" w:space="0" w:color="auto"/>
        <w:left w:val="none" w:sz="0" w:space="0" w:color="auto"/>
        <w:bottom w:val="none" w:sz="0" w:space="0" w:color="auto"/>
        <w:right w:val="none" w:sz="0" w:space="0" w:color="auto"/>
      </w:divBdr>
    </w:div>
    <w:div w:id="1409695998">
      <w:bodyDiv w:val="1"/>
      <w:marLeft w:val="0"/>
      <w:marRight w:val="0"/>
      <w:marTop w:val="0"/>
      <w:marBottom w:val="0"/>
      <w:divBdr>
        <w:top w:val="none" w:sz="0" w:space="0" w:color="auto"/>
        <w:left w:val="none" w:sz="0" w:space="0" w:color="auto"/>
        <w:bottom w:val="none" w:sz="0" w:space="0" w:color="auto"/>
        <w:right w:val="none" w:sz="0" w:space="0" w:color="auto"/>
      </w:divBdr>
    </w:div>
    <w:div w:id="1410273439">
      <w:bodyDiv w:val="1"/>
      <w:marLeft w:val="0"/>
      <w:marRight w:val="0"/>
      <w:marTop w:val="0"/>
      <w:marBottom w:val="0"/>
      <w:divBdr>
        <w:top w:val="none" w:sz="0" w:space="0" w:color="auto"/>
        <w:left w:val="none" w:sz="0" w:space="0" w:color="auto"/>
        <w:bottom w:val="none" w:sz="0" w:space="0" w:color="auto"/>
        <w:right w:val="none" w:sz="0" w:space="0" w:color="auto"/>
      </w:divBdr>
    </w:div>
    <w:div w:id="1420784367">
      <w:bodyDiv w:val="1"/>
      <w:marLeft w:val="0"/>
      <w:marRight w:val="0"/>
      <w:marTop w:val="0"/>
      <w:marBottom w:val="0"/>
      <w:divBdr>
        <w:top w:val="none" w:sz="0" w:space="0" w:color="auto"/>
        <w:left w:val="none" w:sz="0" w:space="0" w:color="auto"/>
        <w:bottom w:val="none" w:sz="0" w:space="0" w:color="auto"/>
        <w:right w:val="none" w:sz="0" w:space="0" w:color="auto"/>
      </w:divBdr>
    </w:div>
    <w:div w:id="1431580627">
      <w:bodyDiv w:val="1"/>
      <w:marLeft w:val="0"/>
      <w:marRight w:val="0"/>
      <w:marTop w:val="0"/>
      <w:marBottom w:val="0"/>
      <w:divBdr>
        <w:top w:val="none" w:sz="0" w:space="0" w:color="auto"/>
        <w:left w:val="none" w:sz="0" w:space="0" w:color="auto"/>
        <w:bottom w:val="none" w:sz="0" w:space="0" w:color="auto"/>
        <w:right w:val="none" w:sz="0" w:space="0" w:color="auto"/>
      </w:divBdr>
    </w:div>
    <w:div w:id="1434087853">
      <w:bodyDiv w:val="1"/>
      <w:marLeft w:val="0"/>
      <w:marRight w:val="0"/>
      <w:marTop w:val="0"/>
      <w:marBottom w:val="0"/>
      <w:divBdr>
        <w:top w:val="none" w:sz="0" w:space="0" w:color="auto"/>
        <w:left w:val="none" w:sz="0" w:space="0" w:color="auto"/>
        <w:bottom w:val="none" w:sz="0" w:space="0" w:color="auto"/>
        <w:right w:val="none" w:sz="0" w:space="0" w:color="auto"/>
      </w:divBdr>
    </w:div>
    <w:div w:id="1434397943">
      <w:bodyDiv w:val="1"/>
      <w:marLeft w:val="0"/>
      <w:marRight w:val="0"/>
      <w:marTop w:val="0"/>
      <w:marBottom w:val="0"/>
      <w:divBdr>
        <w:top w:val="none" w:sz="0" w:space="0" w:color="auto"/>
        <w:left w:val="none" w:sz="0" w:space="0" w:color="auto"/>
        <w:bottom w:val="none" w:sz="0" w:space="0" w:color="auto"/>
        <w:right w:val="none" w:sz="0" w:space="0" w:color="auto"/>
      </w:divBdr>
    </w:div>
    <w:div w:id="1435858652">
      <w:bodyDiv w:val="1"/>
      <w:marLeft w:val="0"/>
      <w:marRight w:val="0"/>
      <w:marTop w:val="0"/>
      <w:marBottom w:val="0"/>
      <w:divBdr>
        <w:top w:val="none" w:sz="0" w:space="0" w:color="auto"/>
        <w:left w:val="none" w:sz="0" w:space="0" w:color="auto"/>
        <w:bottom w:val="none" w:sz="0" w:space="0" w:color="auto"/>
        <w:right w:val="none" w:sz="0" w:space="0" w:color="auto"/>
      </w:divBdr>
    </w:div>
    <w:div w:id="1441530225">
      <w:bodyDiv w:val="1"/>
      <w:marLeft w:val="0"/>
      <w:marRight w:val="0"/>
      <w:marTop w:val="0"/>
      <w:marBottom w:val="0"/>
      <w:divBdr>
        <w:top w:val="none" w:sz="0" w:space="0" w:color="auto"/>
        <w:left w:val="none" w:sz="0" w:space="0" w:color="auto"/>
        <w:bottom w:val="none" w:sz="0" w:space="0" w:color="auto"/>
        <w:right w:val="none" w:sz="0" w:space="0" w:color="auto"/>
      </w:divBdr>
    </w:div>
    <w:div w:id="1443724610">
      <w:bodyDiv w:val="1"/>
      <w:marLeft w:val="0"/>
      <w:marRight w:val="0"/>
      <w:marTop w:val="0"/>
      <w:marBottom w:val="0"/>
      <w:divBdr>
        <w:top w:val="none" w:sz="0" w:space="0" w:color="auto"/>
        <w:left w:val="none" w:sz="0" w:space="0" w:color="auto"/>
        <w:bottom w:val="none" w:sz="0" w:space="0" w:color="auto"/>
        <w:right w:val="none" w:sz="0" w:space="0" w:color="auto"/>
      </w:divBdr>
    </w:div>
    <w:div w:id="1446657479">
      <w:bodyDiv w:val="1"/>
      <w:marLeft w:val="0"/>
      <w:marRight w:val="0"/>
      <w:marTop w:val="0"/>
      <w:marBottom w:val="0"/>
      <w:divBdr>
        <w:top w:val="none" w:sz="0" w:space="0" w:color="auto"/>
        <w:left w:val="none" w:sz="0" w:space="0" w:color="auto"/>
        <w:bottom w:val="none" w:sz="0" w:space="0" w:color="auto"/>
        <w:right w:val="none" w:sz="0" w:space="0" w:color="auto"/>
      </w:divBdr>
    </w:div>
    <w:div w:id="1455712867">
      <w:bodyDiv w:val="1"/>
      <w:marLeft w:val="0"/>
      <w:marRight w:val="0"/>
      <w:marTop w:val="0"/>
      <w:marBottom w:val="0"/>
      <w:divBdr>
        <w:top w:val="none" w:sz="0" w:space="0" w:color="auto"/>
        <w:left w:val="none" w:sz="0" w:space="0" w:color="auto"/>
        <w:bottom w:val="none" w:sz="0" w:space="0" w:color="auto"/>
        <w:right w:val="none" w:sz="0" w:space="0" w:color="auto"/>
      </w:divBdr>
    </w:div>
    <w:div w:id="1458527095">
      <w:bodyDiv w:val="1"/>
      <w:marLeft w:val="0"/>
      <w:marRight w:val="0"/>
      <w:marTop w:val="0"/>
      <w:marBottom w:val="0"/>
      <w:divBdr>
        <w:top w:val="none" w:sz="0" w:space="0" w:color="auto"/>
        <w:left w:val="none" w:sz="0" w:space="0" w:color="auto"/>
        <w:bottom w:val="none" w:sz="0" w:space="0" w:color="auto"/>
        <w:right w:val="none" w:sz="0" w:space="0" w:color="auto"/>
      </w:divBdr>
    </w:div>
    <w:div w:id="1479301189">
      <w:bodyDiv w:val="1"/>
      <w:marLeft w:val="0"/>
      <w:marRight w:val="0"/>
      <w:marTop w:val="0"/>
      <w:marBottom w:val="0"/>
      <w:divBdr>
        <w:top w:val="none" w:sz="0" w:space="0" w:color="auto"/>
        <w:left w:val="none" w:sz="0" w:space="0" w:color="auto"/>
        <w:bottom w:val="none" w:sz="0" w:space="0" w:color="auto"/>
        <w:right w:val="none" w:sz="0" w:space="0" w:color="auto"/>
      </w:divBdr>
    </w:div>
    <w:div w:id="1479572238">
      <w:bodyDiv w:val="1"/>
      <w:marLeft w:val="0"/>
      <w:marRight w:val="0"/>
      <w:marTop w:val="0"/>
      <w:marBottom w:val="0"/>
      <w:divBdr>
        <w:top w:val="none" w:sz="0" w:space="0" w:color="auto"/>
        <w:left w:val="none" w:sz="0" w:space="0" w:color="auto"/>
        <w:bottom w:val="none" w:sz="0" w:space="0" w:color="auto"/>
        <w:right w:val="none" w:sz="0" w:space="0" w:color="auto"/>
      </w:divBdr>
    </w:div>
    <w:div w:id="1484194835">
      <w:bodyDiv w:val="1"/>
      <w:marLeft w:val="0"/>
      <w:marRight w:val="0"/>
      <w:marTop w:val="0"/>
      <w:marBottom w:val="0"/>
      <w:divBdr>
        <w:top w:val="none" w:sz="0" w:space="0" w:color="auto"/>
        <w:left w:val="none" w:sz="0" w:space="0" w:color="auto"/>
        <w:bottom w:val="none" w:sz="0" w:space="0" w:color="auto"/>
        <w:right w:val="none" w:sz="0" w:space="0" w:color="auto"/>
      </w:divBdr>
    </w:div>
    <w:div w:id="1487546478">
      <w:bodyDiv w:val="1"/>
      <w:marLeft w:val="0"/>
      <w:marRight w:val="0"/>
      <w:marTop w:val="0"/>
      <w:marBottom w:val="0"/>
      <w:divBdr>
        <w:top w:val="none" w:sz="0" w:space="0" w:color="auto"/>
        <w:left w:val="none" w:sz="0" w:space="0" w:color="auto"/>
        <w:bottom w:val="none" w:sz="0" w:space="0" w:color="auto"/>
        <w:right w:val="none" w:sz="0" w:space="0" w:color="auto"/>
      </w:divBdr>
    </w:div>
    <w:div w:id="1495760587">
      <w:bodyDiv w:val="1"/>
      <w:marLeft w:val="0"/>
      <w:marRight w:val="0"/>
      <w:marTop w:val="0"/>
      <w:marBottom w:val="0"/>
      <w:divBdr>
        <w:top w:val="none" w:sz="0" w:space="0" w:color="auto"/>
        <w:left w:val="none" w:sz="0" w:space="0" w:color="auto"/>
        <w:bottom w:val="none" w:sz="0" w:space="0" w:color="auto"/>
        <w:right w:val="none" w:sz="0" w:space="0" w:color="auto"/>
      </w:divBdr>
    </w:div>
    <w:div w:id="1500736058">
      <w:bodyDiv w:val="1"/>
      <w:marLeft w:val="0"/>
      <w:marRight w:val="0"/>
      <w:marTop w:val="0"/>
      <w:marBottom w:val="0"/>
      <w:divBdr>
        <w:top w:val="none" w:sz="0" w:space="0" w:color="auto"/>
        <w:left w:val="none" w:sz="0" w:space="0" w:color="auto"/>
        <w:bottom w:val="none" w:sz="0" w:space="0" w:color="auto"/>
        <w:right w:val="none" w:sz="0" w:space="0" w:color="auto"/>
      </w:divBdr>
    </w:div>
    <w:div w:id="1502236312">
      <w:bodyDiv w:val="1"/>
      <w:marLeft w:val="0"/>
      <w:marRight w:val="0"/>
      <w:marTop w:val="0"/>
      <w:marBottom w:val="0"/>
      <w:divBdr>
        <w:top w:val="none" w:sz="0" w:space="0" w:color="auto"/>
        <w:left w:val="none" w:sz="0" w:space="0" w:color="auto"/>
        <w:bottom w:val="none" w:sz="0" w:space="0" w:color="auto"/>
        <w:right w:val="none" w:sz="0" w:space="0" w:color="auto"/>
      </w:divBdr>
    </w:div>
    <w:div w:id="1505126974">
      <w:bodyDiv w:val="1"/>
      <w:marLeft w:val="0"/>
      <w:marRight w:val="0"/>
      <w:marTop w:val="0"/>
      <w:marBottom w:val="0"/>
      <w:divBdr>
        <w:top w:val="none" w:sz="0" w:space="0" w:color="auto"/>
        <w:left w:val="none" w:sz="0" w:space="0" w:color="auto"/>
        <w:bottom w:val="none" w:sz="0" w:space="0" w:color="auto"/>
        <w:right w:val="none" w:sz="0" w:space="0" w:color="auto"/>
      </w:divBdr>
    </w:div>
    <w:div w:id="1507593621">
      <w:bodyDiv w:val="1"/>
      <w:marLeft w:val="0"/>
      <w:marRight w:val="0"/>
      <w:marTop w:val="0"/>
      <w:marBottom w:val="0"/>
      <w:divBdr>
        <w:top w:val="none" w:sz="0" w:space="0" w:color="auto"/>
        <w:left w:val="none" w:sz="0" w:space="0" w:color="auto"/>
        <w:bottom w:val="none" w:sz="0" w:space="0" w:color="auto"/>
        <w:right w:val="none" w:sz="0" w:space="0" w:color="auto"/>
      </w:divBdr>
    </w:div>
    <w:div w:id="1524049651">
      <w:bodyDiv w:val="1"/>
      <w:marLeft w:val="0"/>
      <w:marRight w:val="0"/>
      <w:marTop w:val="0"/>
      <w:marBottom w:val="0"/>
      <w:divBdr>
        <w:top w:val="none" w:sz="0" w:space="0" w:color="auto"/>
        <w:left w:val="none" w:sz="0" w:space="0" w:color="auto"/>
        <w:bottom w:val="none" w:sz="0" w:space="0" w:color="auto"/>
        <w:right w:val="none" w:sz="0" w:space="0" w:color="auto"/>
      </w:divBdr>
    </w:div>
    <w:div w:id="1525703367">
      <w:bodyDiv w:val="1"/>
      <w:marLeft w:val="0"/>
      <w:marRight w:val="0"/>
      <w:marTop w:val="0"/>
      <w:marBottom w:val="0"/>
      <w:divBdr>
        <w:top w:val="none" w:sz="0" w:space="0" w:color="auto"/>
        <w:left w:val="none" w:sz="0" w:space="0" w:color="auto"/>
        <w:bottom w:val="none" w:sz="0" w:space="0" w:color="auto"/>
        <w:right w:val="none" w:sz="0" w:space="0" w:color="auto"/>
      </w:divBdr>
    </w:div>
    <w:div w:id="1551915861">
      <w:bodyDiv w:val="1"/>
      <w:marLeft w:val="0"/>
      <w:marRight w:val="0"/>
      <w:marTop w:val="0"/>
      <w:marBottom w:val="0"/>
      <w:divBdr>
        <w:top w:val="none" w:sz="0" w:space="0" w:color="auto"/>
        <w:left w:val="none" w:sz="0" w:space="0" w:color="auto"/>
        <w:bottom w:val="none" w:sz="0" w:space="0" w:color="auto"/>
        <w:right w:val="none" w:sz="0" w:space="0" w:color="auto"/>
      </w:divBdr>
    </w:div>
    <w:div w:id="1554542865">
      <w:bodyDiv w:val="1"/>
      <w:marLeft w:val="0"/>
      <w:marRight w:val="0"/>
      <w:marTop w:val="0"/>
      <w:marBottom w:val="0"/>
      <w:divBdr>
        <w:top w:val="none" w:sz="0" w:space="0" w:color="auto"/>
        <w:left w:val="none" w:sz="0" w:space="0" w:color="auto"/>
        <w:bottom w:val="none" w:sz="0" w:space="0" w:color="auto"/>
        <w:right w:val="none" w:sz="0" w:space="0" w:color="auto"/>
      </w:divBdr>
    </w:div>
    <w:div w:id="1561138194">
      <w:bodyDiv w:val="1"/>
      <w:marLeft w:val="0"/>
      <w:marRight w:val="0"/>
      <w:marTop w:val="0"/>
      <w:marBottom w:val="0"/>
      <w:divBdr>
        <w:top w:val="none" w:sz="0" w:space="0" w:color="auto"/>
        <w:left w:val="none" w:sz="0" w:space="0" w:color="auto"/>
        <w:bottom w:val="none" w:sz="0" w:space="0" w:color="auto"/>
        <w:right w:val="none" w:sz="0" w:space="0" w:color="auto"/>
      </w:divBdr>
    </w:div>
    <w:div w:id="1566180332">
      <w:bodyDiv w:val="1"/>
      <w:marLeft w:val="0"/>
      <w:marRight w:val="0"/>
      <w:marTop w:val="0"/>
      <w:marBottom w:val="0"/>
      <w:divBdr>
        <w:top w:val="none" w:sz="0" w:space="0" w:color="auto"/>
        <w:left w:val="none" w:sz="0" w:space="0" w:color="auto"/>
        <w:bottom w:val="none" w:sz="0" w:space="0" w:color="auto"/>
        <w:right w:val="none" w:sz="0" w:space="0" w:color="auto"/>
      </w:divBdr>
    </w:div>
    <w:div w:id="1571847531">
      <w:bodyDiv w:val="1"/>
      <w:marLeft w:val="0"/>
      <w:marRight w:val="0"/>
      <w:marTop w:val="0"/>
      <w:marBottom w:val="0"/>
      <w:divBdr>
        <w:top w:val="none" w:sz="0" w:space="0" w:color="auto"/>
        <w:left w:val="none" w:sz="0" w:space="0" w:color="auto"/>
        <w:bottom w:val="none" w:sz="0" w:space="0" w:color="auto"/>
        <w:right w:val="none" w:sz="0" w:space="0" w:color="auto"/>
      </w:divBdr>
    </w:div>
    <w:div w:id="1574510236">
      <w:bodyDiv w:val="1"/>
      <w:marLeft w:val="0"/>
      <w:marRight w:val="0"/>
      <w:marTop w:val="0"/>
      <w:marBottom w:val="0"/>
      <w:divBdr>
        <w:top w:val="none" w:sz="0" w:space="0" w:color="auto"/>
        <w:left w:val="none" w:sz="0" w:space="0" w:color="auto"/>
        <w:bottom w:val="none" w:sz="0" w:space="0" w:color="auto"/>
        <w:right w:val="none" w:sz="0" w:space="0" w:color="auto"/>
      </w:divBdr>
    </w:div>
    <w:div w:id="1577782022">
      <w:bodyDiv w:val="1"/>
      <w:marLeft w:val="0"/>
      <w:marRight w:val="0"/>
      <w:marTop w:val="0"/>
      <w:marBottom w:val="0"/>
      <w:divBdr>
        <w:top w:val="none" w:sz="0" w:space="0" w:color="auto"/>
        <w:left w:val="none" w:sz="0" w:space="0" w:color="auto"/>
        <w:bottom w:val="none" w:sz="0" w:space="0" w:color="auto"/>
        <w:right w:val="none" w:sz="0" w:space="0" w:color="auto"/>
      </w:divBdr>
    </w:div>
    <w:div w:id="1578057778">
      <w:bodyDiv w:val="1"/>
      <w:marLeft w:val="0"/>
      <w:marRight w:val="0"/>
      <w:marTop w:val="0"/>
      <w:marBottom w:val="0"/>
      <w:divBdr>
        <w:top w:val="none" w:sz="0" w:space="0" w:color="auto"/>
        <w:left w:val="none" w:sz="0" w:space="0" w:color="auto"/>
        <w:bottom w:val="none" w:sz="0" w:space="0" w:color="auto"/>
        <w:right w:val="none" w:sz="0" w:space="0" w:color="auto"/>
      </w:divBdr>
    </w:div>
    <w:div w:id="1586181650">
      <w:bodyDiv w:val="1"/>
      <w:marLeft w:val="0"/>
      <w:marRight w:val="0"/>
      <w:marTop w:val="0"/>
      <w:marBottom w:val="0"/>
      <w:divBdr>
        <w:top w:val="none" w:sz="0" w:space="0" w:color="auto"/>
        <w:left w:val="none" w:sz="0" w:space="0" w:color="auto"/>
        <w:bottom w:val="none" w:sz="0" w:space="0" w:color="auto"/>
        <w:right w:val="none" w:sz="0" w:space="0" w:color="auto"/>
      </w:divBdr>
    </w:div>
    <w:div w:id="1587806229">
      <w:bodyDiv w:val="1"/>
      <w:marLeft w:val="0"/>
      <w:marRight w:val="0"/>
      <w:marTop w:val="0"/>
      <w:marBottom w:val="0"/>
      <w:divBdr>
        <w:top w:val="none" w:sz="0" w:space="0" w:color="auto"/>
        <w:left w:val="none" w:sz="0" w:space="0" w:color="auto"/>
        <w:bottom w:val="none" w:sz="0" w:space="0" w:color="auto"/>
        <w:right w:val="none" w:sz="0" w:space="0" w:color="auto"/>
      </w:divBdr>
      <w:divsChild>
        <w:div w:id="1894534892">
          <w:marLeft w:val="0"/>
          <w:marRight w:val="0"/>
          <w:marTop w:val="0"/>
          <w:marBottom w:val="0"/>
          <w:divBdr>
            <w:top w:val="none" w:sz="0" w:space="0" w:color="auto"/>
            <w:left w:val="none" w:sz="0" w:space="0" w:color="auto"/>
            <w:bottom w:val="none" w:sz="0" w:space="0" w:color="auto"/>
            <w:right w:val="none" w:sz="0" w:space="0" w:color="auto"/>
          </w:divBdr>
        </w:div>
      </w:divsChild>
    </w:div>
    <w:div w:id="1588728527">
      <w:bodyDiv w:val="1"/>
      <w:marLeft w:val="0"/>
      <w:marRight w:val="0"/>
      <w:marTop w:val="0"/>
      <w:marBottom w:val="0"/>
      <w:divBdr>
        <w:top w:val="none" w:sz="0" w:space="0" w:color="auto"/>
        <w:left w:val="none" w:sz="0" w:space="0" w:color="auto"/>
        <w:bottom w:val="none" w:sz="0" w:space="0" w:color="auto"/>
        <w:right w:val="none" w:sz="0" w:space="0" w:color="auto"/>
      </w:divBdr>
    </w:div>
    <w:div w:id="1591501720">
      <w:bodyDiv w:val="1"/>
      <w:marLeft w:val="0"/>
      <w:marRight w:val="0"/>
      <w:marTop w:val="0"/>
      <w:marBottom w:val="0"/>
      <w:divBdr>
        <w:top w:val="none" w:sz="0" w:space="0" w:color="auto"/>
        <w:left w:val="none" w:sz="0" w:space="0" w:color="auto"/>
        <w:bottom w:val="none" w:sz="0" w:space="0" w:color="auto"/>
        <w:right w:val="none" w:sz="0" w:space="0" w:color="auto"/>
      </w:divBdr>
    </w:div>
    <w:div w:id="1593011453">
      <w:bodyDiv w:val="1"/>
      <w:marLeft w:val="0"/>
      <w:marRight w:val="0"/>
      <w:marTop w:val="0"/>
      <w:marBottom w:val="0"/>
      <w:divBdr>
        <w:top w:val="none" w:sz="0" w:space="0" w:color="auto"/>
        <w:left w:val="none" w:sz="0" w:space="0" w:color="auto"/>
        <w:bottom w:val="none" w:sz="0" w:space="0" w:color="auto"/>
        <w:right w:val="none" w:sz="0" w:space="0" w:color="auto"/>
      </w:divBdr>
    </w:div>
    <w:div w:id="1599486681">
      <w:bodyDiv w:val="1"/>
      <w:marLeft w:val="0"/>
      <w:marRight w:val="0"/>
      <w:marTop w:val="0"/>
      <w:marBottom w:val="0"/>
      <w:divBdr>
        <w:top w:val="none" w:sz="0" w:space="0" w:color="auto"/>
        <w:left w:val="none" w:sz="0" w:space="0" w:color="auto"/>
        <w:bottom w:val="none" w:sz="0" w:space="0" w:color="auto"/>
        <w:right w:val="none" w:sz="0" w:space="0" w:color="auto"/>
      </w:divBdr>
    </w:div>
    <w:div w:id="1601596761">
      <w:bodyDiv w:val="1"/>
      <w:marLeft w:val="0"/>
      <w:marRight w:val="0"/>
      <w:marTop w:val="0"/>
      <w:marBottom w:val="0"/>
      <w:divBdr>
        <w:top w:val="none" w:sz="0" w:space="0" w:color="auto"/>
        <w:left w:val="none" w:sz="0" w:space="0" w:color="auto"/>
        <w:bottom w:val="none" w:sz="0" w:space="0" w:color="auto"/>
        <w:right w:val="none" w:sz="0" w:space="0" w:color="auto"/>
      </w:divBdr>
    </w:div>
    <w:div w:id="1602765262">
      <w:bodyDiv w:val="1"/>
      <w:marLeft w:val="0"/>
      <w:marRight w:val="0"/>
      <w:marTop w:val="0"/>
      <w:marBottom w:val="0"/>
      <w:divBdr>
        <w:top w:val="none" w:sz="0" w:space="0" w:color="auto"/>
        <w:left w:val="none" w:sz="0" w:space="0" w:color="auto"/>
        <w:bottom w:val="none" w:sz="0" w:space="0" w:color="auto"/>
        <w:right w:val="none" w:sz="0" w:space="0" w:color="auto"/>
      </w:divBdr>
    </w:div>
    <w:div w:id="1602952279">
      <w:bodyDiv w:val="1"/>
      <w:marLeft w:val="0"/>
      <w:marRight w:val="0"/>
      <w:marTop w:val="0"/>
      <w:marBottom w:val="0"/>
      <w:divBdr>
        <w:top w:val="none" w:sz="0" w:space="0" w:color="auto"/>
        <w:left w:val="none" w:sz="0" w:space="0" w:color="auto"/>
        <w:bottom w:val="none" w:sz="0" w:space="0" w:color="auto"/>
        <w:right w:val="none" w:sz="0" w:space="0" w:color="auto"/>
      </w:divBdr>
    </w:div>
    <w:div w:id="1603029015">
      <w:bodyDiv w:val="1"/>
      <w:marLeft w:val="0"/>
      <w:marRight w:val="0"/>
      <w:marTop w:val="0"/>
      <w:marBottom w:val="0"/>
      <w:divBdr>
        <w:top w:val="none" w:sz="0" w:space="0" w:color="auto"/>
        <w:left w:val="none" w:sz="0" w:space="0" w:color="auto"/>
        <w:bottom w:val="none" w:sz="0" w:space="0" w:color="auto"/>
        <w:right w:val="none" w:sz="0" w:space="0" w:color="auto"/>
      </w:divBdr>
    </w:div>
    <w:div w:id="1606619862">
      <w:bodyDiv w:val="1"/>
      <w:marLeft w:val="0"/>
      <w:marRight w:val="0"/>
      <w:marTop w:val="0"/>
      <w:marBottom w:val="0"/>
      <w:divBdr>
        <w:top w:val="none" w:sz="0" w:space="0" w:color="auto"/>
        <w:left w:val="none" w:sz="0" w:space="0" w:color="auto"/>
        <w:bottom w:val="none" w:sz="0" w:space="0" w:color="auto"/>
        <w:right w:val="none" w:sz="0" w:space="0" w:color="auto"/>
      </w:divBdr>
    </w:div>
    <w:div w:id="1607494912">
      <w:bodyDiv w:val="1"/>
      <w:marLeft w:val="0"/>
      <w:marRight w:val="0"/>
      <w:marTop w:val="0"/>
      <w:marBottom w:val="0"/>
      <w:divBdr>
        <w:top w:val="none" w:sz="0" w:space="0" w:color="auto"/>
        <w:left w:val="none" w:sz="0" w:space="0" w:color="auto"/>
        <w:bottom w:val="none" w:sz="0" w:space="0" w:color="auto"/>
        <w:right w:val="none" w:sz="0" w:space="0" w:color="auto"/>
      </w:divBdr>
    </w:div>
    <w:div w:id="1609703099">
      <w:bodyDiv w:val="1"/>
      <w:marLeft w:val="0"/>
      <w:marRight w:val="0"/>
      <w:marTop w:val="0"/>
      <w:marBottom w:val="0"/>
      <w:divBdr>
        <w:top w:val="none" w:sz="0" w:space="0" w:color="auto"/>
        <w:left w:val="none" w:sz="0" w:space="0" w:color="auto"/>
        <w:bottom w:val="none" w:sz="0" w:space="0" w:color="auto"/>
        <w:right w:val="none" w:sz="0" w:space="0" w:color="auto"/>
      </w:divBdr>
    </w:div>
    <w:div w:id="1615480688">
      <w:bodyDiv w:val="1"/>
      <w:marLeft w:val="0"/>
      <w:marRight w:val="0"/>
      <w:marTop w:val="0"/>
      <w:marBottom w:val="0"/>
      <w:divBdr>
        <w:top w:val="none" w:sz="0" w:space="0" w:color="auto"/>
        <w:left w:val="none" w:sz="0" w:space="0" w:color="auto"/>
        <w:bottom w:val="none" w:sz="0" w:space="0" w:color="auto"/>
        <w:right w:val="none" w:sz="0" w:space="0" w:color="auto"/>
      </w:divBdr>
    </w:div>
    <w:div w:id="1617446175">
      <w:bodyDiv w:val="1"/>
      <w:marLeft w:val="0"/>
      <w:marRight w:val="0"/>
      <w:marTop w:val="0"/>
      <w:marBottom w:val="0"/>
      <w:divBdr>
        <w:top w:val="none" w:sz="0" w:space="0" w:color="auto"/>
        <w:left w:val="none" w:sz="0" w:space="0" w:color="auto"/>
        <w:bottom w:val="none" w:sz="0" w:space="0" w:color="auto"/>
        <w:right w:val="none" w:sz="0" w:space="0" w:color="auto"/>
      </w:divBdr>
    </w:div>
    <w:div w:id="1622690447">
      <w:bodyDiv w:val="1"/>
      <w:marLeft w:val="0"/>
      <w:marRight w:val="0"/>
      <w:marTop w:val="0"/>
      <w:marBottom w:val="0"/>
      <w:divBdr>
        <w:top w:val="none" w:sz="0" w:space="0" w:color="auto"/>
        <w:left w:val="none" w:sz="0" w:space="0" w:color="auto"/>
        <w:bottom w:val="none" w:sz="0" w:space="0" w:color="auto"/>
        <w:right w:val="none" w:sz="0" w:space="0" w:color="auto"/>
      </w:divBdr>
    </w:div>
    <w:div w:id="1628391955">
      <w:bodyDiv w:val="1"/>
      <w:marLeft w:val="0"/>
      <w:marRight w:val="0"/>
      <w:marTop w:val="0"/>
      <w:marBottom w:val="0"/>
      <w:divBdr>
        <w:top w:val="none" w:sz="0" w:space="0" w:color="auto"/>
        <w:left w:val="none" w:sz="0" w:space="0" w:color="auto"/>
        <w:bottom w:val="none" w:sz="0" w:space="0" w:color="auto"/>
        <w:right w:val="none" w:sz="0" w:space="0" w:color="auto"/>
      </w:divBdr>
    </w:div>
    <w:div w:id="1631130374">
      <w:bodyDiv w:val="1"/>
      <w:marLeft w:val="0"/>
      <w:marRight w:val="0"/>
      <w:marTop w:val="0"/>
      <w:marBottom w:val="0"/>
      <w:divBdr>
        <w:top w:val="none" w:sz="0" w:space="0" w:color="auto"/>
        <w:left w:val="none" w:sz="0" w:space="0" w:color="auto"/>
        <w:bottom w:val="none" w:sz="0" w:space="0" w:color="auto"/>
        <w:right w:val="none" w:sz="0" w:space="0" w:color="auto"/>
      </w:divBdr>
    </w:div>
    <w:div w:id="1645506200">
      <w:bodyDiv w:val="1"/>
      <w:marLeft w:val="0"/>
      <w:marRight w:val="0"/>
      <w:marTop w:val="0"/>
      <w:marBottom w:val="0"/>
      <w:divBdr>
        <w:top w:val="none" w:sz="0" w:space="0" w:color="auto"/>
        <w:left w:val="none" w:sz="0" w:space="0" w:color="auto"/>
        <w:bottom w:val="none" w:sz="0" w:space="0" w:color="auto"/>
        <w:right w:val="none" w:sz="0" w:space="0" w:color="auto"/>
      </w:divBdr>
    </w:div>
    <w:div w:id="1648897360">
      <w:bodyDiv w:val="1"/>
      <w:marLeft w:val="0"/>
      <w:marRight w:val="0"/>
      <w:marTop w:val="0"/>
      <w:marBottom w:val="0"/>
      <w:divBdr>
        <w:top w:val="none" w:sz="0" w:space="0" w:color="auto"/>
        <w:left w:val="none" w:sz="0" w:space="0" w:color="auto"/>
        <w:bottom w:val="none" w:sz="0" w:space="0" w:color="auto"/>
        <w:right w:val="none" w:sz="0" w:space="0" w:color="auto"/>
      </w:divBdr>
    </w:div>
    <w:div w:id="1654335640">
      <w:bodyDiv w:val="1"/>
      <w:marLeft w:val="0"/>
      <w:marRight w:val="0"/>
      <w:marTop w:val="0"/>
      <w:marBottom w:val="0"/>
      <w:divBdr>
        <w:top w:val="none" w:sz="0" w:space="0" w:color="auto"/>
        <w:left w:val="none" w:sz="0" w:space="0" w:color="auto"/>
        <w:bottom w:val="none" w:sz="0" w:space="0" w:color="auto"/>
        <w:right w:val="none" w:sz="0" w:space="0" w:color="auto"/>
      </w:divBdr>
    </w:div>
    <w:div w:id="1660695621">
      <w:bodyDiv w:val="1"/>
      <w:marLeft w:val="0"/>
      <w:marRight w:val="0"/>
      <w:marTop w:val="0"/>
      <w:marBottom w:val="0"/>
      <w:divBdr>
        <w:top w:val="none" w:sz="0" w:space="0" w:color="auto"/>
        <w:left w:val="none" w:sz="0" w:space="0" w:color="auto"/>
        <w:bottom w:val="none" w:sz="0" w:space="0" w:color="auto"/>
        <w:right w:val="none" w:sz="0" w:space="0" w:color="auto"/>
      </w:divBdr>
    </w:div>
    <w:div w:id="1664697586">
      <w:bodyDiv w:val="1"/>
      <w:marLeft w:val="0"/>
      <w:marRight w:val="0"/>
      <w:marTop w:val="0"/>
      <w:marBottom w:val="0"/>
      <w:divBdr>
        <w:top w:val="none" w:sz="0" w:space="0" w:color="auto"/>
        <w:left w:val="none" w:sz="0" w:space="0" w:color="auto"/>
        <w:bottom w:val="none" w:sz="0" w:space="0" w:color="auto"/>
        <w:right w:val="none" w:sz="0" w:space="0" w:color="auto"/>
      </w:divBdr>
    </w:div>
    <w:div w:id="1674839077">
      <w:bodyDiv w:val="1"/>
      <w:marLeft w:val="0"/>
      <w:marRight w:val="0"/>
      <w:marTop w:val="0"/>
      <w:marBottom w:val="0"/>
      <w:divBdr>
        <w:top w:val="none" w:sz="0" w:space="0" w:color="auto"/>
        <w:left w:val="none" w:sz="0" w:space="0" w:color="auto"/>
        <w:bottom w:val="none" w:sz="0" w:space="0" w:color="auto"/>
        <w:right w:val="none" w:sz="0" w:space="0" w:color="auto"/>
      </w:divBdr>
    </w:div>
    <w:div w:id="1678576486">
      <w:bodyDiv w:val="1"/>
      <w:marLeft w:val="0"/>
      <w:marRight w:val="0"/>
      <w:marTop w:val="0"/>
      <w:marBottom w:val="0"/>
      <w:divBdr>
        <w:top w:val="none" w:sz="0" w:space="0" w:color="auto"/>
        <w:left w:val="none" w:sz="0" w:space="0" w:color="auto"/>
        <w:bottom w:val="none" w:sz="0" w:space="0" w:color="auto"/>
        <w:right w:val="none" w:sz="0" w:space="0" w:color="auto"/>
      </w:divBdr>
    </w:div>
    <w:div w:id="1682776873">
      <w:bodyDiv w:val="1"/>
      <w:marLeft w:val="0"/>
      <w:marRight w:val="0"/>
      <w:marTop w:val="0"/>
      <w:marBottom w:val="0"/>
      <w:divBdr>
        <w:top w:val="none" w:sz="0" w:space="0" w:color="auto"/>
        <w:left w:val="none" w:sz="0" w:space="0" w:color="auto"/>
        <w:bottom w:val="none" w:sz="0" w:space="0" w:color="auto"/>
        <w:right w:val="none" w:sz="0" w:space="0" w:color="auto"/>
      </w:divBdr>
    </w:div>
    <w:div w:id="1689401951">
      <w:bodyDiv w:val="1"/>
      <w:marLeft w:val="0"/>
      <w:marRight w:val="0"/>
      <w:marTop w:val="0"/>
      <w:marBottom w:val="0"/>
      <w:divBdr>
        <w:top w:val="none" w:sz="0" w:space="0" w:color="auto"/>
        <w:left w:val="none" w:sz="0" w:space="0" w:color="auto"/>
        <w:bottom w:val="none" w:sz="0" w:space="0" w:color="auto"/>
        <w:right w:val="none" w:sz="0" w:space="0" w:color="auto"/>
      </w:divBdr>
    </w:div>
    <w:div w:id="1692879681">
      <w:bodyDiv w:val="1"/>
      <w:marLeft w:val="0"/>
      <w:marRight w:val="0"/>
      <w:marTop w:val="0"/>
      <w:marBottom w:val="0"/>
      <w:divBdr>
        <w:top w:val="none" w:sz="0" w:space="0" w:color="auto"/>
        <w:left w:val="none" w:sz="0" w:space="0" w:color="auto"/>
        <w:bottom w:val="none" w:sz="0" w:space="0" w:color="auto"/>
        <w:right w:val="none" w:sz="0" w:space="0" w:color="auto"/>
      </w:divBdr>
    </w:div>
    <w:div w:id="1693071335">
      <w:bodyDiv w:val="1"/>
      <w:marLeft w:val="0"/>
      <w:marRight w:val="0"/>
      <w:marTop w:val="0"/>
      <w:marBottom w:val="0"/>
      <w:divBdr>
        <w:top w:val="none" w:sz="0" w:space="0" w:color="auto"/>
        <w:left w:val="none" w:sz="0" w:space="0" w:color="auto"/>
        <w:bottom w:val="none" w:sz="0" w:space="0" w:color="auto"/>
        <w:right w:val="none" w:sz="0" w:space="0" w:color="auto"/>
      </w:divBdr>
    </w:div>
    <w:div w:id="1693334407">
      <w:bodyDiv w:val="1"/>
      <w:marLeft w:val="0"/>
      <w:marRight w:val="0"/>
      <w:marTop w:val="0"/>
      <w:marBottom w:val="0"/>
      <w:divBdr>
        <w:top w:val="none" w:sz="0" w:space="0" w:color="auto"/>
        <w:left w:val="none" w:sz="0" w:space="0" w:color="auto"/>
        <w:bottom w:val="none" w:sz="0" w:space="0" w:color="auto"/>
        <w:right w:val="none" w:sz="0" w:space="0" w:color="auto"/>
      </w:divBdr>
    </w:div>
    <w:div w:id="1703902840">
      <w:bodyDiv w:val="1"/>
      <w:marLeft w:val="0"/>
      <w:marRight w:val="0"/>
      <w:marTop w:val="0"/>
      <w:marBottom w:val="0"/>
      <w:divBdr>
        <w:top w:val="none" w:sz="0" w:space="0" w:color="auto"/>
        <w:left w:val="none" w:sz="0" w:space="0" w:color="auto"/>
        <w:bottom w:val="none" w:sz="0" w:space="0" w:color="auto"/>
        <w:right w:val="none" w:sz="0" w:space="0" w:color="auto"/>
      </w:divBdr>
    </w:div>
    <w:div w:id="1703938691">
      <w:bodyDiv w:val="1"/>
      <w:marLeft w:val="0"/>
      <w:marRight w:val="0"/>
      <w:marTop w:val="0"/>
      <w:marBottom w:val="0"/>
      <w:divBdr>
        <w:top w:val="none" w:sz="0" w:space="0" w:color="auto"/>
        <w:left w:val="none" w:sz="0" w:space="0" w:color="auto"/>
        <w:bottom w:val="none" w:sz="0" w:space="0" w:color="auto"/>
        <w:right w:val="none" w:sz="0" w:space="0" w:color="auto"/>
      </w:divBdr>
    </w:div>
    <w:div w:id="1706255329">
      <w:bodyDiv w:val="1"/>
      <w:marLeft w:val="0"/>
      <w:marRight w:val="0"/>
      <w:marTop w:val="0"/>
      <w:marBottom w:val="0"/>
      <w:divBdr>
        <w:top w:val="none" w:sz="0" w:space="0" w:color="auto"/>
        <w:left w:val="none" w:sz="0" w:space="0" w:color="auto"/>
        <w:bottom w:val="none" w:sz="0" w:space="0" w:color="auto"/>
        <w:right w:val="none" w:sz="0" w:space="0" w:color="auto"/>
      </w:divBdr>
    </w:div>
    <w:div w:id="1709335096">
      <w:bodyDiv w:val="1"/>
      <w:marLeft w:val="0"/>
      <w:marRight w:val="0"/>
      <w:marTop w:val="0"/>
      <w:marBottom w:val="0"/>
      <w:divBdr>
        <w:top w:val="none" w:sz="0" w:space="0" w:color="auto"/>
        <w:left w:val="none" w:sz="0" w:space="0" w:color="auto"/>
        <w:bottom w:val="none" w:sz="0" w:space="0" w:color="auto"/>
        <w:right w:val="none" w:sz="0" w:space="0" w:color="auto"/>
      </w:divBdr>
    </w:div>
    <w:div w:id="1714689743">
      <w:bodyDiv w:val="1"/>
      <w:marLeft w:val="0"/>
      <w:marRight w:val="0"/>
      <w:marTop w:val="0"/>
      <w:marBottom w:val="0"/>
      <w:divBdr>
        <w:top w:val="none" w:sz="0" w:space="0" w:color="auto"/>
        <w:left w:val="none" w:sz="0" w:space="0" w:color="auto"/>
        <w:bottom w:val="none" w:sz="0" w:space="0" w:color="auto"/>
        <w:right w:val="none" w:sz="0" w:space="0" w:color="auto"/>
      </w:divBdr>
    </w:div>
    <w:div w:id="1721709166">
      <w:bodyDiv w:val="1"/>
      <w:marLeft w:val="0"/>
      <w:marRight w:val="0"/>
      <w:marTop w:val="0"/>
      <w:marBottom w:val="0"/>
      <w:divBdr>
        <w:top w:val="none" w:sz="0" w:space="0" w:color="auto"/>
        <w:left w:val="none" w:sz="0" w:space="0" w:color="auto"/>
        <w:bottom w:val="none" w:sz="0" w:space="0" w:color="auto"/>
        <w:right w:val="none" w:sz="0" w:space="0" w:color="auto"/>
      </w:divBdr>
    </w:div>
    <w:div w:id="1727144884">
      <w:bodyDiv w:val="1"/>
      <w:marLeft w:val="0"/>
      <w:marRight w:val="0"/>
      <w:marTop w:val="0"/>
      <w:marBottom w:val="0"/>
      <w:divBdr>
        <w:top w:val="none" w:sz="0" w:space="0" w:color="auto"/>
        <w:left w:val="none" w:sz="0" w:space="0" w:color="auto"/>
        <w:bottom w:val="none" w:sz="0" w:space="0" w:color="auto"/>
        <w:right w:val="none" w:sz="0" w:space="0" w:color="auto"/>
      </w:divBdr>
    </w:div>
    <w:div w:id="1737168133">
      <w:bodyDiv w:val="1"/>
      <w:marLeft w:val="0"/>
      <w:marRight w:val="0"/>
      <w:marTop w:val="0"/>
      <w:marBottom w:val="0"/>
      <w:divBdr>
        <w:top w:val="none" w:sz="0" w:space="0" w:color="auto"/>
        <w:left w:val="none" w:sz="0" w:space="0" w:color="auto"/>
        <w:bottom w:val="none" w:sz="0" w:space="0" w:color="auto"/>
        <w:right w:val="none" w:sz="0" w:space="0" w:color="auto"/>
      </w:divBdr>
    </w:div>
    <w:div w:id="1742824311">
      <w:bodyDiv w:val="1"/>
      <w:marLeft w:val="0"/>
      <w:marRight w:val="0"/>
      <w:marTop w:val="0"/>
      <w:marBottom w:val="0"/>
      <w:divBdr>
        <w:top w:val="none" w:sz="0" w:space="0" w:color="auto"/>
        <w:left w:val="none" w:sz="0" w:space="0" w:color="auto"/>
        <w:bottom w:val="none" w:sz="0" w:space="0" w:color="auto"/>
        <w:right w:val="none" w:sz="0" w:space="0" w:color="auto"/>
      </w:divBdr>
    </w:div>
    <w:div w:id="1744326694">
      <w:bodyDiv w:val="1"/>
      <w:marLeft w:val="0"/>
      <w:marRight w:val="0"/>
      <w:marTop w:val="0"/>
      <w:marBottom w:val="0"/>
      <w:divBdr>
        <w:top w:val="none" w:sz="0" w:space="0" w:color="auto"/>
        <w:left w:val="none" w:sz="0" w:space="0" w:color="auto"/>
        <w:bottom w:val="none" w:sz="0" w:space="0" w:color="auto"/>
        <w:right w:val="none" w:sz="0" w:space="0" w:color="auto"/>
      </w:divBdr>
    </w:div>
    <w:div w:id="1747679388">
      <w:bodyDiv w:val="1"/>
      <w:marLeft w:val="0"/>
      <w:marRight w:val="0"/>
      <w:marTop w:val="0"/>
      <w:marBottom w:val="0"/>
      <w:divBdr>
        <w:top w:val="none" w:sz="0" w:space="0" w:color="auto"/>
        <w:left w:val="none" w:sz="0" w:space="0" w:color="auto"/>
        <w:bottom w:val="none" w:sz="0" w:space="0" w:color="auto"/>
        <w:right w:val="none" w:sz="0" w:space="0" w:color="auto"/>
      </w:divBdr>
    </w:div>
    <w:div w:id="1749501362">
      <w:bodyDiv w:val="1"/>
      <w:marLeft w:val="0"/>
      <w:marRight w:val="0"/>
      <w:marTop w:val="0"/>
      <w:marBottom w:val="0"/>
      <w:divBdr>
        <w:top w:val="none" w:sz="0" w:space="0" w:color="auto"/>
        <w:left w:val="none" w:sz="0" w:space="0" w:color="auto"/>
        <w:bottom w:val="none" w:sz="0" w:space="0" w:color="auto"/>
        <w:right w:val="none" w:sz="0" w:space="0" w:color="auto"/>
      </w:divBdr>
    </w:div>
    <w:div w:id="1751925416">
      <w:bodyDiv w:val="1"/>
      <w:marLeft w:val="0"/>
      <w:marRight w:val="0"/>
      <w:marTop w:val="0"/>
      <w:marBottom w:val="0"/>
      <w:divBdr>
        <w:top w:val="none" w:sz="0" w:space="0" w:color="auto"/>
        <w:left w:val="none" w:sz="0" w:space="0" w:color="auto"/>
        <w:bottom w:val="none" w:sz="0" w:space="0" w:color="auto"/>
        <w:right w:val="none" w:sz="0" w:space="0" w:color="auto"/>
      </w:divBdr>
    </w:div>
    <w:div w:id="1756854050">
      <w:bodyDiv w:val="1"/>
      <w:marLeft w:val="0"/>
      <w:marRight w:val="0"/>
      <w:marTop w:val="0"/>
      <w:marBottom w:val="0"/>
      <w:divBdr>
        <w:top w:val="none" w:sz="0" w:space="0" w:color="auto"/>
        <w:left w:val="none" w:sz="0" w:space="0" w:color="auto"/>
        <w:bottom w:val="none" w:sz="0" w:space="0" w:color="auto"/>
        <w:right w:val="none" w:sz="0" w:space="0" w:color="auto"/>
      </w:divBdr>
    </w:div>
    <w:div w:id="1760712454">
      <w:bodyDiv w:val="1"/>
      <w:marLeft w:val="0"/>
      <w:marRight w:val="0"/>
      <w:marTop w:val="0"/>
      <w:marBottom w:val="0"/>
      <w:divBdr>
        <w:top w:val="none" w:sz="0" w:space="0" w:color="auto"/>
        <w:left w:val="none" w:sz="0" w:space="0" w:color="auto"/>
        <w:bottom w:val="none" w:sz="0" w:space="0" w:color="auto"/>
        <w:right w:val="none" w:sz="0" w:space="0" w:color="auto"/>
      </w:divBdr>
    </w:div>
    <w:div w:id="1767262234">
      <w:bodyDiv w:val="1"/>
      <w:marLeft w:val="0"/>
      <w:marRight w:val="0"/>
      <w:marTop w:val="0"/>
      <w:marBottom w:val="0"/>
      <w:divBdr>
        <w:top w:val="none" w:sz="0" w:space="0" w:color="auto"/>
        <w:left w:val="none" w:sz="0" w:space="0" w:color="auto"/>
        <w:bottom w:val="none" w:sz="0" w:space="0" w:color="auto"/>
        <w:right w:val="none" w:sz="0" w:space="0" w:color="auto"/>
      </w:divBdr>
    </w:div>
    <w:div w:id="1770738960">
      <w:bodyDiv w:val="1"/>
      <w:marLeft w:val="0"/>
      <w:marRight w:val="0"/>
      <w:marTop w:val="0"/>
      <w:marBottom w:val="0"/>
      <w:divBdr>
        <w:top w:val="none" w:sz="0" w:space="0" w:color="auto"/>
        <w:left w:val="none" w:sz="0" w:space="0" w:color="auto"/>
        <w:bottom w:val="none" w:sz="0" w:space="0" w:color="auto"/>
        <w:right w:val="none" w:sz="0" w:space="0" w:color="auto"/>
      </w:divBdr>
    </w:div>
    <w:div w:id="1777020793">
      <w:bodyDiv w:val="1"/>
      <w:marLeft w:val="0"/>
      <w:marRight w:val="0"/>
      <w:marTop w:val="0"/>
      <w:marBottom w:val="0"/>
      <w:divBdr>
        <w:top w:val="none" w:sz="0" w:space="0" w:color="auto"/>
        <w:left w:val="none" w:sz="0" w:space="0" w:color="auto"/>
        <w:bottom w:val="none" w:sz="0" w:space="0" w:color="auto"/>
        <w:right w:val="none" w:sz="0" w:space="0" w:color="auto"/>
      </w:divBdr>
    </w:div>
    <w:div w:id="1791119549">
      <w:bodyDiv w:val="1"/>
      <w:marLeft w:val="0"/>
      <w:marRight w:val="0"/>
      <w:marTop w:val="0"/>
      <w:marBottom w:val="0"/>
      <w:divBdr>
        <w:top w:val="none" w:sz="0" w:space="0" w:color="auto"/>
        <w:left w:val="none" w:sz="0" w:space="0" w:color="auto"/>
        <w:bottom w:val="none" w:sz="0" w:space="0" w:color="auto"/>
        <w:right w:val="none" w:sz="0" w:space="0" w:color="auto"/>
      </w:divBdr>
    </w:div>
    <w:div w:id="1798331235">
      <w:bodyDiv w:val="1"/>
      <w:marLeft w:val="0"/>
      <w:marRight w:val="0"/>
      <w:marTop w:val="0"/>
      <w:marBottom w:val="0"/>
      <w:divBdr>
        <w:top w:val="none" w:sz="0" w:space="0" w:color="auto"/>
        <w:left w:val="none" w:sz="0" w:space="0" w:color="auto"/>
        <w:bottom w:val="none" w:sz="0" w:space="0" w:color="auto"/>
        <w:right w:val="none" w:sz="0" w:space="0" w:color="auto"/>
      </w:divBdr>
    </w:div>
    <w:div w:id="1802645909">
      <w:bodyDiv w:val="1"/>
      <w:marLeft w:val="0"/>
      <w:marRight w:val="0"/>
      <w:marTop w:val="0"/>
      <w:marBottom w:val="0"/>
      <w:divBdr>
        <w:top w:val="none" w:sz="0" w:space="0" w:color="auto"/>
        <w:left w:val="none" w:sz="0" w:space="0" w:color="auto"/>
        <w:bottom w:val="none" w:sz="0" w:space="0" w:color="auto"/>
        <w:right w:val="none" w:sz="0" w:space="0" w:color="auto"/>
      </w:divBdr>
    </w:div>
    <w:div w:id="1803886299">
      <w:bodyDiv w:val="1"/>
      <w:marLeft w:val="0"/>
      <w:marRight w:val="0"/>
      <w:marTop w:val="0"/>
      <w:marBottom w:val="0"/>
      <w:divBdr>
        <w:top w:val="none" w:sz="0" w:space="0" w:color="auto"/>
        <w:left w:val="none" w:sz="0" w:space="0" w:color="auto"/>
        <w:bottom w:val="none" w:sz="0" w:space="0" w:color="auto"/>
        <w:right w:val="none" w:sz="0" w:space="0" w:color="auto"/>
      </w:divBdr>
    </w:div>
    <w:div w:id="1811752294">
      <w:bodyDiv w:val="1"/>
      <w:marLeft w:val="0"/>
      <w:marRight w:val="0"/>
      <w:marTop w:val="0"/>
      <w:marBottom w:val="0"/>
      <w:divBdr>
        <w:top w:val="none" w:sz="0" w:space="0" w:color="auto"/>
        <w:left w:val="none" w:sz="0" w:space="0" w:color="auto"/>
        <w:bottom w:val="none" w:sz="0" w:space="0" w:color="auto"/>
        <w:right w:val="none" w:sz="0" w:space="0" w:color="auto"/>
      </w:divBdr>
    </w:div>
    <w:div w:id="1815024799">
      <w:bodyDiv w:val="1"/>
      <w:marLeft w:val="0"/>
      <w:marRight w:val="0"/>
      <w:marTop w:val="0"/>
      <w:marBottom w:val="0"/>
      <w:divBdr>
        <w:top w:val="none" w:sz="0" w:space="0" w:color="auto"/>
        <w:left w:val="none" w:sz="0" w:space="0" w:color="auto"/>
        <w:bottom w:val="none" w:sz="0" w:space="0" w:color="auto"/>
        <w:right w:val="none" w:sz="0" w:space="0" w:color="auto"/>
      </w:divBdr>
    </w:div>
    <w:div w:id="1816678530">
      <w:bodyDiv w:val="1"/>
      <w:marLeft w:val="0"/>
      <w:marRight w:val="0"/>
      <w:marTop w:val="0"/>
      <w:marBottom w:val="0"/>
      <w:divBdr>
        <w:top w:val="none" w:sz="0" w:space="0" w:color="auto"/>
        <w:left w:val="none" w:sz="0" w:space="0" w:color="auto"/>
        <w:bottom w:val="none" w:sz="0" w:space="0" w:color="auto"/>
        <w:right w:val="none" w:sz="0" w:space="0" w:color="auto"/>
      </w:divBdr>
    </w:div>
    <w:div w:id="1821842423">
      <w:bodyDiv w:val="1"/>
      <w:marLeft w:val="0"/>
      <w:marRight w:val="0"/>
      <w:marTop w:val="0"/>
      <w:marBottom w:val="0"/>
      <w:divBdr>
        <w:top w:val="none" w:sz="0" w:space="0" w:color="auto"/>
        <w:left w:val="none" w:sz="0" w:space="0" w:color="auto"/>
        <w:bottom w:val="none" w:sz="0" w:space="0" w:color="auto"/>
        <w:right w:val="none" w:sz="0" w:space="0" w:color="auto"/>
      </w:divBdr>
    </w:div>
    <w:div w:id="1828663021">
      <w:bodyDiv w:val="1"/>
      <w:marLeft w:val="0"/>
      <w:marRight w:val="0"/>
      <w:marTop w:val="0"/>
      <w:marBottom w:val="0"/>
      <w:divBdr>
        <w:top w:val="none" w:sz="0" w:space="0" w:color="auto"/>
        <w:left w:val="none" w:sz="0" w:space="0" w:color="auto"/>
        <w:bottom w:val="none" w:sz="0" w:space="0" w:color="auto"/>
        <w:right w:val="none" w:sz="0" w:space="0" w:color="auto"/>
      </w:divBdr>
    </w:div>
    <w:div w:id="1832062943">
      <w:bodyDiv w:val="1"/>
      <w:marLeft w:val="0"/>
      <w:marRight w:val="0"/>
      <w:marTop w:val="0"/>
      <w:marBottom w:val="0"/>
      <w:divBdr>
        <w:top w:val="none" w:sz="0" w:space="0" w:color="auto"/>
        <w:left w:val="none" w:sz="0" w:space="0" w:color="auto"/>
        <w:bottom w:val="none" w:sz="0" w:space="0" w:color="auto"/>
        <w:right w:val="none" w:sz="0" w:space="0" w:color="auto"/>
      </w:divBdr>
    </w:div>
    <w:div w:id="1834376576">
      <w:bodyDiv w:val="1"/>
      <w:marLeft w:val="0"/>
      <w:marRight w:val="0"/>
      <w:marTop w:val="0"/>
      <w:marBottom w:val="0"/>
      <w:divBdr>
        <w:top w:val="none" w:sz="0" w:space="0" w:color="auto"/>
        <w:left w:val="none" w:sz="0" w:space="0" w:color="auto"/>
        <w:bottom w:val="none" w:sz="0" w:space="0" w:color="auto"/>
        <w:right w:val="none" w:sz="0" w:space="0" w:color="auto"/>
      </w:divBdr>
    </w:div>
    <w:div w:id="1838425011">
      <w:bodyDiv w:val="1"/>
      <w:marLeft w:val="0"/>
      <w:marRight w:val="0"/>
      <w:marTop w:val="0"/>
      <w:marBottom w:val="0"/>
      <w:divBdr>
        <w:top w:val="none" w:sz="0" w:space="0" w:color="auto"/>
        <w:left w:val="none" w:sz="0" w:space="0" w:color="auto"/>
        <w:bottom w:val="none" w:sz="0" w:space="0" w:color="auto"/>
        <w:right w:val="none" w:sz="0" w:space="0" w:color="auto"/>
      </w:divBdr>
    </w:div>
    <w:div w:id="1844708326">
      <w:bodyDiv w:val="1"/>
      <w:marLeft w:val="0"/>
      <w:marRight w:val="0"/>
      <w:marTop w:val="0"/>
      <w:marBottom w:val="0"/>
      <w:divBdr>
        <w:top w:val="none" w:sz="0" w:space="0" w:color="auto"/>
        <w:left w:val="none" w:sz="0" w:space="0" w:color="auto"/>
        <w:bottom w:val="none" w:sz="0" w:space="0" w:color="auto"/>
        <w:right w:val="none" w:sz="0" w:space="0" w:color="auto"/>
      </w:divBdr>
    </w:div>
    <w:div w:id="1846434322">
      <w:bodyDiv w:val="1"/>
      <w:marLeft w:val="0"/>
      <w:marRight w:val="0"/>
      <w:marTop w:val="0"/>
      <w:marBottom w:val="0"/>
      <w:divBdr>
        <w:top w:val="none" w:sz="0" w:space="0" w:color="auto"/>
        <w:left w:val="none" w:sz="0" w:space="0" w:color="auto"/>
        <w:bottom w:val="none" w:sz="0" w:space="0" w:color="auto"/>
        <w:right w:val="none" w:sz="0" w:space="0" w:color="auto"/>
      </w:divBdr>
    </w:div>
    <w:div w:id="1856728577">
      <w:bodyDiv w:val="1"/>
      <w:marLeft w:val="0"/>
      <w:marRight w:val="0"/>
      <w:marTop w:val="0"/>
      <w:marBottom w:val="0"/>
      <w:divBdr>
        <w:top w:val="none" w:sz="0" w:space="0" w:color="auto"/>
        <w:left w:val="none" w:sz="0" w:space="0" w:color="auto"/>
        <w:bottom w:val="none" w:sz="0" w:space="0" w:color="auto"/>
        <w:right w:val="none" w:sz="0" w:space="0" w:color="auto"/>
      </w:divBdr>
    </w:div>
    <w:div w:id="1858616471">
      <w:bodyDiv w:val="1"/>
      <w:marLeft w:val="0"/>
      <w:marRight w:val="0"/>
      <w:marTop w:val="0"/>
      <w:marBottom w:val="0"/>
      <w:divBdr>
        <w:top w:val="none" w:sz="0" w:space="0" w:color="auto"/>
        <w:left w:val="none" w:sz="0" w:space="0" w:color="auto"/>
        <w:bottom w:val="none" w:sz="0" w:space="0" w:color="auto"/>
        <w:right w:val="none" w:sz="0" w:space="0" w:color="auto"/>
      </w:divBdr>
    </w:div>
    <w:div w:id="1864976186">
      <w:bodyDiv w:val="1"/>
      <w:marLeft w:val="0"/>
      <w:marRight w:val="0"/>
      <w:marTop w:val="0"/>
      <w:marBottom w:val="0"/>
      <w:divBdr>
        <w:top w:val="none" w:sz="0" w:space="0" w:color="auto"/>
        <w:left w:val="none" w:sz="0" w:space="0" w:color="auto"/>
        <w:bottom w:val="none" w:sz="0" w:space="0" w:color="auto"/>
        <w:right w:val="none" w:sz="0" w:space="0" w:color="auto"/>
      </w:divBdr>
    </w:div>
    <w:div w:id="1868788242">
      <w:bodyDiv w:val="1"/>
      <w:marLeft w:val="0"/>
      <w:marRight w:val="0"/>
      <w:marTop w:val="0"/>
      <w:marBottom w:val="0"/>
      <w:divBdr>
        <w:top w:val="none" w:sz="0" w:space="0" w:color="auto"/>
        <w:left w:val="none" w:sz="0" w:space="0" w:color="auto"/>
        <w:bottom w:val="none" w:sz="0" w:space="0" w:color="auto"/>
        <w:right w:val="none" w:sz="0" w:space="0" w:color="auto"/>
      </w:divBdr>
    </w:div>
    <w:div w:id="1883395776">
      <w:bodyDiv w:val="1"/>
      <w:marLeft w:val="0"/>
      <w:marRight w:val="0"/>
      <w:marTop w:val="0"/>
      <w:marBottom w:val="0"/>
      <w:divBdr>
        <w:top w:val="none" w:sz="0" w:space="0" w:color="auto"/>
        <w:left w:val="none" w:sz="0" w:space="0" w:color="auto"/>
        <w:bottom w:val="none" w:sz="0" w:space="0" w:color="auto"/>
        <w:right w:val="none" w:sz="0" w:space="0" w:color="auto"/>
      </w:divBdr>
    </w:div>
    <w:div w:id="1883639283">
      <w:bodyDiv w:val="1"/>
      <w:marLeft w:val="0"/>
      <w:marRight w:val="0"/>
      <w:marTop w:val="0"/>
      <w:marBottom w:val="0"/>
      <w:divBdr>
        <w:top w:val="none" w:sz="0" w:space="0" w:color="auto"/>
        <w:left w:val="none" w:sz="0" w:space="0" w:color="auto"/>
        <w:bottom w:val="none" w:sz="0" w:space="0" w:color="auto"/>
        <w:right w:val="none" w:sz="0" w:space="0" w:color="auto"/>
      </w:divBdr>
    </w:div>
    <w:div w:id="1889028255">
      <w:bodyDiv w:val="1"/>
      <w:marLeft w:val="0"/>
      <w:marRight w:val="0"/>
      <w:marTop w:val="0"/>
      <w:marBottom w:val="0"/>
      <w:divBdr>
        <w:top w:val="none" w:sz="0" w:space="0" w:color="auto"/>
        <w:left w:val="none" w:sz="0" w:space="0" w:color="auto"/>
        <w:bottom w:val="none" w:sz="0" w:space="0" w:color="auto"/>
        <w:right w:val="none" w:sz="0" w:space="0" w:color="auto"/>
      </w:divBdr>
    </w:div>
    <w:div w:id="1901868624">
      <w:bodyDiv w:val="1"/>
      <w:marLeft w:val="0"/>
      <w:marRight w:val="0"/>
      <w:marTop w:val="0"/>
      <w:marBottom w:val="0"/>
      <w:divBdr>
        <w:top w:val="none" w:sz="0" w:space="0" w:color="auto"/>
        <w:left w:val="none" w:sz="0" w:space="0" w:color="auto"/>
        <w:bottom w:val="none" w:sz="0" w:space="0" w:color="auto"/>
        <w:right w:val="none" w:sz="0" w:space="0" w:color="auto"/>
      </w:divBdr>
    </w:div>
    <w:div w:id="1911848116">
      <w:bodyDiv w:val="1"/>
      <w:marLeft w:val="0"/>
      <w:marRight w:val="0"/>
      <w:marTop w:val="0"/>
      <w:marBottom w:val="0"/>
      <w:divBdr>
        <w:top w:val="none" w:sz="0" w:space="0" w:color="auto"/>
        <w:left w:val="none" w:sz="0" w:space="0" w:color="auto"/>
        <w:bottom w:val="none" w:sz="0" w:space="0" w:color="auto"/>
        <w:right w:val="none" w:sz="0" w:space="0" w:color="auto"/>
      </w:divBdr>
    </w:div>
    <w:div w:id="1928146212">
      <w:bodyDiv w:val="1"/>
      <w:marLeft w:val="0"/>
      <w:marRight w:val="0"/>
      <w:marTop w:val="0"/>
      <w:marBottom w:val="0"/>
      <w:divBdr>
        <w:top w:val="none" w:sz="0" w:space="0" w:color="auto"/>
        <w:left w:val="none" w:sz="0" w:space="0" w:color="auto"/>
        <w:bottom w:val="none" w:sz="0" w:space="0" w:color="auto"/>
        <w:right w:val="none" w:sz="0" w:space="0" w:color="auto"/>
      </w:divBdr>
    </w:div>
    <w:div w:id="1937126973">
      <w:bodyDiv w:val="1"/>
      <w:marLeft w:val="0"/>
      <w:marRight w:val="0"/>
      <w:marTop w:val="0"/>
      <w:marBottom w:val="0"/>
      <w:divBdr>
        <w:top w:val="none" w:sz="0" w:space="0" w:color="auto"/>
        <w:left w:val="none" w:sz="0" w:space="0" w:color="auto"/>
        <w:bottom w:val="none" w:sz="0" w:space="0" w:color="auto"/>
        <w:right w:val="none" w:sz="0" w:space="0" w:color="auto"/>
      </w:divBdr>
    </w:div>
    <w:div w:id="1938097094">
      <w:bodyDiv w:val="1"/>
      <w:marLeft w:val="0"/>
      <w:marRight w:val="0"/>
      <w:marTop w:val="0"/>
      <w:marBottom w:val="0"/>
      <w:divBdr>
        <w:top w:val="none" w:sz="0" w:space="0" w:color="auto"/>
        <w:left w:val="none" w:sz="0" w:space="0" w:color="auto"/>
        <w:bottom w:val="none" w:sz="0" w:space="0" w:color="auto"/>
        <w:right w:val="none" w:sz="0" w:space="0" w:color="auto"/>
      </w:divBdr>
    </w:div>
    <w:div w:id="1941645739">
      <w:bodyDiv w:val="1"/>
      <w:marLeft w:val="0"/>
      <w:marRight w:val="0"/>
      <w:marTop w:val="0"/>
      <w:marBottom w:val="0"/>
      <w:divBdr>
        <w:top w:val="none" w:sz="0" w:space="0" w:color="auto"/>
        <w:left w:val="none" w:sz="0" w:space="0" w:color="auto"/>
        <w:bottom w:val="none" w:sz="0" w:space="0" w:color="auto"/>
        <w:right w:val="none" w:sz="0" w:space="0" w:color="auto"/>
      </w:divBdr>
    </w:div>
    <w:div w:id="1944803391">
      <w:bodyDiv w:val="1"/>
      <w:marLeft w:val="0"/>
      <w:marRight w:val="0"/>
      <w:marTop w:val="0"/>
      <w:marBottom w:val="0"/>
      <w:divBdr>
        <w:top w:val="none" w:sz="0" w:space="0" w:color="auto"/>
        <w:left w:val="none" w:sz="0" w:space="0" w:color="auto"/>
        <w:bottom w:val="none" w:sz="0" w:space="0" w:color="auto"/>
        <w:right w:val="none" w:sz="0" w:space="0" w:color="auto"/>
      </w:divBdr>
    </w:div>
    <w:div w:id="1945840819">
      <w:bodyDiv w:val="1"/>
      <w:marLeft w:val="0"/>
      <w:marRight w:val="0"/>
      <w:marTop w:val="0"/>
      <w:marBottom w:val="0"/>
      <w:divBdr>
        <w:top w:val="none" w:sz="0" w:space="0" w:color="auto"/>
        <w:left w:val="none" w:sz="0" w:space="0" w:color="auto"/>
        <w:bottom w:val="none" w:sz="0" w:space="0" w:color="auto"/>
        <w:right w:val="none" w:sz="0" w:space="0" w:color="auto"/>
      </w:divBdr>
    </w:div>
    <w:div w:id="1978148745">
      <w:bodyDiv w:val="1"/>
      <w:marLeft w:val="0"/>
      <w:marRight w:val="0"/>
      <w:marTop w:val="0"/>
      <w:marBottom w:val="0"/>
      <w:divBdr>
        <w:top w:val="none" w:sz="0" w:space="0" w:color="auto"/>
        <w:left w:val="none" w:sz="0" w:space="0" w:color="auto"/>
        <w:bottom w:val="none" w:sz="0" w:space="0" w:color="auto"/>
        <w:right w:val="none" w:sz="0" w:space="0" w:color="auto"/>
      </w:divBdr>
    </w:div>
    <w:div w:id="2002811264">
      <w:bodyDiv w:val="1"/>
      <w:marLeft w:val="0"/>
      <w:marRight w:val="0"/>
      <w:marTop w:val="0"/>
      <w:marBottom w:val="0"/>
      <w:divBdr>
        <w:top w:val="none" w:sz="0" w:space="0" w:color="auto"/>
        <w:left w:val="none" w:sz="0" w:space="0" w:color="auto"/>
        <w:bottom w:val="none" w:sz="0" w:space="0" w:color="auto"/>
        <w:right w:val="none" w:sz="0" w:space="0" w:color="auto"/>
      </w:divBdr>
    </w:div>
    <w:div w:id="2005237187">
      <w:bodyDiv w:val="1"/>
      <w:marLeft w:val="0"/>
      <w:marRight w:val="0"/>
      <w:marTop w:val="0"/>
      <w:marBottom w:val="0"/>
      <w:divBdr>
        <w:top w:val="none" w:sz="0" w:space="0" w:color="auto"/>
        <w:left w:val="none" w:sz="0" w:space="0" w:color="auto"/>
        <w:bottom w:val="none" w:sz="0" w:space="0" w:color="auto"/>
        <w:right w:val="none" w:sz="0" w:space="0" w:color="auto"/>
      </w:divBdr>
    </w:div>
    <w:div w:id="2006127203">
      <w:bodyDiv w:val="1"/>
      <w:marLeft w:val="0"/>
      <w:marRight w:val="0"/>
      <w:marTop w:val="0"/>
      <w:marBottom w:val="0"/>
      <w:divBdr>
        <w:top w:val="none" w:sz="0" w:space="0" w:color="auto"/>
        <w:left w:val="none" w:sz="0" w:space="0" w:color="auto"/>
        <w:bottom w:val="none" w:sz="0" w:space="0" w:color="auto"/>
        <w:right w:val="none" w:sz="0" w:space="0" w:color="auto"/>
      </w:divBdr>
    </w:div>
    <w:div w:id="2031566050">
      <w:bodyDiv w:val="1"/>
      <w:marLeft w:val="0"/>
      <w:marRight w:val="0"/>
      <w:marTop w:val="0"/>
      <w:marBottom w:val="0"/>
      <w:divBdr>
        <w:top w:val="none" w:sz="0" w:space="0" w:color="auto"/>
        <w:left w:val="none" w:sz="0" w:space="0" w:color="auto"/>
        <w:bottom w:val="none" w:sz="0" w:space="0" w:color="auto"/>
        <w:right w:val="none" w:sz="0" w:space="0" w:color="auto"/>
      </w:divBdr>
    </w:div>
    <w:div w:id="2034261882">
      <w:bodyDiv w:val="1"/>
      <w:marLeft w:val="0"/>
      <w:marRight w:val="0"/>
      <w:marTop w:val="0"/>
      <w:marBottom w:val="0"/>
      <w:divBdr>
        <w:top w:val="none" w:sz="0" w:space="0" w:color="auto"/>
        <w:left w:val="none" w:sz="0" w:space="0" w:color="auto"/>
        <w:bottom w:val="none" w:sz="0" w:space="0" w:color="auto"/>
        <w:right w:val="none" w:sz="0" w:space="0" w:color="auto"/>
      </w:divBdr>
    </w:div>
    <w:div w:id="2051027428">
      <w:bodyDiv w:val="1"/>
      <w:marLeft w:val="0"/>
      <w:marRight w:val="0"/>
      <w:marTop w:val="0"/>
      <w:marBottom w:val="0"/>
      <w:divBdr>
        <w:top w:val="none" w:sz="0" w:space="0" w:color="auto"/>
        <w:left w:val="none" w:sz="0" w:space="0" w:color="auto"/>
        <w:bottom w:val="none" w:sz="0" w:space="0" w:color="auto"/>
        <w:right w:val="none" w:sz="0" w:space="0" w:color="auto"/>
      </w:divBdr>
    </w:div>
    <w:div w:id="2054691040">
      <w:bodyDiv w:val="1"/>
      <w:marLeft w:val="0"/>
      <w:marRight w:val="0"/>
      <w:marTop w:val="0"/>
      <w:marBottom w:val="0"/>
      <w:divBdr>
        <w:top w:val="none" w:sz="0" w:space="0" w:color="auto"/>
        <w:left w:val="none" w:sz="0" w:space="0" w:color="auto"/>
        <w:bottom w:val="none" w:sz="0" w:space="0" w:color="auto"/>
        <w:right w:val="none" w:sz="0" w:space="0" w:color="auto"/>
      </w:divBdr>
    </w:div>
    <w:div w:id="2057658926">
      <w:bodyDiv w:val="1"/>
      <w:marLeft w:val="0"/>
      <w:marRight w:val="0"/>
      <w:marTop w:val="0"/>
      <w:marBottom w:val="0"/>
      <w:divBdr>
        <w:top w:val="none" w:sz="0" w:space="0" w:color="auto"/>
        <w:left w:val="none" w:sz="0" w:space="0" w:color="auto"/>
        <w:bottom w:val="none" w:sz="0" w:space="0" w:color="auto"/>
        <w:right w:val="none" w:sz="0" w:space="0" w:color="auto"/>
      </w:divBdr>
    </w:div>
    <w:div w:id="2071146486">
      <w:bodyDiv w:val="1"/>
      <w:marLeft w:val="0"/>
      <w:marRight w:val="0"/>
      <w:marTop w:val="0"/>
      <w:marBottom w:val="0"/>
      <w:divBdr>
        <w:top w:val="none" w:sz="0" w:space="0" w:color="auto"/>
        <w:left w:val="none" w:sz="0" w:space="0" w:color="auto"/>
        <w:bottom w:val="none" w:sz="0" w:space="0" w:color="auto"/>
        <w:right w:val="none" w:sz="0" w:space="0" w:color="auto"/>
      </w:divBdr>
    </w:div>
    <w:div w:id="2074499780">
      <w:bodyDiv w:val="1"/>
      <w:marLeft w:val="0"/>
      <w:marRight w:val="0"/>
      <w:marTop w:val="0"/>
      <w:marBottom w:val="0"/>
      <w:divBdr>
        <w:top w:val="none" w:sz="0" w:space="0" w:color="auto"/>
        <w:left w:val="none" w:sz="0" w:space="0" w:color="auto"/>
        <w:bottom w:val="none" w:sz="0" w:space="0" w:color="auto"/>
        <w:right w:val="none" w:sz="0" w:space="0" w:color="auto"/>
      </w:divBdr>
    </w:div>
    <w:div w:id="2079281283">
      <w:bodyDiv w:val="1"/>
      <w:marLeft w:val="0"/>
      <w:marRight w:val="0"/>
      <w:marTop w:val="0"/>
      <w:marBottom w:val="0"/>
      <w:divBdr>
        <w:top w:val="none" w:sz="0" w:space="0" w:color="auto"/>
        <w:left w:val="none" w:sz="0" w:space="0" w:color="auto"/>
        <w:bottom w:val="none" w:sz="0" w:space="0" w:color="auto"/>
        <w:right w:val="none" w:sz="0" w:space="0" w:color="auto"/>
      </w:divBdr>
    </w:div>
    <w:div w:id="2091928949">
      <w:bodyDiv w:val="1"/>
      <w:marLeft w:val="0"/>
      <w:marRight w:val="0"/>
      <w:marTop w:val="0"/>
      <w:marBottom w:val="0"/>
      <w:divBdr>
        <w:top w:val="none" w:sz="0" w:space="0" w:color="auto"/>
        <w:left w:val="none" w:sz="0" w:space="0" w:color="auto"/>
        <w:bottom w:val="none" w:sz="0" w:space="0" w:color="auto"/>
        <w:right w:val="none" w:sz="0" w:space="0" w:color="auto"/>
      </w:divBdr>
    </w:div>
    <w:div w:id="2094548423">
      <w:bodyDiv w:val="1"/>
      <w:marLeft w:val="0"/>
      <w:marRight w:val="0"/>
      <w:marTop w:val="0"/>
      <w:marBottom w:val="0"/>
      <w:divBdr>
        <w:top w:val="none" w:sz="0" w:space="0" w:color="auto"/>
        <w:left w:val="none" w:sz="0" w:space="0" w:color="auto"/>
        <w:bottom w:val="none" w:sz="0" w:space="0" w:color="auto"/>
        <w:right w:val="none" w:sz="0" w:space="0" w:color="auto"/>
      </w:divBdr>
    </w:div>
    <w:div w:id="2095710668">
      <w:bodyDiv w:val="1"/>
      <w:marLeft w:val="0"/>
      <w:marRight w:val="0"/>
      <w:marTop w:val="0"/>
      <w:marBottom w:val="0"/>
      <w:divBdr>
        <w:top w:val="none" w:sz="0" w:space="0" w:color="auto"/>
        <w:left w:val="none" w:sz="0" w:space="0" w:color="auto"/>
        <w:bottom w:val="none" w:sz="0" w:space="0" w:color="auto"/>
        <w:right w:val="none" w:sz="0" w:space="0" w:color="auto"/>
      </w:divBdr>
    </w:div>
    <w:div w:id="2108228912">
      <w:bodyDiv w:val="1"/>
      <w:marLeft w:val="0"/>
      <w:marRight w:val="0"/>
      <w:marTop w:val="0"/>
      <w:marBottom w:val="0"/>
      <w:divBdr>
        <w:top w:val="none" w:sz="0" w:space="0" w:color="auto"/>
        <w:left w:val="none" w:sz="0" w:space="0" w:color="auto"/>
        <w:bottom w:val="none" w:sz="0" w:space="0" w:color="auto"/>
        <w:right w:val="none" w:sz="0" w:space="0" w:color="auto"/>
      </w:divBdr>
    </w:div>
    <w:div w:id="2111004748">
      <w:bodyDiv w:val="1"/>
      <w:marLeft w:val="0"/>
      <w:marRight w:val="0"/>
      <w:marTop w:val="0"/>
      <w:marBottom w:val="0"/>
      <w:divBdr>
        <w:top w:val="none" w:sz="0" w:space="0" w:color="auto"/>
        <w:left w:val="none" w:sz="0" w:space="0" w:color="auto"/>
        <w:bottom w:val="none" w:sz="0" w:space="0" w:color="auto"/>
        <w:right w:val="none" w:sz="0" w:space="0" w:color="auto"/>
      </w:divBdr>
    </w:div>
    <w:div w:id="2115902265">
      <w:bodyDiv w:val="1"/>
      <w:marLeft w:val="0"/>
      <w:marRight w:val="0"/>
      <w:marTop w:val="0"/>
      <w:marBottom w:val="0"/>
      <w:divBdr>
        <w:top w:val="none" w:sz="0" w:space="0" w:color="auto"/>
        <w:left w:val="none" w:sz="0" w:space="0" w:color="auto"/>
        <w:bottom w:val="none" w:sz="0" w:space="0" w:color="auto"/>
        <w:right w:val="none" w:sz="0" w:space="0" w:color="auto"/>
      </w:divBdr>
    </w:div>
    <w:div w:id="2117408032">
      <w:bodyDiv w:val="1"/>
      <w:marLeft w:val="0"/>
      <w:marRight w:val="0"/>
      <w:marTop w:val="0"/>
      <w:marBottom w:val="0"/>
      <w:divBdr>
        <w:top w:val="none" w:sz="0" w:space="0" w:color="auto"/>
        <w:left w:val="none" w:sz="0" w:space="0" w:color="auto"/>
        <w:bottom w:val="none" w:sz="0" w:space="0" w:color="auto"/>
        <w:right w:val="none" w:sz="0" w:space="0" w:color="auto"/>
      </w:divBdr>
    </w:div>
    <w:div w:id="2117868666">
      <w:bodyDiv w:val="1"/>
      <w:marLeft w:val="0"/>
      <w:marRight w:val="0"/>
      <w:marTop w:val="0"/>
      <w:marBottom w:val="0"/>
      <w:divBdr>
        <w:top w:val="none" w:sz="0" w:space="0" w:color="auto"/>
        <w:left w:val="none" w:sz="0" w:space="0" w:color="auto"/>
        <w:bottom w:val="none" w:sz="0" w:space="0" w:color="auto"/>
        <w:right w:val="none" w:sz="0" w:space="0" w:color="auto"/>
      </w:divBdr>
    </w:div>
    <w:div w:id="2123258333">
      <w:bodyDiv w:val="1"/>
      <w:marLeft w:val="0"/>
      <w:marRight w:val="0"/>
      <w:marTop w:val="0"/>
      <w:marBottom w:val="0"/>
      <w:divBdr>
        <w:top w:val="none" w:sz="0" w:space="0" w:color="auto"/>
        <w:left w:val="none" w:sz="0" w:space="0" w:color="auto"/>
        <w:bottom w:val="none" w:sz="0" w:space="0" w:color="auto"/>
        <w:right w:val="none" w:sz="0" w:space="0" w:color="auto"/>
      </w:divBdr>
    </w:div>
    <w:div w:id="213000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egri@students.uu.nl" TargetMode="External"/><Relationship Id="rId18" Type="http://schemas.openxmlformats.org/officeDocument/2006/relationships/hyperlink" Target="mailto:tom.ligthart@tno.nl" TargetMode="External"/><Relationship Id="rId26" Type="http://schemas.microsoft.com/office/2007/relationships/hdphoto" Target="media/hdphoto1.wdp"/><Relationship Id="rId39" Type="http://schemas.openxmlformats.org/officeDocument/2006/relationships/image" Target="media/image14.png"/><Relationship Id="rId21" Type="http://schemas.openxmlformats.org/officeDocument/2006/relationships/diagramQuickStyle" Target="diagrams/quickStyle1.xml"/><Relationship Id="rId34" Type="http://schemas.microsoft.com/office/2007/relationships/hdphoto" Target="media/hdphoto5.wdp"/><Relationship Id="rId42" Type="http://schemas.openxmlformats.org/officeDocument/2006/relationships/image" Target="media/image17.png"/><Relationship Id="rId47" Type="http://schemas.openxmlformats.org/officeDocument/2006/relationships/image" Target="media/image21.png"/><Relationship Id="rId50" Type="http://schemas.microsoft.com/office/2007/relationships/hdphoto" Target="media/hdphoto8.wdp"/><Relationship Id="rId55" Type="http://schemas.openxmlformats.org/officeDocument/2006/relationships/image" Target="media/image25.jpg"/><Relationship Id="rId63" Type="http://schemas.openxmlformats.org/officeDocument/2006/relationships/image" Target="media/image29.png"/><Relationship Id="rId68" Type="http://schemas.openxmlformats.org/officeDocument/2006/relationships/diagramLayout" Target="diagrams/layout2.xml"/><Relationship Id="rId76" Type="http://schemas.openxmlformats.org/officeDocument/2006/relationships/image" Target="media/image33.png"/><Relationship Id="rId84" Type="http://schemas.openxmlformats.org/officeDocument/2006/relationships/theme" Target="theme/theme1.xml"/><Relationship Id="rId7" Type="http://schemas.openxmlformats.org/officeDocument/2006/relationships/footnotes" Target="footnotes.xml"/><Relationship Id="rId71"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hyperlink" Target="mailto:a.negri@students.uu.nl" TargetMode="External"/><Relationship Id="rId29"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chart" Target="charts/chart1.xml"/><Relationship Id="rId32" Type="http://schemas.microsoft.com/office/2007/relationships/hdphoto" Target="media/hdphoto4.wdp"/><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jpg"/><Relationship Id="rId53" Type="http://schemas.openxmlformats.org/officeDocument/2006/relationships/image" Target="media/image24.png"/><Relationship Id="rId58" Type="http://schemas.openxmlformats.org/officeDocument/2006/relationships/image" Target="media/image27.png"/><Relationship Id="rId66" Type="http://schemas.microsoft.com/office/2007/relationships/hdphoto" Target="media/hdphoto15.wdp"/><Relationship Id="rId74" Type="http://schemas.openxmlformats.org/officeDocument/2006/relationships/image" Target="media/image32.png"/><Relationship Id="rId79" Type="http://schemas.microsoft.com/office/2007/relationships/hdphoto" Target="media/hdphoto19.wdp"/><Relationship Id="rId5" Type="http://schemas.openxmlformats.org/officeDocument/2006/relationships/settings" Target="settings.xml"/><Relationship Id="rId61" Type="http://schemas.microsoft.com/office/2007/relationships/hdphoto" Target="media/hdphoto13.wdp"/><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8.png"/><Relationship Id="rId44" Type="http://schemas.microsoft.com/office/2007/relationships/hdphoto" Target="media/hdphoto6.wdp"/><Relationship Id="rId52" Type="http://schemas.microsoft.com/office/2007/relationships/hdphoto" Target="media/hdphoto9.wdp"/><Relationship Id="rId60" Type="http://schemas.openxmlformats.org/officeDocument/2006/relationships/image" Target="media/image28.png"/><Relationship Id="rId65" Type="http://schemas.openxmlformats.org/officeDocument/2006/relationships/image" Target="media/image30.png"/><Relationship Id="rId73" Type="http://schemas.microsoft.com/office/2007/relationships/hdphoto" Target="media/hdphoto16.wdp"/><Relationship Id="rId78" Type="http://schemas.openxmlformats.org/officeDocument/2006/relationships/image" Target="media/image34.png"/><Relationship Id="rId81" Type="http://schemas.microsoft.com/office/2007/relationships/hdphoto" Target="media/hdphoto20.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worrell@uu.nl" TargetMode="External"/><Relationship Id="rId22" Type="http://schemas.openxmlformats.org/officeDocument/2006/relationships/diagramColors" Target="diagrams/colors1.xml"/><Relationship Id="rId27" Type="http://schemas.openxmlformats.org/officeDocument/2006/relationships/image" Target="media/image6.png"/><Relationship Id="rId30" Type="http://schemas.microsoft.com/office/2007/relationships/hdphoto" Target="media/hdphoto3.wdp"/><Relationship Id="rId35" Type="http://schemas.openxmlformats.org/officeDocument/2006/relationships/image" Target="media/image10.png"/><Relationship Id="rId43" Type="http://schemas.openxmlformats.org/officeDocument/2006/relationships/image" Target="media/image18.png"/><Relationship Id="rId48" Type="http://schemas.microsoft.com/office/2007/relationships/hdphoto" Target="media/hdphoto7.wdp"/><Relationship Id="rId56" Type="http://schemas.openxmlformats.org/officeDocument/2006/relationships/image" Target="media/image26.png"/><Relationship Id="rId64" Type="http://schemas.microsoft.com/office/2007/relationships/hdphoto" Target="media/hdphoto14.wdp"/><Relationship Id="rId69" Type="http://schemas.openxmlformats.org/officeDocument/2006/relationships/diagramQuickStyle" Target="diagrams/quickStyle2.xml"/><Relationship Id="rId77" Type="http://schemas.microsoft.com/office/2007/relationships/hdphoto" Target="media/hdphoto18.wdp"/><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1.png"/><Relationship Id="rId80"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mailto:e.worrell@uu.nl"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3.jpg"/><Relationship Id="rId46" Type="http://schemas.openxmlformats.org/officeDocument/2006/relationships/image" Target="media/image20.jpg"/><Relationship Id="rId59" Type="http://schemas.microsoft.com/office/2007/relationships/hdphoto" Target="media/hdphoto12.wdp"/><Relationship Id="rId67" Type="http://schemas.openxmlformats.org/officeDocument/2006/relationships/diagramData" Target="diagrams/data2.xml"/><Relationship Id="rId20" Type="http://schemas.openxmlformats.org/officeDocument/2006/relationships/diagramLayout" Target="diagrams/layout1.xml"/><Relationship Id="rId41" Type="http://schemas.openxmlformats.org/officeDocument/2006/relationships/image" Target="media/image16.jpeg"/><Relationship Id="rId54" Type="http://schemas.microsoft.com/office/2007/relationships/hdphoto" Target="media/hdphoto10.wdp"/><Relationship Id="rId62" Type="http://schemas.openxmlformats.org/officeDocument/2006/relationships/chart" Target="charts/chart2.xml"/><Relationship Id="rId70" Type="http://schemas.openxmlformats.org/officeDocument/2006/relationships/diagramColors" Target="diagrams/colors2.xml"/><Relationship Id="rId75" Type="http://schemas.microsoft.com/office/2007/relationships/hdphoto" Target="media/hdphoto17.wdp"/><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om.ligthart@tno.nl" TargetMode="External"/><Relationship Id="rId23" Type="http://schemas.microsoft.com/office/2007/relationships/diagramDrawing" Target="diagrams/drawing1.xml"/><Relationship Id="rId28" Type="http://schemas.microsoft.com/office/2007/relationships/hdphoto" Target="media/hdphoto2.wdp"/><Relationship Id="rId36" Type="http://schemas.openxmlformats.org/officeDocument/2006/relationships/image" Target="media/image11.jpeg"/><Relationship Id="rId49" Type="http://schemas.openxmlformats.org/officeDocument/2006/relationships/image" Target="media/image22.png"/><Relationship Id="rId57" Type="http://schemas.microsoft.com/office/2007/relationships/hdphoto" Target="media/hdphoto1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gri\Documents\Education_SSD\Utrecht_University\2.3%20-%20Master's%20Thesis\Thesis%20proposal\Appendix_Handling%20the%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51148293963257"/>
          <c:y val="2.0639642266938856E-2"/>
          <c:w val="0.45957987022455526"/>
          <c:h val="0.89130641498095564"/>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DEA-4485-9820-FC72E27656F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DEA-4485-9820-FC72E27656F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DEA-4485-9820-FC72E27656F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DEA-4485-9820-FC72E27656F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DEA-4485-9820-FC72E27656F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DEA-4485-9820-FC72E27656FC}"/>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DEA-4485-9820-FC72E27656FC}"/>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DEA-4485-9820-FC72E27656FC}"/>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DEA-4485-9820-FC72E27656FC}"/>
                </c:ext>
              </c:extLst>
            </c:dLbl>
            <c:dLbl>
              <c:idx val="3"/>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DEA-4485-9820-FC72E27656FC}"/>
                </c:ext>
              </c:extLst>
            </c:dLbl>
            <c:dLbl>
              <c:idx val="4"/>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DEA-4485-9820-FC72E27656FC}"/>
                </c:ext>
              </c:extLst>
            </c:dLbl>
            <c:dLbl>
              <c:idx val="5"/>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1DEA-4485-9820-FC72E27656F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PP</c:v>
                </c:pt>
                <c:pt idx="1">
                  <c:v>PE</c:v>
                </c:pt>
                <c:pt idx="2">
                  <c:v>PVC</c:v>
                </c:pt>
                <c:pt idx="3">
                  <c:v>PUR</c:v>
                </c:pt>
                <c:pt idx="4">
                  <c:v>PET</c:v>
                </c:pt>
                <c:pt idx="5">
                  <c:v>Others</c:v>
                </c:pt>
              </c:strCache>
            </c:strRef>
          </c:cat>
          <c:val>
            <c:numRef>
              <c:f>Sheet1!$B$2:$B$7</c:f>
              <c:numCache>
                <c:formatCode>General</c:formatCode>
                <c:ptCount val="6"/>
                <c:pt idx="0">
                  <c:v>19.3</c:v>
                </c:pt>
                <c:pt idx="1">
                  <c:v>29.7</c:v>
                </c:pt>
                <c:pt idx="2">
                  <c:v>10</c:v>
                </c:pt>
                <c:pt idx="3">
                  <c:v>7.9</c:v>
                </c:pt>
                <c:pt idx="4">
                  <c:v>7.7</c:v>
                </c:pt>
                <c:pt idx="5">
                  <c:v>25.399999999999991</c:v>
                </c:pt>
              </c:numCache>
            </c:numRef>
          </c:val>
          <c:extLst>
            <c:ext xmlns:c16="http://schemas.microsoft.com/office/drawing/2014/chart" uri="{C3380CC4-5D6E-409C-BE32-E72D297353CC}">
              <c16:uniqueId val="{00000000-453E-4FB0-A328-B801D042D5D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37470591809982"/>
          <c:y val="8.1834784579504161E-2"/>
          <c:w val="0.54494707446611501"/>
          <c:h val="0.85156742397277518"/>
        </c:manualLayout>
      </c:layout>
      <c:radarChart>
        <c:radarStyle val="marker"/>
        <c:varyColors val="0"/>
        <c:ser>
          <c:idx val="0"/>
          <c:order val="0"/>
          <c:tx>
            <c:strRef>
              <c:f>'BioPE impact (Braskem, 2017)'!$G$2</c:f>
              <c:strCache>
                <c:ptCount val="1"/>
                <c:pt idx="0">
                  <c:v>Bio 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'BioPE impact (Braskem, 2017)'!$B$3:$B$9</c:f>
              <c:strCache>
                <c:ptCount val="7"/>
                <c:pt idx="0">
                  <c:v>Climate change</c:v>
                </c:pt>
                <c:pt idx="1">
                  <c:v>Ozone depletion</c:v>
                </c:pt>
                <c:pt idx="2">
                  <c:v>Acidification</c:v>
                </c:pt>
                <c:pt idx="3">
                  <c:v>Water depletion</c:v>
                </c:pt>
                <c:pt idx="4">
                  <c:v>Land use</c:v>
                </c:pt>
                <c:pt idx="5">
                  <c:v>Eutrophication</c:v>
                </c:pt>
                <c:pt idx="6">
                  <c:v>Energy demand</c:v>
                </c:pt>
              </c:strCache>
            </c:strRef>
          </c:cat>
          <c:val>
            <c:numRef>
              <c:f>'BioPE impact (Braskem, 2017)'!$G$3:$G$9</c:f>
              <c:numCache>
                <c:formatCode>0.0%</c:formatCode>
                <c:ptCount val="7"/>
                <c:pt idx="0">
                  <c:v>-1</c:v>
                </c:pt>
                <c:pt idx="1">
                  <c:v>1</c:v>
                </c:pt>
                <c:pt idx="2">
                  <c:v>1</c:v>
                </c:pt>
                <c:pt idx="3">
                  <c:v>1</c:v>
                </c:pt>
                <c:pt idx="4">
                  <c:v>1</c:v>
                </c:pt>
                <c:pt idx="5">
                  <c:v>1</c:v>
                </c:pt>
                <c:pt idx="6">
                  <c:v>2.5027563395810363E-2</c:v>
                </c:pt>
              </c:numCache>
            </c:numRef>
          </c:val>
          <c:extLst>
            <c:ext xmlns:c16="http://schemas.microsoft.com/office/drawing/2014/chart" uri="{C3380CC4-5D6E-409C-BE32-E72D297353CC}">
              <c16:uniqueId val="{00000000-55B7-4414-93F0-6D46BE03146D}"/>
            </c:ext>
          </c:extLst>
        </c:ser>
        <c:ser>
          <c:idx val="1"/>
          <c:order val="1"/>
          <c:tx>
            <c:strRef>
              <c:f>'BioPE impact (Braskem, 2017)'!$H$2</c:f>
              <c:strCache>
                <c:ptCount val="1"/>
                <c:pt idx="0">
                  <c:v>Fossil PE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'BioPE impact (Braskem, 2017)'!$B$3:$B$9</c:f>
              <c:strCache>
                <c:ptCount val="7"/>
                <c:pt idx="0">
                  <c:v>Climate change</c:v>
                </c:pt>
                <c:pt idx="1">
                  <c:v>Ozone depletion</c:v>
                </c:pt>
                <c:pt idx="2">
                  <c:v>Acidification</c:v>
                </c:pt>
                <c:pt idx="3">
                  <c:v>Water depletion</c:v>
                </c:pt>
                <c:pt idx="4">
                  <c:v>Land use</c:v>
                </c:pt>
                <c:pt idx="5">
                  <c:v>Eutrophication</c:v>
                </c:pt>
                <c:pt idx="6">
                  <c:v>Energy demand</c:v>
                </c:pt>
              </c:strCache>
            </c:strRef>
          </c:cat>
          <c:val>
            <c:numRef>
              <c:f>'BioPE impact (Braskem, 2017)'!$H$3:$H$9</c:f>
              <c:numCache>
                <c:formatCode>0.0%</c:formatCode>
                <c:ptCount val="7"/>
                <c:pt idx="0">
                  <c:v>0.6019417475728156</c:v>
                </c:pt>
                <c:pt idx="1">
                  <c:v>5.2088452088452079E-2</c:v>
                </c:pt>
                <c:pt idx="2">
                  <c:v>0.90839694656488534</c:v>
                </c:pt>
                <c:pt idx="3">
                  <c:v>0.21792260692464355</c:v>
                </c:pt>
                <c:pt idx="4">
                  <c:v>8.8996138996138997E-3</c:v>
                </c:pt>
                <c:pt idx="5">
                  <c:v>8.1102362204724415E-2</c:v>
                </c:pt>
                <c:pt idx="6">
                  <c:v>1</c:v>
                </c:pt>
              </c:numCache>
            </c:numRef>
          </c:val>
          <c:extLst>
            <c:ext xmlns:c16="http://schemas.microsoft.com/office/drawing/2014/chart" uri="{C3380CC4-5D6E-409C-BE32-E72D297353CC}">
              <c16:uniqueId val="{00000001-55B7-4414-93F0-6D46BE03146D}"/>
            </c:ext>
          </c:extLst>
        </c:ser>
        <c:dLbls>
          <c:showLegendKey val="0"/>
          <c:showVal val="0"/>
          <c:showCatName val="0"/>
          <c:showSerName val="0"/>
          <c:showPercent val="0"/>
          <c:showBubbleSize val="0"/>
        </c:dLbls>
        <c:axId val="462208536"/>
        <c:axId val="462208864"/>
      </c:radarChart>
      <c:catAx>
        <c:axId val="462208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62208864"/>
        <c:crosses val="autoZero"/>
        <c:auto val="1"/>
        <c:lblAlgn val="ctr"/>
        <c:lblOffset val="100"/>
        <c:noMultiLvlLbl val="0"/>
      </c:catAx>
      <c:valAx>
        <c:axId val="46220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62208536"/>
        <c:crosses val="autoZero"/>
        <c:crossBetween val="between"/>
        <c:majorUnit val="0.25"/>
      </c:valAx>
      <c:spPr>
        <a:noFill/>
        <a:ln>
          <a:noFill/>
        </a:ln>
        <a:effectLst/>
      </c:spPr>
    </c:plotArea>
    <c:legend>
      <c:legendPos val="l"/>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735594-E1D8-4436-8624-6C3D213AC96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AD7DE36-0566-4C00-86C5-57696856337F}">
      <dgm:prSet phldrT="[Text]" custT="1"/>
      <dgm:spPr/>
      <dgm:t>
        <a:bodyPr/>
        <a:lstStyle/>
        <a:p>
          <a:r>
            <a:rPr lang="en-GB" sz="1100" b="1"/>
            <a:t>Plastics</a:t>
          </a:r>
        </a:p>
      </dgm:t>
    </dgm:pt>
    <dgm:pt modelId="{FA096AD5-34A9-4556-9818-AF7597C36D1B}" type="parTrans" cxnId="{91F0B5FE-BEC2-4510-9456-90543C339D4A}">
      <dgm:prSet/>
      <dgm:spPr/>
      <dgm:t>
        <a:bodyPr/>
        <a:lstStyle/>
        <a:p>
          <a:endParaRPr lang="en-GB" sz="1100" b="0"/>
        </a:p>
      </dgm:t>
    </dgm:pt>
    <dgm:pt modelId="{EE6B5039-5BA1-4A64-8E66-524A96F995FF}" type="sibTrans" cxnId="{91F0B5FE-BEC2-4510-9456-90543C339D4A}">
      <dgm:prSet/>
      <dgm:spPr/>
      <dgm:t>
        <a:bodyPr/>
        <a:lstStyle/>
        <a:p>
          <a:endParaRPr lang="en-GB" sz="1100" b="0"/>
        </a:p>
      </dgm:t>
    </dgm:pt>
    <dgm:pt modelId="{197F5383-01A2-44A5-A04F-B44ABE0E5AB3}">
      <dgm:prSet phldrT="[Text]" custT="1"/>
      <dgm:spPr/>
      <dgm:t>
        <a:bodyPr/>
        <a:lstStyle/>
        <a:p>
          <a:r>
            <a:rPr lang="en-GB" sz="1100" b="1"/>
            <a:t>Thermoplastics</a:t>
          </a:r>
          <a:br>
            <a:rPr lang="en-GB" sz="1100" b="0"/>
          </a:br>
          <a:r>
            <a:rPr lang="en-GB" sz="1100" b="0"/>
            <a:t>(can be heated and reshaped)</a:t>
          </a:r>
        </a:p>
      </dgm:t>
    </dgm:pt>
    <dgm:pt modelId="{7500F01C-0794-4F38-A855-5D2527AC619E}" type="parTrans" cxnId="{7AC42EC8-D390-478B-A86B-38279865C426}">
      <dgm:prSet/>
      <dgm:spPr/>
      <dgm:t>
        <a:bodyPr/>
        <a:lstStyle/>
        <a:p>
          <a:endParaRPr lang="en-GB" sz="1100" b="0"/>
        </a:p>
      </dgm:t>
    </dgm:pt>
    <dgm:pt modelId="{156F3E13-9465-4C39-BE77-24360BACB7CC}" type="sibTrans" cxnId="{7AC42EC8-D390-478B-A86B-38279865C426}">
      <dgm:prSet/>
      <dgm:spPr/>
      <dgm:t>
        <a:bodyPr/>
        <a:lstStyle/>
        <a:p>
          <a:endParaRPr lang="en-GB" sz="1100" b="0"/>
        </a:p>
      </dgm:t>
    </dgm:pt>
    <dgm:pt modelId="{E7675537-D4E4-4D1A-976D-BAF00965E3ED}">
      <dgm:prSet phldrT="[Text]" custT="1"/>
      <dgm:spPr/>
      <dgm:t>
        <a:bodyPr/>
        <a:lstStyle/>
        <a:p>
          <a:r>
            <a:rPr lang="en-GB" sz="1100" b="1"/>
            <a:t>Thermosets</a:t>
          </a:r>
          <a:br>
            <a:rPr lang="en-GB" sz="1100" b="0"/>
          </a:br>
          <a:r>
            <a:rPr lang="en-GB" sz="1100" b="0"/>
            <a:t>(cannot be re-melted)</a:t>
          </a:r>
        </a:p>
      </dgm:t>
    </dgm:pt>
    <dgm:pt modelId="{87B0CCFD-2B55-4CCE-865D-84C3BA1B0E20}" type="parTrans" cxnId="{23BA4067-BA05-463F-A141-85C1166EBE68}">
      <dgm:prSet/>
      <dgm:spPr/>
      <dgm:t>
        <a:bodyPr/>
        <a:lstStyle/>
        <a:p>
          <a:endParaRPr lang="en-GB" sz="1100" b="0"/>
        </a:p>
      </dgm:t>
    </dgm:pt>
    <dgm:pt modelId="{53D211D2-0E94-44B8-A37B-1DDABFA7D3A9}" type="sibTrans" cxnId="{23BA4067-BA05-463F-A141-85C1166EBE68}">
      <dgm:prSet/>
      <dgm:spPr/>
      <dgm:t>
        <a:bodyPr/>
        <a:lstStyle/>
        <a:p>
          <a:endParaRPr lang="en-GB" sz="1100" b="0"/>
        </a:p>
      </dgm:t>
    </dgm:pt>
    <dgm:pt modelId="{1E615AF1-26AB-4675-AEF4-E3003D1407D3}">
      <dgm:prSet phldrT="[Text]" custT="1"/>
      <dgm:spPr/>
      <dgm:t>
        <a:bodyPr/>
        <a:lstStyle/>
        <a:p>
          <a:r>
            <a:rPr lang="en-GB" sz="1100" b="0"/>
            <a:t>Polyvintl-chloride (PVC)</a:t>
          </a:r>
        </a:p>
      </dgm:t>
    </dgm:pt>
    <dgm:pt modelId="{A3127E90-785C-43BC-8AD7-3EC63BFACE0C}" type="parTrans" cxnId="{3B9B7A3B-4F01-41F0-8FBA-111760F5B1AA}">
      <dgm:prSet/>
      <dgm:spPr/>
      <dgm:t>
        <a:bodyPr/>
        <a:lstStyle/>
        <a:p>
          <a:endParaRPr lang="en-GB" b="0"/>
        </a:p>
      </dgm:t>
    </dgm:pt>
    <dgm:pt modelId="{46A320F2-EBFC-4DFE-9AB7-09D0116A40CF}" type="sibTrans" cxnId="{3B9B7A3B-4F01-41F0-8FBA-111760F5B1AA}">
      <dgm:prSet/>
      <dgm:spPr/>
      <dgm:t>
        <a:bodyPr/>
        <a:lstStyle/>
        <a:p>
          <a:endParaRPr lang="en-GB" b="0"/>
        </a:p>
      </dgm:t>
    </dgm:pt>
    <dgm:pt modelId="{9E4A976E-B09F-467F-A8DD-52EEA21F2783}">
      <dgm:prSet phldrT="[Text]" custT="1"/>
      <dgm:spPr/>
      <dgm:t>
        <a:bodyPr/>
        <a:lstStyle/>
        <a:p>
          <a:r>
            <a:rPr lang="en-GB" sz="1100" b="0"/>
            <a:t>Polyethylene (PE)</a:t>
          </a:r>
        </a:p>
      </dgm:t>
    </dgm:pt>
    <dgm:pt modelId="{1802777D-C91D-4577-98F6-A3E76DEB0D7E}" type="parTrans" cxnId="{6E8280A6-EFF0-455C-892B-E4002B95B1CA}">
      <dgm:prSet/>
      <dgm:spPr/>
      <dgm:t>
        <a:bodyPr/>
        <a:lstStyle/>
        <a:p>
          <a:endParaRPr lang="en-GB" b="0"/>
        </a:p>
      </dgm:t>
    </dgm:pt>
    <dgm:pt modelId="{9C6B5426-2ED7-47E8-A563-2CACC4F78F61}" type="sibTrans" cxnId="{6E8280A6-EFF0-455C-892B-E4002B95B1CA}">
      <dgm:prSet/>
      <dgm:spPr/>
      <dgm:t>
        <a:bodyPr/>
        <a:lstStyle/>
        <a:p>
          <a:endParaRPr lang="en-GB" b="0"/>
        </a:p>
      </dgm:t>
    </dgm:pt>
    <dgm:pt modelId="{1FE526D5-7EC0-4EDF-ABC9-44C5E056F8FE}">
      <dgm:prSet phldrT="[Text]" custT="1"/>
      <dgm:spPr/>
      <dgm:t>
        <a:bodyPr/>
        <a:lstStyle/>
        <a:p>
          <a:r>
            <a:rPr lang="en-GB" sz="1100" b="0"/>
            <a:t>Polypropylene (PP)</a:t>
          </a:r>
        </a:p>
      </dgm:t>
    </dgm:pt>
    <dgm:pt modelId="{1E846F8B-8DC9-4843-9455-EE2161F16ECF}" type="parTrans" cxnId="{3887A15B-DD49-4575-84AB-CD79CE3B8FC7}">
      <dgm:prSet/>
      <dgm:spPr/>
      <dgm:t>
        <a:bodyPr/>
        <a:lstStyle/>
        <a:p>
          <a:endParaRPr lang="en-GB" b="0"/>
        </a:p>
      </dgm:t>
    </dgm:pt>
    <dgm:pt modelId="{E6269462-8E16-4AC5-9E05-811EBE327321}" type="sibTrans" cxnId="{3887A15B-DD49-4575-84AB-CD79CE3B8FC7}">
      <dgm:prSet/>
      <dgm:spPr/>
      <dgm:t>
        <a:bodyPr/>
        <a:lstStyle/>
        <a:p>
          <a:endParaRPr lang="en-GB" b="0"/>
        </a:p>
      </dgm:t>
    </dgm:pt>
    <dgm:pt modelId="{F4B13641-8653-456A-A214-5F81662C8096}">
      <dgm:prSet phldrT="[Text]" custT="1"/>
      <dgm:spPr/>
      <dgm:t>
        <a:bodyPr/>
        <a:lstStyle/>
        <a:p>
          <a:r>
            <a:rPr lang="en-GB" sz="1100" b="0"/>
            <a:t>Polyurethane (PUR)</a:t>
          </a:r>
        </a:p>
      </dgm:t>
    </dgm:pt>
    <dgm:pt modelId="{196ACC7B-0B96-4D8E-9D53-D336B7332500}" type="parTrans" cxnId="{5478A017-5077-4BC0-B54D-0D7C13D28583}">
      <dgm:prSet/>
      <dgm:spPr/>
      <dgm:t>
        <a:bodyPr/>
        <a:lstStyle/>
        <a:p>
          <a:endParaRPr lang="en-GB" b="0"/>
        </a:p>
      </dgm:t>
    </dgm:pt>
    <dgm:pt modelId="{8A17C78D-D481-4478-902F-3A9AC7357349}" type="sibTrans" cxnId="{5478A017-5077-4BC0-B54D-0D7C13D28583}">
      <dgm:prSet/>
      <dgm:spPr/>
      <dgm:t>
        <a:bodyPr/>
        <a:lstStyle/>
        <a:p>
          <a:endParaRPr lang="en-GB" b="0"/>
        </a:p>
      </dgm:t>
    </dgm:pt>
    <dgm:pt modelId="{62FFE16D-DDE1-4DC5-A1F2-DB5CE21E498C}">
      <dgm:prSet phldrT="[Text]" custT="1"/>
      <dgm:spPr/>
      <dgm:t>
        <a:bodyPr/>
        <a:lstStyle/>
        <a:p>
          <a:r>
            <a:rPr lang="en-GB" sz="1100" b="0"/>
            <a:t>Polyethylene Trephthalate (PET)</a:t>
          </a:r>
        </a:p>
      </dgm:t>
    </dgm:pt>
    <dgm:pt modelId="{BF1AAAF2-65F5-404D-B4AC-5CA744DA01D6}" type="parTrans" cxnId="{DB04B2E8-F87E-4FBC-B267-23E9F28D5384}">
      <dgm:prSet/>
      <dgm:spPr/>
      <dgm:t>
        <a:bodyPr/>
        <a:lstStyle/>
        <a:p>
          <a:endParaRPr lang="en-GB" b="0"/>
        </a:p>
      </dgm:t>
    </dgm:pt>
    <dgm:pt modelId="{531A6586-26ED-43B0-A487-608C29FED455}" type="sibTrans" cxnId="{DB04B2E8-F87E-4FBC-B267-23E9F28D5384}">
      <dgm:prSet/>
      <dgm:spPr/>
      <dgm:t>
        <a:bodyPr/>
        <a:lstStyle/>
        <a:p>
          <a:endParaRPr lang="en-GB" b="0"/>
        </a:p>
      </dgm:t>
    </dgm:pt>
    <dgm:pt modelId="{A6B4916A-2197-4FC4-8208-043994B9A5E9}">
      <dgm:prSet phldrT="[Text]" custT="1"/>
      <dgm:spPr/>
      <dgm:t>
        <a:bodyPr/>
        <a:lstStyle/>
        <a:p>
          <a:r>
            <a:rPr lang="en-GB" sz="1100" b="0"/>
            <a:t>Others (ABS, PS, PA, PC, PMMA, TPE, etc.)</a:t>
          </a:r>
        </a:p>
      </dgm:t>
    </dgm:pt>
    <dgm:pt modelId="{8CDD4556-DF01-471B-8C53-645C7C7FE59D}" type="parTrans" cxnId="{00A66C02-81CF-4189-9E22-B7CB6BD947BB}">
      <dgm:prSet/>
      <dgm:spPr/>
      <dgm:t>
        <a:bodyPr/>
        <a:lstStyle/>
        <a:p>
          <a:endParaRPr lang="en-GB" b="0"/>
        </a:p>
      </dgm:t>
    </dgm:pt>
    <dgm:pt modelId="{5391124D-1829-4766-BCF5-C614C022A801}" type="sibTrans" cxnId="{00A66C02-81CF-4189-9E22-B7CB6BD947BB}">
      <dgm:prSet/>
      <dgm:spPr/>
      <dgm:t>
        <a:bodyPr/>
        <a:lstStyle/>
        <a:p>
          <a:endParaRPr lang="en-GB" b="0"/>
        </a:p>
      </dgm:t>
    </dgm:pt>
    <dgm:pt modelId="{EC21EF26-6879-4DDC-9A33-F44A8F8C849D}">
      <dgm:prSet phldrT="[Text]" custT="1"/>
      <dgm:spPr/>
      <dgm:t>
        <a:bodyPr/>
        <a:lstStyle/>
        <a:p>
          <a:r>
            <a:rPr lang="en-GB" sz="1100" b="0"/>
            <a:t>Resins (epoxy, phenolic, acrylic, melamine)</a:t>
          </a:r>
        </a:p>
      </dgm:t>
    </dgm:pt>
    <dgm:pt modelId="{0257489B-A785-4EFA-BA92-81A2B93A55C0}" type="parTrans" cxnId="{3956B7CE-974A-4C02-871C-9FA8D278F980}">
      <dgm:prSet/>
      <dgm:spPr/>
      <dgm:t>
        <a:bodyPr/>
        <a:lstStyle/>
        <a:p>
          <a:endParaRPr lang="en-GB" b="0"/>
        </a:p>
      </dgm:t>
    </dgm:pt>
    <dgm:pt modelId="{03293C29-E838-4E77-9A7F-AD6F39FCCFD0}" type="sibTrans" cxnId="{3956B7CE-974A-4C02-871C-9FA8D278F980}">
      <dgm:prSet/>
      <dgm:spPr/>
      <dgm:t>
        <a:bodyPr/>
        <a:lstStyle/>
        <a:p>
          <a:endParaRPr lang="en-GB" b="0"/>
        </a:p>
      </dgm:t>
    </dgm:pt>
    <dgm:pt modelId="{06F1F2E1-13EB-4B8D-92FA-32AACAB76A55}">
      <dgm:prSet phldrT="[Text]" custT="1"/>
      <dgm:spPr/>
      <dgm:t>
        <a:bodyPr/>
        <a:lstStyle/>
        <a:p>
          <a:r>
            <a:rPr lang="en-GB" sz="1100" b="0"/>
            <a:t>Silicone</a:t>
          </a:r>
        </a:p>
      </dgm:t>
    </dgm:pt>
    <dgm:pt modelId="{7D3B2ACC-5787-4CCE-8EFC-D641273D35D1}" type="parTrans" cxnId="{E68F54D7-66A5-4B0C-8291-08FB58D398B5}">
      <dgm:prSet/>
      <dgm:spPr/>
      <dgm:t>
        <a:bodyPr/>
        <a:lstStyle/>
        <a:p>
          <a:endParaRPr lang="en-GB" b="0"/>
        </a:p>
      </dgm:t>
    </dgm:pt>
    <dgm:pt modelId="{CBA88901-36D6-4CCC-ABE8-B24BF010A179}" type="sibTrans" cxnId="{E68F54D7-66A5-4B0C-8291-08FB58D398B5}">
      <dgm:prSet/>
      <dgm:spPr/>
      <dgm:t>
        <a:bodyPr/>
        <a:lstStyle/>
        <a:p>
          <a:endParaRPr lang="en-GB" b="0"/>
        </a:p>
      </dgm:t>
    </dgm:pt>
    <dgm:pt modelId="{00E0869B-E809-47EF-AF36-A3318AD71B60}">
      <dgm:prSet phldrT="[Text]" custT="1"/>
      <dgm:spPr/>
      <dgm:t>
        <a:bodyPr/>
        <a:lstStyle/>
        <a:p>
          <a:r>
            <a:rPr lang="en-GB" sz="1100" b="0"/>
            <a:t>Unsatureted polyester</a:t>
          </a:r>
        </a:p>
      </dgm:t>
    </dgm:pt>
    <dgm:pt modelId="{52505E1E-1244-4613-BE9B-EBD6FFDD9C47}" type="parTrans" cxnId="{9DC6A04A-67B0-43B2-8090-D42811FDC9F5}">
      <dgm:prSet/>
      <dgm:spPr/>
      <dgm:t>
        <a:bodyPr/>
        <a:lstStyle/>
        <a:p>
          <a:endParaRPr lang="en-GB" b="0"/>
        </a:p>
      </dgm:t>
    </dgm:pt>
    <dgm:pt modelId="{D638390E-6C9A-4300-B3DA-A69E6810211A}" type="sibTrans" cxnId="{9DC6A04A-67B0-43B2-8090-D42811FDC9F5}">
      <dgm:prSet/>
      <dgm:spPr/>
      <dgm:t>
        <a:bodyPr/>
        <a:lstStyle/>
        <a:p>
          <a:endParaRPr lang="en-GB" b="0"/>
        </a:p>
      </dgm:t>
    </dgm:pt>
    <dgm:pt modelId="{EB24F985-03EE-4855-BB10-5E26025B772D}">
      <dgm:prSet phldrT="[Text]" custT="1"/>
      <dgm:spPr/>
      <dgm:t>
        <a:bodyPr/>
        <a:lstStyle/>
        <a:p>
          <a:r>
            <a:rPr lang="en-GB" sz="1100" b="0"/>
            <a:t>Others (e.g. vinyl and phenol-formaldeyhde)</a:t>
          </a:r>
        </a:p>
      </dgm:t>
    </dgm:pt>
    <dgm:pt modelId="{42984728-8E9B-455D-8D84-956155DEDBD4}" type="parTrans" cxnId="{B4A658F7-10DD-41A4-8AEA-A8384F6D83F3}">
      <dgm:prSet/>
      <dgm:spPr/>
      <dgm:t>
        <a:bodyPr/>
        <a:lstStyle/>
        <a:p>
          <a:endParaRPr lang="en-GB" b="0"/>
        </a:p>
      </dgm:t>
    </dgm:pt>
    <dgm:pt modelId="{83C55C27-8CF4-4A18-BC51-799A7B6BBAFF}" type="sibTrans" cxnId="{B4A658F7-10DD-41A4-8AEA-A8384F6D83F3}">
      <dgm:prSet/>
      <dgm:spPr/>
      <dgm:t>
        <a:bodyPr/>
        <a:lstStyle/>
        <a:p>
          <a:endParaRPr lang="en-GB" b="0"/>
        </a:p>
      </dgm:t>
    </dgm:pt>
    <dgm:pt modelId="{F089A08E-C30B-4FF3-912C-59917CDF2E88}" type="pres">
      <dgm:prSet presAssocID="{C6735594-E1D8-4436-8624-6C3D213AC961}" presName="hierChild1" presStyleCnt="0">
        <dgm:presLayoutVars>
          <dgm:orgChart val="1"/>
          <dgm:chPref val="1"/>
          <dgm:dir/>
          <dgm:animOne val="branch"/>
          <dgm:animLvl val="lvl"/>
          <dgm:resizeHandles/>
        </dgm:presLayoutVars>
      </dgm:prSet>
      <dgm:spPr/>
    </dgm:pt>
    <dgm:pt modelId="{CB9045D3-2A07-4820-B1F1-9DE2A8DF124D}" type="pres">
      <dgm:prSet presAssocID="{3AD7DE36-0566-4C00-86C5-57696856337F}" presName="hierRoot1" presStyleCnt="0">
        <dgm:presLayoutVars>
          <dgm:hierBranch val="init"/>
        </dgm:presLayoutVars>
      </dgm:prSet>
      <dgm:spPr/>
    </dgm:pt>
    <dgm:pt modelId="{3B3A52C9-19E6-499C-8F7C-A7CBD889F868}" type="pres">
      <dgm:prSet presAssocID="{3AD7DE36-0566-4C00-86C5-57696856337F}" presName="rootComposite1" presStyleCnt="0"/>
      <dgm:spPr/>
    </dgm:pt>
    <dgm:pt modelId="{FF6ACBDB-F3B6-4FAD-A5A2-D60165C9C78B}" type="pres">
      <dgm:prSet presAssocID="{3AD7DE36-0566-4C00-86C5-57696856337F}" presName="rootText1" presStyleLbl="node0" presStyleIdx="0" presStyleCnt="1" custScaleY="53031">
        <dgm:presLayoutVars>
          <dgm:chPref val="3"/>
        </dgm:presLayoutVars>
      </dgm:prSet>
      <dgm:spPr/>
    </dgm:pt>
    <dgm:pt modelId="{DF7A278E-FFD6-457B-88AD-89350CA9AE08}" type="pres">
      <dgm:prSet presAssocID="{3AD7DE36-0566-4C00-86C5-57696856337F}" presName="rootConnector1" presStyleLbl="node1" presStyleIdx="0" presStyleCnt="0"/>
      <dgm:spPr/>
    </dgm:pt>
    <dgm:pt modelId="{5433D24D-6143-496D-96BB-5BB91BAA54CD}" type="pres">
      <dgm:prSet presAssocID="{3AD7DE36-0566-4C00-86C5-57696856337F}" presName="hierChild2" presStyleCnt="0"/>
      <dgm:spPr/>
    </dgm:pt>
    <dgm:pt modelId="{1F0C3F54-DDF8-4CE7-9253-BA663D2ECA5F}" type="pres">
      <dgm:prSet presAssocID="{7500F01C-0794-4F38-A855-5D2527AC619E}" presName="Name37" presStyleLbl="parChTrans1D2" presStyleIdx="0" presStyleCnt="2"/>
      <dgm:spPr/>
    </dgm:pt>
    <dgm:pt modelId="{0B0BBDF3-7AA3-48A1-869E-79EE99D7B2CB}" type="pres">
      <dgm:prSet presAssocID="{197F5383-01A2-44A5-A04F-B44ABE0E5AB3}" presName="hierRoot2" presStyleCnt="0">
        <dgm:presLayoutVars>
          <dgm:hierBranch val="init"/>
        </dgm:presLayoutVars>
      </dgm:prSet>
      <dgm:spPr/>
    </dgm:pt>
    <dgm:pt modelId="{662A8ED4-C96C-40DD-94B2-2B07450CD672}" type="pres">
      <dgm:prSet presAssocID="{197F5383-01A2-44A5-A04F-B44ABE0E5AB3}" presName="rootComposite" presStyleCnt="0"/>
      <dgm:spPr/>
    </dgm:pt>
    <dgm:pt modelId="{B5B90069-BA93-4285-9ADC-221024B05DB4}" type="pres">
      <dgm:prSet presAssocID="{197F5383-01A2-44A5-A04F-B44ABE0E5AB3}" presName="rootText" presStyleLbl="node2" presStyleIdx="0" presStyleCnt="2" custScaleX="142011" custScaleY="53031">
        <dgm:presLayoutVars>
          <dgm:chPref val="3"/>
        </dgm:presLayoutVars>
      </dgm:prSet>
      <dgm:spPr/>
    </dgm:pt>
    <dgm:pt modelId="{F7CDC63D-8D37-4E2D-A0BA-5E6800D96D6A}" type="pres">
      <dgm:prSet presAssocID="{197F5383-01A2-44A5-A04F-B44ABE0E5AB3}" presName="rootConnector" presStyleLbl="node2" presStyleIdx="0" presStyleCnt="2"/>
      <dgm:spPr/>
    </dgm:pt>
    <dgm:pt modelId="{0ADC695C-8047-4CCD-92D1-5E426F189F94}" type="pres">
      <dgm:prSet presAssocID="{197F5383-01A2-44A5-A04F-B44ABE0E5AB3}" presName="hierChild4" presStyleCnt="0"/>
      <dgm:spPr/>
    </dgm:pt>
    <dgm:pt modelId="{496C5E8E-ACA9-445E-9098-0DB54443B49E}" type="pres">
      <dgm:prSet presAssocID="{1802777D-C91D-4577-98F6-A3E76DEB0D7E}" presName="Name37" presStyleLbl="parChTrans1D3" presStyleIdx="0" presStyleCnt="10"/>
      <dgm:spPr/>
    </dgm:pt>
    <dgm:pt modelId="{8F8BE406-4CC3-439B-926E-50B5FE401BDB}" type="pres">
      <dgm:prSet presAssocID="{9E4A976E-B09F-467F-A8DD-52EEA21F2783}" presName="hierRoot2" presStyleCnt="0">
        <dgm:presLayoutVars>
          <dgm:hierBranch val="init"/>
        </dgm:presLayoutVars>
      </dgm:prSet>
      <dgm:spPr/>
    </dgm:pt>
    <dgm:pt modelId="{27118E97-53A5-4C49-89BB-C3DA8C0313EC}" type="pres">
      <dgm:prSet presAssocID="{9E4A976E-B09F-467F-A8DD-52EEA21F2783}" presName="rootComposite" presStyleCnt="0"/>
      <dgm:spPr/>
    </dgm:pt>
    <dgm:pt modelId="{E8CEFF81-4D20-48B6-B7A6-583EE037CDD4}" type="pres">
      <dgm:prSet presAssocID="{9E4A976E-B09F-467F-A8DD-52EEA21F2783}" presName="rootText" presStyleLbl="node3" presStyleIdx="0" presStyleCnt="10" custScaleX="101436" custScaleY="53031">
        <dgm:presLayoutVars>
          <dgm:chPref val="3"/>
        </dgm:presLayoutVars>
      </dgm:prSet>
      <dgm:spPr/>
    </dgm:pt>
    <dgm:pt modelId="{7BE7D5F8-E489-4EB0-A374-3CB43F98E1CD}" type="pres">
      <dgm:prSet presAssocID="{9E4A976E-B09F-467F-A8DD-52EEA21F2783}" presName="rootConnector" presStyleLbl="node3" presStyleIdx="0" presStyleCnt="10"/>
      <dgm:spPr/>
    </dgm:pt>
    <dgm:pt modelId="{55D4E9C1-30F5-4C72-B74F-C4B6C830EB37}" type="pres">
      <dgm:prSet presAssocID="{9E4A976E-B09F-467F-A8DD-52EEA21F2783}" presName="hierChild4" presStyleCnt="0"/>
      <dgm:spPr/>
    </dgm:pt>
    <dgm:pt modelId="{13AAA8B1-094A-43EF-B2E6-8B5BB4F1F51B}" type="pres">
      <dgm:prSet presAssocID="{9E4A976E-B09F-467F-A8DD-52EEA21F2783}" presName="hierChild5" presStyleCnt="0"/>
      <dgm:spPr/>
    </dgm:pt>
    <dgm:pt modelId="{E41C00B1-25AF-4888-8C11-D11AF165667A}" type="pres">
      <dgm:prSet presAssocID="{1E846F8B-8DC9-4843-9455-EE2161F16ECF}" presName="Name37" presStyleLbl="parChTrans1D3" presStyleIdx="1" presStyleCnt="10"/>
      <dgm:spPr/>
    </dgm:pt>
    <dgm:pt modelId="{1A484E6C-9805-49D7-B1B3-5CC46C4AEBA9}" type="pres">
      <dgm:prSet presAssocID="{1FE526D5-7EC0-4EDF-ABC9-44C5E056F8FE}" presName="hierRoot2" presStyleCnt="0">
        <dgm:presLayoutVars>
          <dgm:hierBranch val="init"/>
        </dgm:presLayoutVars>
      </dgm:prSet>
      <dgm:spPr/>
    </dgm:pt>
    <dgm:pt modelId="{4FC5379B-B2EA-48D2-99E2-0955E3D6E613}" type="pres">
      <dgm:prSet presAssocID="{1FE526D5-7EC0-4EDF-ABC9-44C5E056F8FE}" presName="rootComposite" presStyleCnt="0"/>
      <dgm:spPr/>
    </dgm:pt>
    <dgm:pt modelId="{A942DDC7-4410-4ACA-8FB2-086B25E22D55}" type="pres">
      <dgm:prSet presAssocID="{1FE526D5-7EC0-4EDF-ABC9-44C5E056F8FE}" presName="rootText" presStyleLbl="node3" presStyleIdx="1" presStyleCnt="10" custScaleX="101436" custScaleY="53031">
        <dgm:presLayoutVars>
          <dgm:chPref val="3"/>
        </dgm:presLayoutVars>
      </dgm:prSet>
      <dgm:spPr/>
    </dgm:pt>
    <dgm:pt modelId="{B2683D03-4F56-43C0-A59C-DC6206C049E5}" type="pres">
      <dgm:prSet presAssocID="{1FE526D5-7EC0-4EDF-ABC9-44C5E056F8FE}" presName="rootConnector" presStyleLbl="node3" presStyleIdx="1" presStyleCnt="10"/>
      <dgm:spPr/>
    </dgm:pt>
    <dgm:pt modelId="{972225C0-8992-439F-B6DA-C45F81BED17B}" type="pres">
      <dgm:prSet presAssocID="{1FE526D5-7EC0-4EDF-ABC9-44C5E056F8FE}" presName="hierChild4" presStyleCnt="0"/>
      <dgm:spPr/>
    </dgm:pt>
    <dgm:pt modelId="{C4D49B11-16F0-4572-AC66-9D713E1B5838}" type="pres">
      <dgm:prSet presAssocID="{1FE526D5-7EC0-4EDF-ABC9-44C5E056F8FE}" presName="hierChild5" presStyleCnt="0"/>
      <dgm:spPr/>
    </dgm:pt>
    <dgm:pt modelId="{103A73D5-7279-49CD-AE34-9FC4860317AF}" type="pres">
      <dgm:prSet presAssocID="{A3127E90-785C-43BC-8AD7-3EC63BFACE0C}" presName="Name37" presStyleLbl="parChTrans1D3" presStyleIdx="2" presStyleCnt="10"/>
      <dgm:spPr/>
    </dgm:pt>
    <dgm:pt modelId="{32ECD5CC-01BC-4182-9CD4-235015B27A3C}" type="pres">
      <dgm:prSet presAssocID="{1E615AF1-26AB-4675-AEF4-E3003D1407D3}" presName="hierRoot2" presStyleCnt="0">
        <dgm:presLayoutVars>
          <dgm:hierBranch val="init"/>
        </dgm:presLayoutVars>
      </dgm:prSet>
      <dgm:spPr/>
    </dgm:pt>
    <dgm:pt modelId="{C11426E0-A858-42C2-BD29-2437D08CAF0E}" type="pres">
      <dgm:prSet presAssocID="{1E615AF1-26AB-4675-AEF4-E3003D1407D3}" presName="rootComposite" presStyleCnt="0"/>
      <dgm:spPr/>
    </dgm:pt>
    <dgm:pt modelId="{3AC6174F-1A15-4B6E-B52A-D960CEAD88D6}" type="pres">
      <dgm:prSet presAssocID="{1E615AF1-26AB-4675-AEF4-E3003D1407D3}" presName="rootText" presStyleLbl="node3" presStyleIdx="2" presStyleCnt="10" custScaleX="101436" custScaleY="53031">
        <dgm:presLayoutVars>
          <dgm:chPref val="3"/>
        </dgm:presLayoutVars>
      </dgm:prSet>
      <dgm:spPr/>
    </dgm:pt>
    <dgm:pt modelId="{2027E8C0-9354-45D4-AF07-48B51BA68589}" type="pres">
      <dgm:prSet presAssocID="{1E615AF1-26AB-4675-AEF4-E3003D1407D3}" presName="rootConnector" presStyleLbl="node3" presStyleIdx="2" presStyleCnt="10"/>
      <dgm:spPr/>
    </dgm:pt>
    <dgm:pt modelId="{04EB18D8-3BD8-446D-ADC7-4377E376DA74}" type="pres">
      <dgm:prSet presAssocID="{1E615AF1-26AB-4675-AEF4-E3003D1407D3}" presName="hierChild4" presStyleCnt="0"/>
      <dgm:spPr/>
    </dgm:pt>
    <dgm:pt modelId="{0B4628D6-3C8B-47B8-8ECF-3D0F99D3E7D5}" type="pres">
      <dgm:prSet presAssocID="{1E615AF1-26AB-4675-AEF4-E3003D1407D3}" presName="hierChild5" presStyleCnt="0"/>
      <dgm:spPr/>
    </dgm:pt>
    <dgm:pt modelId="{A16D1BD6-6FCE-4625-9D9A-1BC8EF24E92E}" type="pres">
      <dgm:prSet presAssocID="{BF1AAAF2-65F5-404D-B4AC-5CA744DA01D6}" presName="Name37" presStyleLbl="parChTrans1D3" presStyleIdx="3" presStyleCnt="10"/>
      <dgm:spPr/>
    </dgm:pt>
    <dgm:pt modelId="{D204F19C-31D4-4B2B-AD70-1BAA10EA0912}" type="pres">
      <dgm:prSet presAssocID="{62FFE16D-DDE1-4DC5-A1F2-DB5CE21E498C}" presName="hierRoot2" presStyleCnt="0">
        <dgm:presLayoutVars>
          <dgm:hierBranch val="init"/>
        </dgm:presLayoutVars>
      </dgm:prSet>
      <dgm:spPr/>
    </dgm:pt>
    <dgm:pt modelId="{91560EFF-B94E-4A6F-8F7C-8BE0A7713E30}" type="pres">
      <dgm:prSet presAssocID="{62FFE16D-DDE1-4DC5-A1F2-DB5CE21E498C}" presName="rootComposite" presStyleCnt="0"/>
      <dgm:spPr/>
    </dgm:pt>
    <dgm:pt modelId="{BF1B5725-C754-4962-BA9D-7A34654684BE}" type="pres">
      <dgm:prSet presAssocID="{62FFE16D-DDE1-4DC5-A1F2-DB5CE21E498C}" presName="rootText" presStyleLbl="node3" presStyleIdx="3" presStyleCnt="10" custScaleX="101436" custScaleY="53031">
        <dgm:presLayoutVars>
          <dgm:chPref val="3"/>
        </dgm:presLayoutVars>
      </dgm:prSet>
      <dgm:spPr/>
    </dgm:pt>
    <dgm:pt modelId="{6832BD0A-6845-42EA-8D17-A32EA8A63172}" type="pres">
      <dgm:prSet presAssocID="{62FFE16D-DDE1-4DC5-A1F2-DB5CE21E498C}" presName="rootConnector" presStyleLbl="node3" presStyleIdx="3" presStyleCnt="10"/>
      <dgm:spPr/>
    </dgm:pt>
    <dgm:pt modelId="{083A1F22-81DF-400E-935F-20B9EDB4762D}" type="pres">
      <dgm:prSet presAssocID="{62FFE16D-DDE1-4DC5-A1F2-DB5CE21E498C}" presName="hierChild4" presStyleCnt="0"/>
      <dgm:spPr/>
    </dgm:pt>
    <dgm:pt modelId="{DE978EF0-4BCE-475D-9A65-E93680ED72CC}" type="pres">
      <dgm:prSet presAssocID="{62FFE16D-DDE1-4DC5-A1F2-DB5CE21E498C}" presName="hierChild5" presStyleCnt="0"/>
      <dgm:spPr/>
    </dgm:pt>
    <dgm:pt modelId="{736C4708-509A-4C57-B26F-5D79437FBD96}" type="pres">
      <dgm:prSet presAssocID="{8CDD4556-DF01-471B-8C53-645C7C7FE59D}" presName="Name37" presStyleLbl="parChTrans1D3" presStyleIdx="4" presStyleCnt="10"/>
      <dgm:spPr/>
    </dgm:pt>
    <dgm:pt modelId="{2529E296-4B05-4C5C-9850-98E44653F19B}" type="pres">
      <dgm:prSet presAssocID="{A6B4916A-2197-4FC4-8208-043994B9A5E9}" presName="hierRoot2" presStyleCnt="0">
        <dgm:presLayoutVars>
          <dgm:hierBranch val="init"/>
        </dgm:presLayoutVars>
      </dgm:prSet>
      <dgm:spPr/>
    </dgm:pt>
    <dgm:pt modelId="{45E7B1BA-6C89-4145-AEBB-4CC8890A26B2}" type="pres">
      <dgm:prSet presAssocID="{A6B4916A-2197-4FC4-8208-043994B9A5E9}" presName="rootComposite" presStyleCnt="0"/>
      <dgm:spPr/>
    </dgm:pt>
    <dgm:pt modelId="{66CAA559-48F7-4236-936A-1753D8401667}" type="pres">
      <dgm:prSet presAssocID="{A6B4916A-2197-4FC4-8208-043994B9A5E9}" presName="rootText" presStyleLbl="node3" presStyleIdx="4" presStyleCnt="10" custScaleX="101436" custScaleY="53031">
        <dgm:presLayoutVars>
          <dgm:chPref val="3"/>
        </dgm:presLayoutVars>
      </dgm:prSet>
      <dgm:spPr/>
    </dgm:pt>
    <dgm:pt modelId="{53D461BF-6E1C-4798-AD22-35DFE04370CA}" type="pres">
      <dgm:prSet presAssocID="{A6B4916A-2197-4FC4-8208-043994B9A5E9}" presName="rootConnector" presStyleLbl="node3" presStyleIdx="4" presStyleCnt="10"/>
      <dgm:spPr/>
    </dgm:pt>
    <dgm:pt modelId="{37F99796-83F0-4FBA-80FE-AF7C06688536}" type="pres">
      <dgm:prSet presAssocID="{A6B4916A-2197-4FC4-8208-043994B9A5E9}" presName="hierChild4" presStyleCnt="0"/>
      <dgm:spPr/>
    </dgm:pt>
    <dgm:pt modelId="{D58B3F51-6FD0-47A8-8187-0E86DD65EDD0}" type="pres">
      <dgm:prSet presAssocID="{A6B4916A-2197-4FC4-8208-043994B9A5E9}" presName="hierChild5" presStyleCnt="0"/>
      <dgm:spPr/>
    </dgm:pt>
    <dgm:pt modelId="{A5FDF6D1-095B-4780-A0B0-FC41D99F432B}" type="pres">
      <dgm:prSet presAssocID="{197F5383-01A2-44A5-A04F-B44ABE0E5AB3}" presName="hierChild5" presStyleCnt="0"/>
      <dgm:spPr/>
    </dgm:pt>
    <dgm:pt modelId="{EFF5621E-36A6-482B-A5B1-8F8083DAAF2E}" type="pres">
      <dgm:prSet presAssocID="{87B0CCFD-2B55-4CCE-865D-84C3BA1B0E20}" presName="Name37" presStyleLbl="parChTrans1D2" presStyleIdx="1" presStyleCnt="2"/>
      <dgm:spPr/>
    </dgm:pt>
    <dgm:pt modelId="{A5B514FE-9446-4D2A-AA44-C452F78AED1F}" type="pres">
      <dgm:prSet presAssocID="{E7675537-D4E4-4D1A-976D-BAF00965E3ED}" presName="hierRoot2" presStyleCnt="0">
        <dgm:presLayoutVars>
          <dgm:hierBranch val="init"/>
        </dgm:presLayoutVars>
      </dgm:prSet>
      <dgm:spPr/>
    </dgm:pt>
    <dgm:pt modelId="{CE612D0D-736B-4CC5-BC63-5C92CC7FAF2A}" type="pres">
      <dgm:prSet presAssocID="{E7675537-D4E4-4D1A-976D-BAF00965E3ED}" presName="rootComposite" presStyleCnt="0"/>
      <dgm:spPr/>
    </dgm:pt>
    <dgm:pt modelId="{15B97DF9-1E4D-4CB9-8522-6760A01B80C7}" type="pres">
      <dgm:prSet presAssocID="{E7675537-D4E4-4D1A-976D-BAF00965E3ED}" presName="rootText" presStyleLbl="node2" presStyleIdx="1" presStyleCnt="2" custScaleX="142011" custScaleY="53031">
        <dgm:presLayoutVars>
          <dgm:chPref val="3"/>
        </dgm:presLayoutVars>
      </dgm:prSet>
      <dgm:spPr/>
    </dgm:pt>
    <dgm:pt modelId="{B61D208F-1CA9-4D8D-80B4-A6AFC7DA685A}" type="pres">
      <dgm:prSet presAssocID="{E7675537-D4E4-4D1A-976D-BAF00965E3ED}" presName="rootConnector" presStyleLbl="node2" presStyleIdx="1" presStyleCnt="2"/>
      <dgm:spPr/>
    </dgm:pt>
    <dgm:pt modelId="{C2D32EFE-4518-4C84-B3ED-9E78A8F2A86B}" type="pres">
      <dgm:prSet presAssocID="{E7675537-D4E4-4D1A-976D-BAF00965E3ED}" presName="hierChild4" presStyleCnt="0"/>
      <dgm:spPr/>
    </dgm:pt>
    <dgm:pt modelId="{053710A0-BF1F-400D-9672-AC5347932330}" type="pres">
      <dgm:prSet presAssocID="{196ACC7B-0B96-4D8E-9D53-D336B7332500}" presName="Name37" presStyleLbl="parChTrans1D3" presStyleIdx="5" presStyleCnt="10"/>
      <dgm:spPr/>
    </dgm:pt>
    <dgm:pt modelId="{2BABD3FA-47A7-4114-B726-B5801B5740F4}" type="pres">
      <dgm:prSet presAssocID="{F4B13641-8653-456A-A214-5F81662C8096}" presName="hierRoot2" presStyleCnt="0">
        <dgm:presLayoutVars>
          <dgm:hierBranch val="init"/>
        </dgm:presLayoutVars>
      </dgm:prSet>
      <dgm:spPr/>
    </dgm:pt>
    <dgm:pt modelId="{C8436FB0-6042-4D54-8FB7-B784CD1DB97E}" type="pres">
      <dgm:prSet presAssocID="{F4B13641-8653-456A-A214-5F81662C8096}" presName="rootComposite" presStyleCnt="0"/>
      <dgm:spPr/>
    </dgm:pt>
    <dgm:pt modelId="{43809BF1-FB9A-46C1-AD53-71FCF971BD7D}" type="pres">
      <dgm:prSet presAssocID="{F4B13641-8653-456A-A214-5F81662C8096}" presName="rootText" presStyleLbl="node3" presStyleIdx="5" presStyleCnt="10" custScaleX="101436" custScaleY="53031">
        <dgm:presLayoutVars>
          <dgm:chPref val="3"/>
        </dgm:presLayoutVars>
      </dgm:prSet>
      <dgm:spPr/>
    </dgm:pt>
    <dgm:pt modelId="{C0AF2481-F5C3-4095-AA7D-205A1599F369}" type="pres">
      <dgm:prSet presAssocID="{F4B13641-8653-456A-A214-5F81662C8096}" presName="rootConnector" presStyleLbl="node3" presStyleIdx="5" presStyleCnt="10"/>
      <dgm:spPr/>
    </dgm:pt>
    <dgm:pt modelId="{172E0590-6674-4182-A8F4-D38D6266CD34}" type="pres">
      <dgm:prSet presAssocID="{F4B13641-8653-456A-A214-5F81662C8096}" presName="hierChild4" presStyleCnt="0"/>
      <dgm:spPr/>
    </dgm:pt>
    <dgm:pt modelId="{AF686487-2A73-4F3A-8AC5-8ED7EB5F324E}" type="pres">
      <dgm:prSet presAssocID="{F4B13641-8653-456A-A214-5F81662C8096}" presName="hierChild5" presStyleCnt="0"/>
      <dgm:spPr/>
    </dgm:pt>
    <dgm:pt modelId="{49F4F1CA-64BA-4E4D-BBCA-ADB20C00DA76}" type="pres">
      <dgm:prSet presAssocID="{52505E1E-1244-4613-BE9B-EBD6FFDD9C47}" presName="Name37" presStyleLbl="parChTrans1D3" presStyleIdx="6" presStyleCnt="10"/>
      <dgm:spPr/>
    </dgm:pt>
    <dgm:pt modelId="{935F406C-8FB1-477E-B2F0-B39A6DFABB0C}" type="pres">
      <dgm:prSet presAssocID="{00E0869B-E809-47EF-AF36-A3318AD71B60}" presName="hierRoot2" presStyleCnt="0">
        <dgm:presLayoutVars>
          <dgm:hierBranch val="init"/>
        </dgm:presLayoutVars>
      </dgm:prSet>
      <dgm:spPr/>
    </dgm:pt>
    <dgm:pt modelId="{4C071A70-9A4E-4172-8F3B-298C2A45C4AB}" type="pres">
      <dgm:prSet presAssocID="{00E0869B-E809-47EF-AF36-A3318AD71B60}" presName="rootComposite" presStyleCnt="0"/>
      <dgm:spPr/>
    </dgm:pt>
    <dgm:pt modelId="{2877E533-7117-420C-9338-DA342CF84680}" type="pres">
      <dgm:prSet presAssocID="{00E0869B-E809-47EF-AF36-A3318AD71B60}" presName="rootText" presStyleLbl="node3" presStyleIdx="6" presStyleCnt="10" custScaleX="101436" custScaleY="53031">
        <dgm:presLayoutVars>
          <dgm:chPref val="3"/>
        </dgm:presLayoutVars>
      </dgm:prSet>
      <dgm:spPr/>
    </dgm:pt>
    <dgm:pt modelId="{24E4153E-9CE7-4C04-B0F2-39CD3836DC5B}" type="pres">
      <dgm:prSet presAssocID="{00E0869B-E809-47EF-AF36-A3318AD71B60}" presName="rootConnector" presStyleLbl="node3" presStyleIdx="6" presStyleCnt="10"/>
      <dgm:spPr/>
    </dgm:pt>
    <dgm:pt modelId="{36105B76-6D70-4230-BD11-759E00C959C7}" type="pres">
      <dgm:prSet presAssocID="{00E0869B-E809-47EF-AF36-A3318AD71B60}" presName="hierChild4" presStyleCnt="0"/>
      <dgm:spPr/>
    </dgm:pt>
    <dgm:pt modelId="{7A9A7A67-9856-4467-9782-7266BF52CDC8}" type="pres">
      <dgm:prSet presAssocID="{00E0869B-E809-47EF-AF36-A3318AD71B60}" presName="hierChild5" presStyleCnt="0"/>
      <dgm:spPr/>
    </dgm:pt>
    <dgm:pt modelId="{624AE2F1-0B6E-4B03-944C-BD86054AAD1E}" type="pres">
      <dgm:prSet presAssocID="{0257489B-A785-4EFA-BA92-81A2B93A55C0}" presName="Name37" presStyleLbl="parChTrans1D3" presStyleIdx="7" presStyleCnt="10"/>
      <dgm:spPr/>
    </dgm:pt>
    <dgm:pt modelId="{1094C5D6-7688-4C5E-BD74-67035FAE1663}" type="pres">
      <dgm:prSet presAssocID="{EC21EF26-6879-4DDC-9A33-F44A8F8C849D}" presName="hierRoot2" presStyleCnt="0">
        <dgm:presLayoutVars>
          <dgm:hierBranch val="init"/>
        </dgm:presLayoutVars>
      </dgm:prSet>
      <dgm:spPr/>
    </dgm:pt>
    <dgm:pt modelId="{39522D88-4650-4BA9-A29F-6BFC7BC541C6}" type="pres">
      <dgm:prSet presAssocID="{EC21EF26-6879-4DDC-9A33-F44A8F8C849D}" presName="rootComposite" presStyleCnt="0"/>
      <dgm:spPr/>
    </dgm:pt>
    <dgm:pt modelId="{F277CEBE-45B6-4FA2-955B-4C4AA557705C}" type="pres">
      <dgm:prSet presAssocID="{EC21EF26-6879-4DDC-9A33-F44A8F8C849D}" presName="rootText" presStyleLbl="node3" presStyleIdx="7" presStyleCnt="10" custScaleX="101436" custScaleY="53031">
        <dgm:presLayoutVars>
          <dgm:chPref val="3"/>
        </dgm:presLayoutVars>
      </dgm:prSet>
      <dgm:spPr/>
    </dgm:pt>
    <dgm:pt modelId="{96F685D5-8079-4A0B-8B1E-F29BA7666633}" type="pres">
      <dgm:prSet presAssocID="{EC21EF26-6879-4DDC-9A33-F44A8F8C849D}" presName="rootConnector" presStyleLbl="node3" presStyleIdx="7" presStyleCnt="10"/>
      <dgm:spPr/>
    </dgm:pt>
    <dgm:pt modelId="{E4BA2337-CABF-4B25-8A0D-073A592642C5}" type="pres">
      <dgm:prSet presAssocID="{EC21EF26-6879-4DDC-9A33-F44A8F8C849D}" presName="hierChild4" presStyleCnt="0"/>
      <dgm:spPr/>
    </dgm:pt>
    <dgm:pt modelId="{58EDB4D3-AB73-4A46-BDAD-2D8823718EDB}" type="pres">
      <dgm:prSet presAssocID="{EC21EF26-6879-4DDC-9A33-F44A8F8C849D}" presName="hierChild5" presStyleCnt="0"/>
      <dgm:spPr/>
    </dgm:pt>
    <dgm:pt modelId="{47A46E4E-D0DE-47F3-AB7A-DDD75C5A2655}" type="pres">
      <dgm:prSet presAssocID="{7D3B2ACC-5787-4CCE-8EFC-D641273D35D1}" presName="Name37" presStyleLbl="parChTrans1D3" presStyleIdx="8" presStyleCnt="10"/>
      <dgm:spPr/>
    </dgm:pt>
    <dgm:pt modelId="{21E46E1A-2736-417A-9925-01A3DD3691CD}" type="pres">
      <dgm:prSet presAssocID="{06F1F2E1-13EB-4B8D-92FA-32AACAB76A55}" presName="hierRoot2" presStyleCnt="0">
        <dgm:presLayoutVars>
          <dgm:hierBranch val="init"/>
        </dgm:presLayoutVars>
      </dgm:prSet>
      <dgm:spPr/>
    </dgm:pt>
    <dgm:pt modelId="{8250C5A5-522B-4F76-BF87-665C3B464623}" type="pres">
      <dgm:prSet presAssocID="{06F1F2E1-13EB-4B8D-92FA-32AACAB76A55}" presName="rootComposite" presStyleCnt="0"/>
      <dgm:spPr/>
    </dgm:pt>
    <dgm:pt modelId="{94633C69-C16C-438E-A763-A884272E766D}" type="pres">
      <dgm:prSet presAssocID="{06F1F2E1-13EB-4B8D-92FA-32AACAB76A55}" presName="rootText" presStyleLbl="node3" presStyleIdx="8" presStyleCnt="10" custScaleX="101436" custScaleY="53031">
        <dgm:presLayoutVars>
          <dgm:chPref val="3"/>
        </dgm:presLayoutVars>
      </dgm:prSet>
      <dgm:spPr/>
    </dgm:pt>
    <dgm:pt modelId="{4DE997DD-A6AD-4EE2-8488-2FC365EE85E8}" type="pres">
      <dgm:prSet presAssocID="{06F1F2E1-13EB-4B8D-92FA-32AACAB76A55}" presName="rootConnector" presStyleLbl="node3" presStyleIdx="8" presStyleCnt="10"/>
      <dgm:spPr/>
    </dgm:pt>
    <dgm:pt modelId="{B46C7BB6-4743-4A93-99F2-C2FE9DDE26B7}" type="pres">
      <dgm:prSet presAssocID="{06F1F2E1-13EB-4B8D-92FA-32AACAB76A55}" presName="hierChild4" presStyleCnt="0"/>
      <dgm:spPr/>
    </dgm:pt>
    <dgm:pt modelId="{9C832270-C6FB-4995-9926-82F162C5E676}" type="pres">
      <dgm:prSet presAssocID="{06F1F2E1-13EB-4B8D-92FA-32AACAB76A55}" presName="hierChild5" presStyleCnt="0"/>
      <dgm:spPr/>
    </dgm:pt>
    <dgm:pt modelId="{27EEF3D7-C3DE-4060-824D-EE219A6B19C5}" type="pres">
      <dgm:prSet presAssocID="{42984728-8E9B-455D-8D84-956155DEDBD4}" presName="Name37" presStyleLbl="parChTrans1D3" presStyleIdx="9" presStyleCnt="10"/>
      <dgm:spPr/>
    </dgm:pt>
    <dgm:pt modelId="{D856855C-D280-43C0-8A7B-83EF0841246E}" type="pres">
      <dgm:prSet presAssocID="{EB24F985-03EE-4855-BB10-5E26025B772D}" presName="hierRoot2" presStyleCnt="0">
        <dgm:presLayoutVars>
          <dgm:hierBranch val="init"/>
        </dgm:presLayoutVars>
      </dgm:prSet>
      <dgm:spPr/>
    </dgm:pt>
    <dgm:pt modelId="{04E7EA1F-0002-4A64-9EC3-FEDE2ABD3595}" type="pres">
      <dgm:prSet presAssocID="{EB24F985-03EE-4855-BB10-5E26025B772D}" presName="rootComposite" presStyleCnt="0"/>
      <dgm:spPr/>
    </dgm:pt>
    <dgm:pt modelId="{6EF1134B-A6BD-4D2E-A95A-3429961C5C2E}" type="pres">
      <dgm:prSet presAssocID="{EB24F985-03EE-4855-BB10-5E26025B772D}" presName="rootText" presStyleLbl="node3" presStyleIdx="9" presStyleCnt="10" custScaleX="101436" custScaleY="53031">
        <dgm:presLayoutVars>
          <dgm:chPref val="3"/>
        </dgm:presLayoutVars>
      </dgm:prSet>
      <dgm:spPr/>
    </dgm:pt>
    <dgm:pt modelId="{874F6F1C-88AA-4359-BED1-50AE66DB6C9C}" type="pres">
      <dgm:prSet presAssocID="{EB24F985-03EE-4855-BB10-5E26025B772D}" presName="rootConnector" presStyleLbl="node3" presStyleIdx="9" presStyleCnt="10"/>
      <dgm:spPr/>
    </dgm:pt>
    <dgm:pt modelId="{3E17FC30-A32C-475F-A9FC-EA51100A1A74}" type="pres">
      <dgm:prSet presAssocID="{EB24F985-03EE-4855-BB10-5E26025B772D}" presName="hierChild4" presStyleCnt="0"/>
      <dgm:spPr/>
    </dgm:pt>
    <dgm:pt modelId="{3BC39A7B-03A5-4F3C-A6F6-9C396D00A379}" type="pres">
      <dgm:prSet presAssocID="{EB24F985-03EE-4855-BB10-5E26025B772D}" presName="hierChild5" presStyleCnt="0"/>
      <dgm:spPr/>
    </dgm:pt>
    <dgm:pt modelId="{BEADB95F-EC00-4538-A51A-9E36B2EFDD00}" type="pres">
      <dgm:prSet presAssocID="{E7675537-D4E4-4D1A-976D-BAF00965E3ED}" presName="hierChild5" presStyleCnt="0"/>
      <dgm:spPr/>
    </dgm:pt>
    <dgm:pt modelId="{AE16937B-5205-4FB1-A00A-FA55497D4A62}" type="pres">
      <dgm:prSet presAssocID="{3AD7DE36-0566-4C00-86C5-57696856337F}" presName="hierChild3" presStyleCnt="0"/>
      <dgm:spPr/>
    </dgm:pt>
  </dgm:ptLst>
  <dgm:cxnLst>
    <dgm:cxn modelId="{00A66C02-81CF-4189-9E22-B7CB6BD947BB}" srcId="{197F5383-01A2-44A5-A04F-B44ABE0E5AB3}" destId="{A6B4916A-2197-4FC4-8208-043994B9A5E9}" srcOrd="4" destOrd="0" parTransId="{8CDD4556-DF01-471B-8C53-645C7C7FE59D}" sibTransId="{5391124D-1829-4766-BCF5-C614C022A801}"/>
    <dgm:cxn modelId="{5BA2010A-1FEF-45FE-A210-DDEFABA118C8}" type="presOf" srcId="{EB24F985-03EE-4855-BB10-5E26025B772D}" destId="{874F6F1C-88AA-4359-BED1-50AE66DB6C9C}" srcOrd="1" destOrd="0" presId="urn:microsoft.com/office/officeart/2005/8/layout/orgChart1"/>
    <dgm:cxn modelId="{F9242F16-8913-4830-8375-07299B5160AF}" type="presOf" srcId="{1FE526D5-7EC0-4EDF-ABC9-44C5E056F8FE}" destId="{A942DDC7-4410-4ACA-8FB2-086B25E22D55}" srcOrd="0" destOrd="0" presId="urn:microsoft.com/office/officeart/2005/8/layout/orgChart1"/>
    <dgm:cxn modelId="{5478A017-5077-4BC0-B54D-0D7C13D28583}" srcId="{E7675537-D4E4-4D1A-976D-BAF00965E3ED}" destId="{F4B13641-8653-456A-A214-5F81662C8096}" srcOrd="0" destOrd="0" parTransId="{196ACC7B-0B96-4D8E-9D53-D336B7332500}" sibTransId="{8A17C78D-D481-4478-902F-3A9AC7357349}"/>
    <dgm:cxn modelId="{1AC07B1B-C45B-4934-9181-383F03FA51C3}" type="presOf" srcId="{EC21EF26-6879-4DDC-9A33-F44A8F8C849D}" destId="{96F685D5-8079-4A0B-8B1E-F29BA7666633}" srcOrd="1" destOrd="0" presId="urn:microsoft.com/office/officeart/2005/8/layout/orgChart1"/>
    <dgm:cxn modelId="{3CBE911D-AB27-4928-A3FC-CD581EF23E8A}" type="presOf" srcId="{42984728-8E9B-455D-8D84-956155DEDBD4}" destId="{27EEF3D7-C3DE-4060-824D-EE219A6B19C5}" srcOrd="0" destOrd="0" presId="urn:microsoft.com/office/officeart/2005/8/layout/orgChart1"/>
    <dgm:cxn modelId="{22703321-359D-40D4-B9C7-7F213DBB5F85}" type="presOf" srcId="{06F1F2E1-13EB-4B8D-92FA-32AACAB76A55}" destId="{94633C69-C16C-438E-A763-A884272E766D}" srcOrd="0" destOrd="0" presId="urn:microsoft.com/office/officeart/2005/8/layout/orgChart1"/>
    <dgm:cxn modelId="{14F62022-5DFA-406D-A857-B79B0D153C78}" type="presOf" srcId="{1802777D-C91D-4577-98F6-A3E76DEB0D7E}" destId="{496C5E8E-ACA9-445E-9098-0DB54443B49E}" srcOrd="0" destOrd="0" presId="urn:microsoft.com/office/officeart/2005/8/layout/orgChart1"/>
    <dgm:cxn modelId="{A4606623-AE09-41DB-8464-2BFE8CE6C195}" type="presOf" srcId="{1FE526D5-7EC0-4EDF-ABC9-44C5E056F8FE}" destId="{B2683D03-4F56-43C0-A59C-DC6206C049E5}" srcOrd="1" destOrd="0" presId="urn:microsoft.com/office/officeart/2005/8/layout/orgChart1"/>
    <dgm:cxn modelId="{43560B24-2147-4292-AC3B-80CD84C0D928}" type="presOf" srcId="{3AD7DE36-0566-4C00-86C5-57696856337F}" destId="{DF7A278E-FFD6-457B-88AD-89350CA9AE08}" srcOrd="1" destOrd="0" presId="urn:microsoft.com/office/officeart/2005/8/layout/orgChart1"/>
    <dgm:cxn modelId="{4DFB2025-199C-4D12-BCBA-18F2C9C59473}" type="presOf" srcId="{1E615AF1-26AB-4675-AEF4-E3003D1407D3}" destId="{2027E8C0-9354-45D4-AF07-48B51BA68589}" srcOrd="1" destOrd="0" presId="urn:microsoft.com/office/officeart/2005/8/layout/orgChart1"/>
    <dgm:cxn modelId="{6796F42F-C616-4559-90A5-619B38AA2C14}" type="presOf" srcId="{F4B13641-8653-456A-A214-5F81662C8096}" destId="{C0AF2481-F5C3-4095-AA7D-205A1599F369}" srcOrd="1" destOrd="0" presId="urn:microsoft.com/office/officeart/2005/8/layout/orgChart1"/>
    <dgm:cxn modelId="{D2A4C730-A452-4A3D-9ABA-1A8A0B686ECB}" type="presOf" srcId="{0257489B-A785-4EFA-BA92-81A2B93A55C0}" destId="{624AE2F1-0B6E-4B03-944C-BD86054AAD1E}" srcOrd="0" destOrd="0" presId="urn:microsoft.com/office/officeart/2005/8/layout/orgChart1"/>
    <dgm:cxn modelId="{3B9B7A3B-4F01-41F0-8FBA-111760F5B1AA}" srcId="{197F5383-01A2-44A5-A04F-B44ABE0E5AB3}" destId="{1E615AF1-26AB-4675-AEF4-E3003D1407D3}" srcOrd="2" destOrd="0" parTransId="{A3127E90-785C-43BC-8AD7-3EC63BFACE0C}" sibTransId="{46A320F2-EBFC-4DFE-9AB7-09D0116A40CF}"/>
    <dgm:cxn modelId="{8E5D5B3C-EAC1-4261-A7F3-488AA3ED73D1}" type="presOf" srcId="{197F5383-01A2-44A5-A04F-B44ABE0E5AB3}" destId="{B5B90069-BA93-4285-9ADC-221024B05DB4}" srcOrd="0" destOrd="0" presId="urn:microsoft.com/office/officeart/2005/8/layout/orgChart1"/>
    <dgm:cxn modelId="{0B4DA33C-1AD6-4690-8ED1-394B86C7F5D4}" type="presOf" srcId="{EC21EF26-6879-4DDC-9A33-F44A8F8C849D}" destId="{F277CEBE-45B6-4FA2-955B-4C4AA557705C}" srcOrd="0" destOrd="0" presId="urn:microsoft.com/office/officeart/2005/8/layout/orgChart1"/>
    <dgm:cxn modelId="{3887A15B-DD49-4575-84AB-CD79CE3B8FC7}" srcId="{197F5383-01A2-44A5-A04F-B44ABE0E5AB3}" destId="{1FE526D5-7EC0-4EDF-ABC9-44C5E056F8FE}" srcOrd="1" destOrd="0" parTransId="{1E846F8B-8DC9-4843-9455-EE2161F16ECF}" sibTransId="{E6269462-8E16-4AC5-9E05-811EBE327321}"/>
    <dgm:cxn modelId="{7BEAAE5B-B4B9-48E5-BC5F-C9610CC6CD7A}" type="presOf" srcId="{3AD7DE36-0566-4C00-86C5-57696856337F}" destId="{FF6ACBDB-F3B6-4FAD-A5A2-D60165C9C78B}" srcOrd="0" destOrd="0" presId="urn:microsoft.com/office/officeart/2005/8/layout/orgChart1"/>
    <dgm:cxn modelId="{DB1D7943-6AD3-4EDD-BCDF-FABF70DC3BE8}" type="presOf" srcId="{197F5383-01A2-44A5-A04F-B44ABE0E5AB3}" destId="{F7CDC63D-8D37-4E2D-A0BA-5E6800D96D6A}" srcOrd="1" destOrd="0" presId="urn:microsoft.com/office/officeart/2005/8/layout/orgChart1"/>
    <dgm:cxn modelId="{04F68C63-22DC-4CF3-8E2C-4866A10C889B}" type="presOf" srcId="{EB24F985-03EE-4855-BB10-5E26025B772D}" destId="{6EF1134B-A6BD-4D2E-A95A-3429961C5C2E}" srcOrd="0" destOrd="0" presId="urn:microsoft.com/office/officeart/2005/8/layout/orgChart1"/>
    <dgm:cxn modelId="{D64E0D46-864A-404A-8E00-978391460E26}" type="presOf" srcId="{196ACC7B-0B96-4D8E-9D53-D336B7332500}" destId="{053710A0-BF1F-400D-9672-AC5347932330}" srcOrd="0" destOrd="0" presId="urn:microsoft.com/office/officeart/2005/8/layout/orgChart1"/>
    <dgm:cxn modelId="{23BA4067-BA05-463F-A141-85C1166EBE68}" srcId="{3AD7DE36-0566-4C00-86C5-57696856337F}" destId="{E7675537-D4E4-4D1A-976D-BAF00965E3ED}" srcOrd="1" destOrd="0" parTransId="{87B0CCFD-2B55-4CCE-865D-84C3BA1B0E20}" sibTransId="{53D211D2-0E94-44B8-A37B-1DDABFA7D3A9}"/>
    <dgm:cxn modelId="{CF587E69-B265-439A-A504-141DBB9DDA88}" type="presOf" srcId="{A3127E90-785C-43BC-8AD7-3EC63BFACE0C}" destId="{103A73D5-7279-49CD-AE34-9FC4860317AF}" srcOrd="0" destOrd="0" presId="urn:microsoft.com/office/officeart/2005/8/layout/orgChart1"/>
    <dgm:cxn modelId="{9DC6A04A-67B0-43B2-8090-D42811FDC9F5}" srcId="{E7675537-D4E4-4D1A-976D-BAF00965E3ED}" destId="{00E0869B-E809-47EF-AF36-A3318AD71B60}" srcOrd="1" destOrd="0" parTransId="{52505E1E-1244-4613-BE9B-EBD6FFDD9C47}" sibTransId="{D638390E-6C9A-4300-B3DA-A69E6810211A}"/>
    <dgm:cxn modelId="{8E017171-DA04-46E8-A52D-47DC4FC2C5E6}" type="presOf" srcId="{62FFE16D-DDE1-4DC5-A1F2-DB5CE21E498C}" destId="{BF1B5725-C754-4962-BA9D-7A34654684BE}" srcOrd="0" destOrd="0" presId="urn:microsoft.com/office/officeart/2005/8/layout/orgChart1"/>
    <dgm:cxn modelId="{6F577D71-4BFD-44BB-AAC7-43272FB373D3}" type="presOf" srcId="{00E0869B-E809-47EF-AF36-A3318AD71B60}" destId="{24E4153E-9CE7-4C04-B0F2-39CD3836DC5B}" srcOrd="1" destOrd="0" presId="urn:microsoft.com/office/officeart/2005/8/layout/orgChart1"/>
    <dgm:cxn modelId="{08974D73-716D-43C7-9E56-316CCEDD927E}" type="presOf" srcId="{06F1F2E1-13EB-4B8D-92FA-32AACAB76A55}" destId="{4DE997DD-A6AD-4EE2-8488-2FC365EE85E8}" srcOrd="1" destOrd="0" presId="urn:microsoft.com/office/officeart/2005/8/layout/orgChart1"/>
    <dgm:cxn modelId="{1DDD7473-139A-48CD-BB6E-4797B39C07A7}" type="presOf" srcId="{7500F01C-0794-4F38-A855-5D2527AC619E}" destId="{1F0C3F54-DDF8-4CE7-9253-BA663D2ECA5F}" srcOrd="0" destOrd="0" presId="urn:microsoft.com/office/officeart/2005/8/layout/orgChart1"/>
    <dgm:cxn modelId="{8E07E07A-F416-4B74-BABF-D54A36C999FC}" type="presOf" srcId="{00E0869B-E809-47EF-AF36-A3318AD71B60}" destId="{2877E533-7117-420C-9338-DA342CF84680}" srcOrd="0" destOrd="0" presId="urn:microsoft.com/office/officeart/2005/8/layout/orgChart1"/>
    <dgm:cxn modelId="{0C585F7B-1A19-42F6-A9C0-80ABE3070386}" type="presOf" srcId="{7D3B2ACC-5787-4CCE-8EFC-D641273D35D1}" destId="{47A46E4E-D0DE-47F3-AB7A-DDD75C5A2655}" srcOrd="0" destOrd="0" presId="urn:microsoft.com/office/officeart/2005/8/layout/orgChart1"/>
    <dgm:cxn modelId="{F17A4990-8EE0-474B-BC7B-8271C0165723}" type="presOf" srcId="{87B0CCFD-2B55-4CCE-865D-84C3BA1B0E20}" destId="{EFF5621E-36A6-482B-A5B1-8F8083DAAF2E}" srcOrd="0" destOrd="0" presId="urn:microsoft.com/office/officeart/2005/8/layout/orgChart1"/>
    <dgm:cxn modelId="{AE6B6D99-9641-42DD-818B-638AAC072E45}" type="presOf" srcId="{BF1AAAF2-65F5-404D-B4AC-5CA744DA01D6}" destId="{A16D1BD6-6FCE-4625-9D9A-1BC8EF24E92E}" srcOrd="0" destOrd="0" presId="urn:microsoft.com/office/officeart/2005/8/layout/orgChart1"/>
    <dgm:cxn modelId="{81D148A4-A02F-412B-A724-588332388B3C}" type="presOf" srcId="{9E4A976E-B09F-467F-A8DD-52EEA21F2783}" destId="{7BE7D5F8-E489-4EB0-A374-3CB43F98E1CD}" srcOrd="1" destOrd="0" presId="urn:microsoft.com/office/officeart/2005/8/layout/orgChart1"/>
    <dgm:cxn modelId="{728734A5-3E1E-472F-BB2A-8C0FEF454200}" type="presOf" srcId="{52505E1E-1244-4613-BE9B-EBD6FFDD9C47}" destId="{49F4F1CA-64BA-4E4D-BBCA-ADB20C00DA76}" srcOrd="0" destOrd="0" presId="urn:microsoft.com/office/officeart/2005/8/layout/orgChart1"/>
    <dgm:cxn modelId="{6E8280A6-EFF0-455C-892B-E4002B95B1CA}" srcId="{197F5383-01A2-44A5-A04F-B44ABE0E5AB3}" destId="{9E4A976E-B09F-467F-A8DD-52EEA21F2783}" srcOrd="0" destOrd="0" parTransId="{1802777D-C91D-4577-98F6-A3E76DEB0D7E}" sibTransId="{9C6B5426-2ED7-47E8-A563-2CACC4F78F61}"/>
    <dgm:cxn modelId="{41CF79AC-6D67-4F5F-BF0C-CBCBB7006D45}" type="presOf" srcId="{E7675537-D4E4-4D1A-976D-BAF00965E3ED}" destId="{B61D208F-1CA9-4D8D-80B4-A6AFC7DA685A}" srcOrd="1" destOrd="0" presId="urn:microsoft.com/office/officeart/2005/8/layout/orgChart1"/>
    <dgm:cxn modelId="{37EBF0B0-4929-4FDC-99D6-894F5CBCB09E}" type="presOf" srcId="{F4B13641-8653-456A-A214-5F81662C8096}" destId="{43809BF1-FB9A-46C1-AD53-71FCF971BD7D}" srcOrd="0" destOrd="0" presId="urn:microsoft.com/office/officeart/2005/8/layout/orgChart1"/>
    <dgm:cxn modelId="{A6CA5CC0-6223-44C3-863A-7CFEE4F06E32}" type="presOf" srcId="{E7675537-D4E4-4D1A-976D-BAF00965E3ED}" destId="{15B97DF9-1E4D-4CB9-8522-6760A01B80C7}" srcOrd="0" destOrd="0" presId="urn:microsoft.com/office/officeart/2005/8/layout/orgChart1"/>
    <dgm:cxn modelId="{F95BA1C7-1500-4D81-BA72-EFECC833121B}" type="presOf" srcId="{62FFE16D-DDE1-4DC5-A1F2-DB5CE21E498C}" destId="{6832BD0A-6845-42EA-8D17-A32EA8A63172}" srcOrd="1" destOrd="0" presId="urn:microsoft.com/office/officeart/2005/8/layout/orgChart1"/>
    <dgm:cxn modelId="{7AC42EC8-D390-478B-A86B-38279865C426}" srcId="{3AD7DE36-0566-4C00-86C5-57696856337F}" destId="{197F5383-01A2-44A5-A04F-B44ABE0E5AB3}" srcOrd="0" destOrd="0" parTransId="{7500F01C-0794-4F38-A855-5D2527AC619E}" sibTransId="{156F3E13-9465-4C39-BE77-24360BACB7CC}"/>
    <dgm:cxn modelId="{123680C8-AD25-4E7B-A3D2-6FC286285768}" type="presOf" srcId="{8CDD4556-DF01-471B-8C53-645C7C7FE59D}" destId="{736C4708-509A-4C57-B26F-5D79437FBD96}" srcOrd="0" destOrd="0" presId="urn:microsoft.com/office/officeart/2005/8/layout/orgChart1"/>
    <dgm:cxn modelId="{8AA0B1C9-7FDB-4199-A79A-8FAA87F4C52B}" type="presOf" srcId="{9E4A976E-B09F-467F-A8DD-52EEA21F2783}" destId="{E8CEFF81-4D20-48B6-B7A6-583EE037CDD4}" srcOrd="0" destOrd="0" presId="urn:microsoft.com/office/officeart/2005/8/layout/orgChart1"/>
    <dgm:cxn modelId="{3956B7CE-974A-4C02-871C-9FA8D278F980}" srcId="{E7675537-D4E4-4D1A-976D-BAF00965E3ED}" destId="{EC21EF26-6879-4DDC-9A33-F44A8F8C849D}" srcOrd="2" destOrd="0" parTransId="{0257489B-A785-4EFA-BA92-81A2B93A55C0}" sibTransId="{03293C29-E838-4E77-9A7F-AD6F39FCCFD0}"/>
    <dgm:cxn modelId="{DC5A3BD4-806E-4FDC-83E9-FC7DEAD9CD5A}" type="presOf" srcId="{1E615AF1-26AB-4675-AEF4-E3003D1407D3}" destId="{3AC6174F-1A15-4B6E-B52A-D960CEAD88D6}" srcOrd="0" destOrd="0" presId="urn:microsoft.com/office/officeart/2005/8/layout/orgChart1"/>
    <dgm:cxn modelId="{E68F54D7-66A5-4B0C-8291-08FB58D398B5}" srcId="{E7675537-D4E4-4D1A-976D-BAF00965E3ED}" destId="{06F1F2E1-13EB-4B8D-92FA-32AACAB76A55}" srcOrd="3" destOrd="0" parTransId="{7D3B2ACC-5787-4CCE-8EFC-D641273D35D1}" sibTransId="{CBA88901-36D6-4CCC-ABE8-B24BF010A179}"/>
    <dgm:cxn modelId="{DDA3D7D9-1F03-4811-A9F7-1D3B6D170878}" type="presOf" srcId="{1E846F8B-8DC9-4843-9455-EE2161F16ECF}" destId="{E41C00B1-25AF-4888-8C11-D11AF165667A}" srcOrd="0" destOrd="0" presId="urn:microsoft.com/office/officeart/2005/8/layout/orgChart1"/>
    <dgm:cxn modelId="{F2FB79DA-9735-4A71-81F2-FAB6B2793A7A}" type="presOf" srcId="{C6735594-E1D8-4436-8624-6C3D213AC961}" destId="{F089A08E-C30B-4FF3-912C-59917CDF2E88}" srcOrd="0" destOrd="0" presId="urn:microsoft.com/office/officeart/2005/8/layout/orgChart1"/>
    <dgm:cxn modelId="{DB04B2E8-F87E-4FBC-B267-23E9F28D5384}" srcId="{197F5383-01A2-44A5-A04F-B44ABE0E5AB3}" destId="{62FFE16D-DDE1-4DC5-A1F2-DB5CE21E498C}" srcOrd="3" destOrd="0" parTransId="{BF1AAAF2-65F5-404D-B4AC-5CA744DA01D6}" sibTransId="{531A6586-26ED-43B0-A487-608C29FED455}"/>
    <dgm:cxn modelId="{D95329F6-3461-4E79-BCC3-DFAC1D48A715}" type="presOf" srcId="{A6B4916A-2197-4FC4-8208-043994B9A5E9}" destId="{66CAA559-48F7-4236-936A-1753D8401667}" srcOrd="0" destOrd="0" presId="urn:microsoft.com/office/officeart/2005/8/layout/orgChart1"/>
    <dgm:cxn modelId="{FC8030F6-4675-45D7-8ADA-FF565FFF8208}" type="presOf" srcId="{A6B4916A-2197-4FC4-8208-043994B9A5E9}" destId="{53D461BF-6E1C-4798-AD22-35DFE04370CA}" srcOrd="1" destOrd="0" presId="urn:microsoft.com/office/officeart/2005/8/layout/orgChart1"/>
    <dgm:cxn modelId="{B4A658F7-10DD-41A4-8AEA-A8384F6D83F3}" srcId="{E7675537-D4E4-4D1A-976D-BAF00965E3ED}" destId="{EB24F985-03EE-4855-BB10-5E26025B772D}" srcOrd="4" destOrd="0" parTransId="{42984728-8E9B-455D-8D84-956155DEDBD4}" sibTransId="{83C55C27-8CF4-4A18-BC51-799A7B6BBAFF}"/>
    <dgm:cxn modelId="{91F0B5FE-BEC2-4510-9456-90543C339D4A}" srcId="{C6735594-E1D8-4436-8624-6C3D213AC961}" destId="{3AD7DE36-0566-4C00-86C5-57696856337F}" srcOrd="0" destOrd="0" parTransId="{FA096AD5-34A9-4556-9818-AF7597C36D1B}" sibTransId="{EE6B5039-5BA1-4A64-8E66-524A96F995FF}"/>
    <dgm:cxn modelId="{F7DF6FBE-D7B9-4DF9-83EF-95CE4847F593}" type="presParOf" srcId="{F089A08E-C30B-4FF3-912C-59917CDF2E88}" destId="{CB9045D3-2A07-4820-B1F1-9DE2A8DF124D}" srcOrd="0" destOrd="0" presId="urn:microsoft.com/office/officeart/2005/8/layout/orgChart1"/>
    <dgm:cxn modelId="{34B503BC-BBA7-4C16-B043-45706EB3A733}" type="presParOf" srcId="{CB9045D3-2A07-4820-B1F1-9DE2A8DF124D}" destId="{3B3A52C9-19E6-499C-8F7C-A7CBD889F868}" srcOrd="0" destOrd="0" presId="urn:microsoft.com/office/officeart/2005/8/layout/orgChart1"/>
    <dgm:cxn modelId="{7A659D84-84DA-4DD6-904E-0D0ED68A12C4}" type="presParOf" srcId="{3B3A52C9-19E6-499C-8F7C-A7CBD889F868}" destId="{FF6ACBDB-F3B6-4FAD-A5A2-D60165C9C78B}" srcOrd="0" destOrd="0" presId="urn:microsoft.com/office/officeart/2005/8/layout/orgChart1"/>
    <dgm:cxn modelId="{32201537-D0B5-48C5-82A0-452CF45C6F51}" type="presParOf" srcId="{3B3A52C9-19E6-499C-8F7C-A7CBD889F868}" destId="{DF7A278E-FFD6-457B-88AD-89350CA9AE08}" srcOrd="1" destOrd="0" presId="urn:microsoft.com/office/officeart/2005/8/layout/orgChart1"/>
    <dgm:cxn modelId="{A26FCA64-ADB2-4BC3-B765-439BFB4E1FBB}" type="presParOf" srcId="{CB9045D3-2A07-4820-B1F1-9DE2A8DF124D}" destId="{5433D24D-6143-496D-96BB-5BB91BAA54CD}" srcOrd="1" destOrd="0" presId="urn:microsoft.com/office/officeart/2005/8/layout/orgChart1"/>
    <dgm:cxn modelId="{77C1741E-A8EC-4BC6-8F85-7BD9137F1BCC}" type="presParOf" srcId="{5433D24D-6143-496D-96BB-5BB91BAA54CD}" destId="{1F0C3F54-DDF8-4CE7-9253-BA663D2ECA5F}" srcOrd="0" destOrd="0" presId="urn:microsoft.com/office/officeart/2005/8/layout/orgChart1"/>
    <dgm:cxn modelId="{0A1D2516-0C47-4680-9CC6-1739BAC3AEB5}" type="presParOf" srcId="{5433D24D-6143-496D-96BB-5BB91BAA54CD}" destId="{0B0BBDF3-7AA3-48A1-869E-79EE99D7B2CB}" srcOrd="1" destOrd="0" presId="urn:microsoft.com/office/officeart/2005/8/layout/orgChart1"/>
    <dgm:cxn modelId="{073B678C-08D2-4DBB-AB4C-2FE7AE76B8D6}" type="presParOf" srcId="{0B0BBDF3-7AA3-48A1-869E-79EE99D7B2CB}" destId="{662A8ED4-C96C-40DD-94B2-2B07450CD672}" srcOrd="0" destOrd="0" presId="urn:microsoft.com/office/officeart/2005/8/layout/orgChart1"/>
    <dgm:cxn modelId="{B942BFEC-6A7B-4A17-AA06-0B3BFCC96E52}" type="presParOf" srcId="{662A8ED4-C96C-40DD-94B2-2B07450CD672}" destId="{B5B90069-BA93-4285-9ADC-221024B05DB4}" srcOrd="0" destOrd="0" presId="urn:microsoft.com/office/officeart/2005/8/layout/orgChart1"/>
    <dgm:cxn modelId="{B2F875E7-491A-47B9-BD12-C672D2B63D28}" type="presParOf" srcId="{662A8ED4-C96C-40DD-94B2-2B07450CD672}" destId="{F7CDC63D-8D37-4E2D-A0BA-5E6800D96D6A}" srcOrd="1" destOrd="0" presId="urn:microsoft.com/office/officeart/2005/8/layout/orgChart1"/>
    <dgm:cxn modelId="{D854B2B8-06EF-4968-B256-85B6BA2775DE}" type="presParOf" srcId="{0B0BBDF3-7AA3-48A1-869E-79EE99D7B2CB}" destId="{0ADC695C-8047-4CCD-92D1-5E426F189F94}" srcOrd="1" destOrd="0" presId="urn:microsoft.com/office/officeart/2005/8/layout/orgChart1"/>
    <dgm:cxn modelId="{3E2EBED3-23D7-423C-8472-6B7A525F46E9}" type="presParOf" srcId="{0ADC695C-8047-4CCD-92D1-5E426F189F94}" destId="{496C5E8E-ACA9-445E-9098-0DB54443B49E}" srcOrd="0" destOrd="0" presId="urn:microsoft.com/office/officeart/2005/8/layout/orgChart1"/>
    <dgm:cxn modelId="{906827C9-327E-4D4A-A975-A2B45D21884E}" type="presParOf" srcId="{0ADC695C-8047-4CCD-92D1-5E426F189F94}" destId="{8F8BE406-4CC3-439B-926E-50B5FE401BDB}" srcOrd="1" destOrd="0" presId="urn:microsoft.com/office/officeart/2005/8/layout/orgChart1"/>
    <dgm:cxn modelId="{85FD4DE6-6668-4B6D-8426-B03414E4C8A1}" type="presParOf" srcId="{8F8BE406-4CC3-439B-926E-50B5FE401BDB}" destId="{27118E97-53A5-4C49-89BB-C3DA8C0313EC}" srcOrd="0" destOrd="0" presId="urn:microsoft.com/office/officeart/2005/8/layout/orgChart1"/>
    <dgm:cxn modelId="{B2491C45-24DF-46FE-8B5D-6D0E080E097B}" type="presParOf" srcId="{27118E97-53A5-4C49-89BB-C3DA8C0313EC}" destId="{E8CEFF81-4D20-48B6-B7A6-583EE037CDD4}" srcOrd="0" destOrd="0" presId="urn:microsoft.com/office/officeart/2005/8/layout/orgChart1"/>
    <dgm:cxn modelId="{A25E2DA4-A604-4F39-AD93-53A530DF7052}" type="presParOf" srcId="{27118E97-53A5-4C49-89BB-C3DA8C0313EC}" destId="{7BE7D5F8-E489-4EB0-A374-3CB43F98E1CD}" srcOrd="1" destOrd="0" presId="urn:microsoft.com/office/officeart/2005/8/layout/orgChart1"/>
    <dgm:cxn modelId="{8224DCA9-7BAA-4075-8B75-234F6DDABFAD}" type="presParOf" srcId="{8F8BE406-4CC3-439B-926E-50B5FE401BDB}" destId="{55D4E9C1-30F5-4C72-B74F-C4B6C830EB37}" srcOrd="1" destOrd="0" presId="urn:microsoft.com/office/officeart/2005/8/layout/orgChart1"/>
    <dgm:cxn modelId="{57367F37-D767-47A9-8972-95CAAA2EBA0A}" type="presParOf" srcId="{8F8BE406-4CC3-439B-926E-50B5FE401BDB}" destId="{13AAA8B1-094A-43EF-B2E6-8B5BB4F1F51B}" srcOrd="2" destOrd="0" presId="urn:microsoft.com/office/officeart/2005/8/layout/orgChart1"/>
    <dgm:cxn modelId="{94D2530E-534F-43E4-8F35-A64A24E109CD}" type="presParOf" srcId="{0ADC695C-8047-4CCD-92D1-5E426F189F94}" destId="{E41C00B1-25AF-4888-8C11-D11AF165667A}" srcOrd="2" destOrd="0" presId="urn:microsoft.com/office/officeart/2005/8/layout/orgChart1"/>
    <dgm:cxn modelId="{AB493F38-819C-4820-8ABD-A3B9639F7C25}" type="presParOf" srcId="{0ADC695C-8047-4CCD-92D1-5E426F189F94}" destId="{1A484E6C-9805-49D7-B1B3-5CC46C4AEBA9}" srcOrd="3" destOrd="0" presId="urn:microsoft.com/office/officeart/2005/8/layout/orgChart1"/>
    <dgm:cxn modelId="{662C5CDA-D483-44FE-9A08-D65AF1297260}" type="presParOf" srcId="{1A484E6C-9805-49D7-B1B3-5CC46C4AEBA9}" destId="{4FC5379B-B2EA-48D2-99E2-0955E3D6E613}" srcOrd="0" destOrd="0" presId="urn:microsoft.com/office/officeart/2005/8/layout/orgChart1"/>
    <dgm:cxn modelId="{CC0E4D03-21F0-447D-8B32-EE12C7B44D48}" type="presParOf" srcId="{4FC5379B-B2EA-48D2-99E2-0955E3D6E613}" destId="{A942DDC7-4410-4ACA-8FB2-086B25E22D55}" srcOrd="0" destOrd="0" presId="urn:microsoft.com/office/officeart/2005/8/layout/orgChart1"/>
    <dgm:cxn modelId="{E72D0957-DA68-405F-9D48-70C4B3C18888}" type="presParOf" srcId="{4FC5379B-B2EA-48D2-99E2-0955E3D6E613}" destId="{B2683D03-4F56-43C0-A59C-DC6206C049E5}" srcOrd="1" destOrd="0" presId="urn:microsoft.com/office/officeart/2005/8/layout/orgChart1"/>
    <dgm:cxn modelId="{7F7C643B-98C7-4479-B87F-EFD45D7F2BA9}" type="presParOf" srcId="{1A484E6C-9805-49D7-B1B3-5CC46C4AEBA9}" destId="{972225C0-8992-439F-B6DA-C45F81BED17B}" srcOrd="1" destOrd="0" presId="urn:microsoft.com/office/officeart/2005/8/layout/orgChart1"/>
    <dgm:cxn modelId="{68B0BC1E-9DEE-4A43-BAEA-FB875FC2C7AA}" type="presParOf" srcId="{1A484E6C-9805-49D7-B1B3-5CC46C4AEBA9}" destId="{C4D49B11-16F0-4572-AC66-9D713E1B5838}" srcOrd="2" destOrd="0" presId="urn:microsoft.com/office/officeart/2005/8/layout/orgChart1"/>
    <dgm:cxn modelId="{1CA133ED-3DAF-41BA-A18F-993F8D3C3C6D}" type="presParOf" srcId="{0ADC695C-8047-4CCD-92D1-5E426F189F94}" destId="{103A73D5-7279-49CD-AE34-9FC4860317AF}" srcOrd="4" destOrd="0" presId="urn:microsoft.com/office/officeart/2005/8/layout/orgChart1"/>
    <dgm:cxn modelId="{22DA9CEA-C628-41B9-A460-0D793429BAD6}" type="presParOf" srcId="{0ADC695C-8047-4CCD-92D1-5E426F189F94}" destId="{32ECD5CC-01BC-4182-9CD4-235015B27A3C}" srcOrd="5" destOrd="0" presId="urn:microsoft.com/office/officeart/2005/8/layout/orgChart1"/>
    <dgm:cxn modelId="{A475CDBC-FB0C-4D6F-BBFD-54EC3874FF9C}" type="presParOf" srcId="{32ECD5CC-01BC-4182-9CD4-235015B27A3C}" destId="{C11426E0-A858-42C2-BD29-2437D08CAF0E}" srcOrd="0" destOrd="0" presId="urn:microsoft.com/office/officeart/2005/8/layout/orgChart1"/>
    <dgm:cxn modelId="{14D00D4F-D556-43A2-8BF5-08F4CD405AD0}" type="presParOf" srcId="{C11426E0-A858-42C2-BD29-2437D08CAF0E}" destId="{3AC6174F-1A15-4B6E-B52A-D960CEAD88D6}" srcOrd="0" destOrd="0" presId="urn:microsoft.com/office/officeart/2005/8/layout/orgChart1"/>
    <dgm:cxn modelId="{FDA31E7A-2079-4546-8362-3EA57491EDF1}" type="presParOf" srcId="{C11426E0-A858-42C2-BD29-2437D08CAF0E}" destId="{2027E8C0-9354-45D4-AF07-48B51BA68589}" srcOrd="1" destOrd="0" presId="urn:microsoft.com/office/officeart/2005/8/layout/orgChart1"/>
    <dgm:cxn modelId="{D2BCDF4C-3FAE-471C-B7EB-DBC22E1B3540}" type="presParOf" srcId="{32ECD5CC-01BC-4182-9CD4-235015B27A3C}" destId="{04EB18D8-3BD8-446D-ADC7-4377E376DA74}" srcOrd="1" destOrd="0" presId="urn:microsoft.com/office/officeart/2005/8/layout/orgChart1"/>
    <dgm:cxn modelId="{C1706EAD-4BFC-4675-A8F0-DC19B554CE23}" type="presParOf" srcId="{32ECD5CC-01BC-4182-9CD4-235015B27A3C}" destId="{0B4628D6-3C8B-47B8-8ECF-3D0F99D3E7D5}" srcOrd="2" destOrd="0" presId="urn:microsoft.com/office/officeart/2005/8/layout/orgChart1"/>
    <dgm:cxn modelId="{B5CFF52E-5215-4EAC-BE31-CBB6BAEAF271}" type="presParOf" srcId="{0ADC695C-8047-4CCD-92D1-5E426F189F94}" destId="{A16D1BD6-6FCE-4625-9D9A-1BC8EF24E92E}" srcOrd="6" destOrd="0" presId="urn:microsoft.com/office/officeart/2005/8/layout/orgChart1"/>
    <dgm:cxn modelId="{C10FB3C1-B643-409F-BC8D-277C7CC63941}" type="presParOf" srcId="{0ADC695C-8047-4CCD-92D1-5E426F189F94}" destId="{D204F19C-31D4-4B2B-AD70-1BAA10EA0912}" srcOrd="7" destOrd="0" presId="urn:microsoft.com/office/officeart/2005/8/layout/orgChart1"/>
    <dgm:cxn modelId="{47D7B0B4-367A-40C4-81E5-46BAA200866B}" type="presParOf" srcId="{D204F19C-31D4-4B2B-AD70-1BAA10EA0912}" destId="{91560EFF-B94E-4A6F-8F7C-8BE0A7713E30}" srcOrd="0" destOrd="0" presId="urn:microsoft.com/office/officeart/2005/8/layout/orgChart1"/>
    <dgm:cxn modelId="{F063EC9F-6595-4C12-AED9-33D95622F9AB}" type="presParOf" srcId="{91560EFF-B94E-4A6F-8F7C-8BE0A7713E30}" destId="{BF1B5725-C754-4962-BA9D-7A34654684BE}" srcOrd="0" destOrd="0" presId="urn:microsoft.com/office/officeart/2005/8/layout/orgChart1"/>
    <dgm:cxn modelId="{9E201A7D-FCDD-4DBC-9C7D-F8151735DFB0}" type="presParOf" srcId="{91560EFF-B94E-4A6F-8F7C-8BE0A7713E30}" destId="{6832BD0A-6845-42EA-8D17-A32EA8A63172}" srcOrd="1" destOrd="0" presId="urn:microsoft.com/office/officeart/2005/8/layout/orgChart1"/>
    <dgm:cxn modelId="{0D17DA60-AA73-42AE-8237-B7B700984577}" type="presParOf" srcId="{D204F19C-31D4-4B2B-AD70-1BAA10EA0912}" destId="{083A1F22-81DF-400E-935F-20B9EDB4762D}" srcOrd="1" destOrd="0" presId="urn:microsoft.com/office/officeart/2005/8/layout/orgChart1"/>
    <dgm:cxn modelId="{EDB13357-AD71-41C2-B1DA-086AC4704ACB}" type="presParOf" srcId="{D204F19C-31D4-4B2B-AD70-1BAA10EA0912}" destId="{DE978EF0-4BCE-475D-9A65-E93680ED72CC}" srcOrd="2" destOrd="0" presId="urn:microsoft.com/office/officeart/2005/8/layout/orgChart1"/>
    <dgm:cxn modelId="{5195B5EA-3CFF-4E57-AEE9-068BA952093D}" type="presParOf" srcId="{0ADC695C-8047-4CCD-92D1-5E426F189F94}" destId="{736C4708-509A-4C57-B26F-5D79437FBD96}" srcOrd="8" destOrd="0" presId="urn:microsoft.com/office/officeart/2005/8/layout/orgChart1"/>
    <dgm:cxn modelId="{847E790D-A954-4376-976D-93F3D7BF5DC5}" type="presParOf" srcId="{0ADC695C-8047-4CCD-92D1-5E426F189F94}" destId="{2529E296-4B05-4C5C-9850-98E44653F19B}" srcOrd="9" destOrd="0" presId="urn:microsoft.com/office/officeart/2005/8/layout/orgChart1"/>
    <dgm:cxn modelId="{B9DC311B-1359-44EF-928E-56CB4F0B01F3}" type="presParOf" srcId="{2529E296-4B05-4C5C-9850-98E44653F19B}" destId="{45E7B1BA-6C89-4145-AEBB-4CC8890A26B2}" srcOrd="0" destOrd="0" presId="urn:microsoft.com/office/officeart/2005/8/layout/orgChart1"/>
    <dgm:cxn modelId="{40B75D80-F2F8-441F-9A1C-977FD41482C9}" type="presParOf" srcId="{45E7B1BA-6C89-4145-AEBB-4CC8890A26B2}" destId="{66CAA559-48F7-4236-936A-1753D8401667}" srcOrd="0" destOrd="0" presId="urn:microsoft.com/office/officeart/2005/8/layout/orgChart1"/>
    <dgm:cxn modelId="{3C08DB53-17FE-494A-B040-9EE73431A589}" type="presParOf" srcId="{45E7B1BA-6C89-4145-AEBB-4CC8890A26B2}" destId="{53D461BF-6E1C-4798-AD22-35DFE04370CA}" srcOrd="1" destOrd="0" presId="urn:microsoft.com/office/officeart/2005/8/layout/orgChart1"/>
    <dgm:cxn modelId="{4967A046-406E-4A65-86C5-A5C4E15CAB7A}" type="presParOf" srcId="{2529E296-4B05-4C5C-9850-98E44653F19B}" destId="{37F99796-83F0-4FBA-80FE-AF7C06688536}" srcOrd="1" destOrd="0" presId="urn:microsoft.com/office/officeart/2005/8/layout/orgChart1"/>
    <dgm:cxn modelId="{5A0C97FE-922C-4980-8709-0D22FC1CEA4B}" type="presParOf" srcId="{2529E296-4B05-4C5C-9850-98E44653F19B}" destId="{D58B3F51-6FD0-47A8-8187-0E86DD65EDD0}" srcOrd="2" destOrd="0" presId="urn:microsoft.com/office/officeart/2005/8/layout/orgChart1"/>
    <dgm:cxn modelId="{906B986A-A032-424B-9816-89653EC1F3D5}" type="presParOf" srcId="{0B0BBDF3-7AA3-48A1-869E-79EE99D7B2CB}" destId="{A5FDF6D1-095B-4780-A0B0-FC41D99F432B}" srcOrd="2" destOrd="0" presId="urn:microsoft.com/office/officeart/2005/8/layout/orgChart1"/>
    <dgm:cxn modelId="{B5D08564-BFE8-4E05-8913-108715AA2F7F}" type="presParOf" srcId="{5433D24D-6143-496D-96BB-5BB91BAA54CD}" destId="{EFF5621E-36A6-482B-A5B1-8F8083DAAF2E}" srcOrd="2" destOrd="0" presId="urn:microsoft.com/office/officeart/2005/8/layout/orgChart1"/>
    <dgm:cxn modelId="{878CBAEA-C00C-426D-BD8F-6B0BBD3BB0F1}" type="presParOf" srcId="{5433D24D-6143-496D-96BB-5BB91BAA54CD}" destId="{A5B514FE-9446-4D2A-AA44-C452F78AED1F}" srcOrd="3" destOrd="0" presId="urn:microsoft.com/office/officeart/2005/8/layout/orgChart1"/>
    <dgm:cxn modelId="{19C6A903-A929-4973-A3E2-7AF468771679}" type="presParOf" srcId="{A5B514FE-9446-4D2A-AA44-C452F78AED1F}" destId="{CE612D0D-736B-4CC5-BC63-5C92CC7FAF2A}" srcOrd="0" destOrd="0" presId="urn:microsoft.com/office/officeart/2005/8/layout/orgChart1"/>
    <dgm:cxn modelId="{F3E7823E-D543-498F-B126-28BB1024F38B}" type="presParOf" srcId="{CE612D0D-736B-4CC5-BC63-5C92CC7FAF2A}" destId="{15B97DF9-1E4D-4CB9-8522-6760A01B80C7}" srcOrd="0" destOrd="0" presId="urn:microsoft.com/office/officeart/2005/8/layout/orgChart1"/>
    <dgm:cxn modelId="{5222A936-D5D9-498C-86A6-386B11F9DA2C}" type="presParOf" srcId="{CE612D0D-736B-4CC5-BC63-5C92CC7FAF2A}" destId="{B61D208F-1CA9-4D8D-80B4-A6AFC7DA685A}" srcOrd="1" destOrd="0" presId="urn:microsoft.com/office/officeart/2005/8/layout/orgChart1"/>
    <dgm:cxn modelId="{1CE299D3-BE66-4C9B-A915-5D8EF13A7AE4}" type="presParOf" srcId="{A5B514FE-9446-4D2A-AA44-C452F78AED1F}" destId="{C2D32EFE-4518-4C84-B3ED-9E78A8F2A86B}" srcOrd="1" destOrd="0" presId="urn:microsoft.com/office/officeart/2005/8/layout/orgChart1"/>
    <dgm:cxn modelId="{85EECC57-3EE0-4112-85CC-0C13BC24E502}" type="presParOf" srcId="{C2D32EFE-4518-4C84-B3ED-9E78A8F2A86B}" destId="{053710A0-BF1F-400D-9672-AC5347932330}" srcOrd="0" destOrd="0" presId="urn:microsoft.com/office/officeart/2005/8/layout/orgChart1"/>
    <dgm:cxn modelId="{97B01BA6-E90D-4845-A249-1A090C9F10AC}" type="presParOf" srcId="{C2D32EFE-4518-4C84-B3ED-9E78A8F2A86B}" destId="{2BABD3FA-47A7-4114-B726-B5801B5740F4}" srcOrd="1" destOrd="0" presId="urn:microsoft.com/office/officeart/2005/8/layout/orgChart1"/>
    <dgm:cxn modelId="{B637A3A8-A531-48F5-83B8-469E696D323E}" type="presParOf" srcId="{2BABD3FA-47A7-4114-B726-B5801B5740F4}" destId="{C8436FB0-6042-4D54-8FB7-B784CD1DB97E}" srcOrd="0" destOrd="0" presId="urn:microsoft.com/office/officeart/2005/8/layout/orgChart1"/>
    <dgm:cxn modelId="{F65A9195-591E-4C7A-AA4E-140BA336C9BC}" type="presParOf" srcId="{C8436FB0-6042-4D54-8FB7-B784CD1DB97E}" destId="{43809BF1-FB9A-46C1-AD53-71FCF971BD7D}" srcOrd="0" destOrd="0" presId="urn:microsoft.com/office/officeart/2005/8/layout/orgChart1"/>
    <dgm:cxn modelId="{9A698272-FA69-4082-B15A-E678904C3395}" type="presParOf" srcId="{C8436FB0-6042-4D54-8FB7-B784CD1DB97E}" destId="{C0AF2481-F5C3-4095-AA7D-205A1599F369}" srcOrd="1" destOrd="0" presId="urn:microsoft.com/office/officeart/2005/8/layout/orgChart1"/>
    <dgm:cxn modelId="{E6B65084-BD24-4A7D-B845-84E6CD9A922B}" type="presParOf" srcId="{2BABD3FA-47A7-4114-B726-B5801B5740F4}" destId="{172E0590-6674-4182-A8F4-D38D6266CD34}" srcOrd="1" destOrd="0" presId="urn:microsoft.com/office/officeart/2005/8/layout/orgChart1"/>
    <dgm:cxn modelId="{BB8429C5-BEEF-42BB-A642-581087EFBA03}" type="presParOf" srcId="{2BABD3FA-47A7-4114-B726-B5801B5740F4}" destId="{AF686487-2A73-4F3A-8AC5-8ED7EB5F324E}" srcOrd="2" destOrd="0" presId="urn:microsoft.com/office/officeart/2005/8/layout/orgChart1"/>
    <dgm:cxn modelId="{10173689-6AEE-4C53-A478-102D3739A06D}" type="presParOf" srcId="{C2D32EFE-4518-4C84-B3ED-9E78A8F2A86B}" destId="{49F4F1CA-64BA-4E4D-BBCA-ADB20C00DA76}" srcOrd="2" destOrd="0" presId="urn:microsoft.com/office/officeart/2005/8/layout/orgChart1"/>
    <dgm:cxn modelId="{C141EEE8-7642-4AE2-B25C-8A5735D843D3}" type="presParOf" srcId="{C2D32EFE-4518-4C84-B3ED-9E78A8F2A86B}" destId="{935F406C-8FB1-477E-B2F0-B39A6DFABB0C}" srcOrd="3" destOrd="0" presId="urn:microsoft.com/office/officeart/2005/8/layout/orgChart1"/>
    <dgm:cxn modelId="{39E402FD-9A8F-4A3E-B38E-734C1C302056}" type="presParOf" srcId="{935F406C-8FB1-477E-B2F0-B39A6DFABB0C}" destId="{4C071A70-9A4E-4172-8F3B-298C2A45C4AB}" srcOrd="0" destOrd="0" presId="urn:microsoft.com/office/officeart/2005/8/layout/orgChart1"/>
    <dgm:cxn modelId="{FD140C7E-7BCA-4C31-B1E7-7117BFF21E84}" type="presParOf" srcId="{4C071A70-9A4E-4172-8F3B-298C2A45C4AB}" destId="{2877E533-7117-420C-9338-DA342CF84680}" srcOrd="0" destOrd="0" presId="urn:microsoft.com/office/officeart/2005/8/layout/orgChart1"/>
    <dgm:cxn modelId="{74195621-C0CC-4151-8E37-E22A6F135166}" type="presParOf" srcId="{4C071A70-9A4E-4172-8F3B-298C2A45C4AB}" destId="{24E4153E-9CE7-4C04-B0F2-39CD3836DC5B}" srcOrd="1" destOrd="0" presId="urn:microsoft.com/office/officeart/2005/8/layout/orgChart1"/>
    <dgm:cxn modelId="{F1FDB16A-4353-4C89-80F9-37DDE6AB3BD5}" type="presParOf" srcId="{935F406C-8FB1-477E-B2F0-B39A6DFABB0C}" destId="{36105B76-6D70-4230-BD11-759E00C959C7}" srcOrd="1" destOrd="0" presId="urn:microsoft.com/office/officeart/2005/8/layout/orgChart1"/>
    <dgm:cxn modelId="{60BC3A5D-B890-4D1B-839D-DAF65560396A}" type="presParOf" srcId="{935F406C-8FB1-477E-B2F0-B39A6DFABB0C}" destId="{7A9A7A67-9856-4467-9782-7266BF52CDC8}" srcOrd="2" destOrd="0" presId="urn:microsoft.com/office/officeart/2005/8/layout/orgChart1"/>
    <dgm:cxn modelId="{AD079ADC-49CB-42EF-BE28-B64EB9A26C10}" type="presParOf" srcId="{C2D32EFE-4518-4C84-B3ED-9E78A8F2A86B}" destId="{624AE2F1-0B6E-4B03-944C-BD86054AAD1E}" srcOrd="4" destOrd="0" presId="urn:microsoft.com/office/officeart/2005/8/layout/orgChart1"/>
    <dgm:cxn modelId="{E3401FB4-B6B0-492E-9474-7EE59F98B2BF}" type="presParOf" srcId="{C2D32EFE-4518-4C84-B3ED-9E78A8F2A86B}" destId="{1094C5D6-7688-4C5E-BD74-67035FAE1663}" srcOrd="5" destOrd="0" presId="urn:microsoft.com/office/officeart/2005/8/layout/orgChart1"/>
    <dgm:cxn modelId="{548820C4-59AD-46B3-B908-A2EAA0DF9F3F}" type="presParOf" srcId="{1094C5D6-7688-4C5E-BD74-67035FAE1663}" destId="{39522D88-4650-4BA9-A29F-6BFC7BC541C6}" srcOrd="0" destOrd="0" presId="urn:microsoft.com/office/officeart/2005/8/layout/orgChart1"/>
    <dgm:cxn modelId="{7486C30B-5A0C-411B-887C-523508832DF6}" type="presParOf" srcId="{39522D88-4650-4BA9-A29F-6BFC7BC541C6}" destId="{F277CEBE-45B6-4FA2-955B-4C4AA557705C}" srcOrd="0" destOrd="0" presId="urn:microsoft.com/office/officeart/2005/8/layout/orgChart1"/>
    <dgm:cxn modelId="{972E595C-F49B-47EE-8DC6-5320241D5382}" type="presParOf" srcId="{39522D88-4650-4BA9-A29F-6BFC7BC541C6}" destId="{96F685D5-8079-4A0B-8B1E-F29BA7666633}" srcOrd="1" destOrd="0" presId="urn:microsoft.com/office/officeart/2005/8/layout/orgChart1"/>
    <dgm:cxn modelId="{0F99534E-EBB4-4529-9FFC-ABD646E3B11C}" type="presParOf" srcId="{1094C5D6-7688-4C5E-BD74-67035FAE1663}" destId="{E4BA2337-CABF-4B25-8A0D-073A592642C5}" srcOrd="1" destOrd="0" presId="urn:microsoft.com/office/officeart/2005/8/layout/orgChart1"/>
    <dgm:cxn modelId="{78637DD9-D556-428B-9F4A-328F5FBE9CFA}" type="presParOf" srcId="{1094C5D6-7688-4C5E-BD74-67035FAE1663}" destId="{58EDB4D3-AB73-4A46-BDAD-2D8823718EDB}" srcOrd="2" destOrd="0" presId="urn:microsoft.com/office/officeart/2005/8/layout/orgChart1"/>
    <dgm:cxn modelId="{D5BD4BC5-9B56-4294-B766-0A1363602945}" type="presParOf" srcId="{C2D32EFE-4518-4C84-B3ED-9E78A8F2A86B}" destId="{47A46E4E-D0DE-47F3-AB7A-DDD75C5A2655}" srcOrd="6" destOrd="0" presId="urn:microsoft.com/office/officeart/2005/8/layout/orgChart1"/>
    <dgm:cxn modelId="{A2463BCA-5476-498A-AFAF-0C7E6122E20E}" type="presParOf" srcId="{C2D32EFE-4518-4C84-B3ED-9E78A8F2A86B}" destId="{21E46E1A-2736-417A-9925-01A3DD3691CD}" srcOrd="7" destOrd="0" presId="urn:microsoft.com/office/officeart/2005/8/layout/orgChart1"/>
    <dgm:cxn modelId="{1A3CD329-A840-475D-94EB-0786F61959CC}" type="presParOf" srcId="{21E46E1A-2736-417A-9925-01A3DD3691CD}" destId="{8250C5A5-522B-4F76-BF87-665C3B464623}" srcOrd="0" destOrd="0" presId="urn:microsoft.com/office/officeart/2005/8/layout/orgChart1"/>
    <dgm:cxn modelId="{68BA8287-965E-488A-8426-8C5A929CFA98}" type="presParOf" srcId="{8250C5A5-522B-4F76-BF87-665C3B464623}" destId="{94633C69-C16C-438E-A763-A884272E766D}" srcOrd="0" destOrd="0" presId="urn:microsoft.com/office/officeart/2005/8/layout/orgChart1"/>
    <dgm:cxn modelId="{CDD5D5C6-11A4-4613-B064-846A5A1B955F}" type="presParOf" srcId="{8250C5A5-522B-4F76-BF87-665C3B464623}" destId="{4DE997DD-A6AD-4EE2-8488-2FC365EE85E8}" srcOrd="1" destOrd="0" presId="urn:microsoft.com/office/officeart/2005/8/layout/orgChart1"/>
    <dgm:cxn modelId="{FDC34146-2080-4EB2-8C04-1425BA14284C}" type="presParOf" srcId="{21E46E1A-2736-417A-9925-01A3DD3691CD}" destId="{B46C7BB6-4743-4A93-99F2-C2FE9DDE26B7}" srcOrd="1" destOrd="0" presId="urn:microsoft.com/office/officeart/2005/8/layout/orgChart1"/>
    <dgm:cxn modelId="{FAA1B0ED-9FD2-4ED4-BFA8-466D5E1345D0}" type="presParOf" srcId="{21E46E1A-2736-417A-9925-01A3DD3691CD}" destId="{9C832270-C6FB-4995-9926-82F162C5E676}" srcOrd="2" destOrd="0" presId="urn:microsoft.com/office/officeart/2005/8/layout/orgChart1"/>
    <dgm:cxn modelId="{A6FB3A9F-3195-4E63-8DD4-9E89BA2BD3ED}" type="presParOf" srcId="{C2D32EFE-4518-4C84-B3ED-9E78A8F2A86B}" destId="{27EEF3D7-C3DE-4060-824D-EE219A6B19C5}" srcOrd="8" destOrd="0" presId="urn:microsoft.com/office/officeart/2005/8/layout/orgChart1"/>
    <dgm:cxn modelId="{084DCBCB-7745-4B4B-A30C-A52B5CF0EBA3}" type="presParOf" srcId="{C2D32EFE-4518-4C84-B3ED-9E78A8F2A86B}" destId="{D856855C-D280-43C0-8A7B-83EF0841246E}" srcOrd="9" destOrd="0" presId="urn:microsoft.com/office/officeart/2005/8/layout/orgChart1"/>
    <dgm:cxn modelId="{E822EA8F-E2FC-405F-8913-53508646CA3E}" type="presParOf" srcId="{D856855C-D280-43C0-8A7B-83EF0841246E}" destId="{04E7EA1F-0002-4A64-9EC3-FEDE2ABD3595}" srcOrd="0" destOrd="0" presId="urn:microsoft.com/office/officeart/2005/8/layout/orgChart1"/>
    <dgm:cxn modelId="{3ED1AEE6-7C2E-4917-A726-161193E3AB2C}" type="presParOf" srcId="{04E7EA1F-0002-4A64-9EC3-FEDE2ABD3595}" destId="{6EF1134B-A6BD-4D2E-A95A-3429961C5C2E}" srcOrd="0" destOrd="0" presId="urn:microsoft.com/office/officeart/2005/8/layout/orgChart1"/>
    <dgm:cxn modelId="{3318F4DF-DF3C-4F75-A9F8-39C43E216838}" type="presParOf" srcId="{04E7EA1F-0002-4A64-9EC3-FEDE2ABD3595}" destId="{874F6F1C-88AA-4359-BED1-50AE66DB6C9C}" srcOrd="1" destOrd="0" presId="urn:microsoft.com/office/officeart/2005/8/layout/orgChart1"/>
    <dgm:cxn modelId="{DCA149DF-10BE-4ACA-B5A1-8F9F987AD1D2}" type="presParOf" srcId="{D856855C-D280-43C0-8A7B-83EF0841246E}" destId="{3E17FC30-A32C-475F-A9FC-EA51100A1A74}" srcOrd="1" destOrd="0" presId="urn:microsoft.com/office/officeart/2005/8/layout/orgChart1"/>
    <dgm:cxn modelId="{28C1B7F9-B1FB-49F8-B02F-5FDD6A36D683}" type="presParOf" srcId="{D856855C-D280-43C0-8A7B-83EF0841246E}" destId="{3BC39A7B-03A5-4F3C-A6F6-9C396D00A379}" srcOrd="2" destOrd="0" presId="urn:microsoft.com/office/officeart/2005/8/layout/orgChart1"/>
    <dgm:cxn modelId="{42BD4DD2-6D26-4798-8FA6-391B5556CAD9}" type="presParOf" srcId="{A5B514FE-9446-4D2A-AA44-C452F78AED1F}" destId="{BEADB95F-EC00-4538-A51A-9E36B2EFDD00}" srcOrd="2" destOrd="0" presId="urn:microsoft.com/office/officeart/2005/8/layout/orgChart1"/>
    <dgm:cxn modelId="{F333FDB1-EE3D-4CBD-BEA5-C5C41E6B36CD}" type="presParOf" srcId="{CB9045D3-2A07-4820-B1F1-9DE2A8DF124D}" destId="{AE16937B-5205-4FB1-A00A-FA55497D4A62}"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384255-D57B-418E-AC09-5B8CFC86B2D8}" type="doc">
      <dgm:prSet loTypeId="urn:microsoft.com/office/officeart/2005/8/layout/pyramid3" loCatId="pyramid" qsTypeId="urn:microsoft.com/office/officeart/2005/8/quickstyle/simple4" qsCatId="simple" csTypeId="urn:microsoft.com/office/officeart/2005/8/colors/accent1_5" csCatId="accent1" phldr="1"/>
      <dgm:spPr/>
    </dgm:pt>
    <dgm:pt modelId="{6F6FB099-F3A8-48A6-A9A5-5E51764D2A94}">
      <dgm:prSet phldrT="[Text]" custT="1"/>
      <dgm:spPr/>
      <dgm:t>
        <a:bodyPr/>
        <a:lstStyle/>
        <a:p>
          <a:r>
            <a:rPr lang="en-GB" sz="1000" b="0">
              <a:solidFill>
                <a:schemeClr val="bg1"/>
              </a:solidFill>
              <a:latin typeface="Verdana" panose="020B0604030504040204" pitchFamily="34" charset="0"/>
              <a:ea typeface="Verdana" panose="020B0604030504040204" pitchFamily="34" charset="0"/>
            </a:rPr>
            <a:t>Mechanical polymer recycling</a:t>
          </a:r>
        </a:p>
      </dgm:t>
    </dgm:pt>
    <dgm:pt modelId="{CEBAFB34-8CDE-4F12-8634-542282DA626C}" type="parTrans" cxnId="{C4187B0D-9CEB-472B-909D-66A2E2F4AFC0}">
      <dgm:prSet/>
      <dgm:spPr/>
      <dgm:t>
        <a:bodyPr/>
        <a:lstStyle/>
        <a:p>
          <a:endParaRPr lang="en-GB" sz="1000" b="0">
            <a:solidFill>
              <a:schemeClr val="bg1"/>
            </a:solidFill>
            <a:latin typeface="Verdana" panose="020B0604030504040204" pitchFamily="34" charset="0"/>
            <a:ea typeface="Verdana" panose="020B0604030504040204" pitchFamily="34" charset="0"/>
          </a:endParaRPr>
        </a:p>
      </dgm:t>
    </dgm:pt>
    <dgm:pt modelId="{0C6736A8-BEB0-4DEC-98CD-F1EB0E3EB18C}" type="sibTrans" cxnId="{C4187B0D-9CEB-472B-909D-66A2E2F4AFC0}">
      <dgm:prSet/>
      <dgm:spPr/>
      <dgm:t>
        <a:bodyPr/>
        <a:lstStyle/>
        <a:p>
          <a:endParaRPr lang="en-GB" sz="1000" b="0">
            <a:solidFill>
              <a:schemeClr val="bg1"/>
            </a:solidFill>
            <a:latin typeface="Verdana" panose="020B0604030504040204" pitchFamily="34" charset="0"/>
            <a:ea typeface="Verdana" panose="020B0604030504040204" pitchFamily="34" charset="0"/>
          </a:endParaRPr>
        </a:p>
      </dgm:t>
    </dgm:pt>
    <dgm:pt modelId="{388D66DA-482F-4A9A-9112-1CACBA7A0EE4}">
      <dgm:prSet phldrT="[Text]" custT="1"/>
      <dgm:spPr/>
      <dgm:t>
        <a:bodyPr/>
        <a:lstStyle/>
        <a:p>
          <a:r>
            <a:rPr lang="en-GB" sz="1000" b="0">
              <a:solidFill>
                <a:schemeClr val="bg1"/>
              </a:solidFill>
              <a:latin typeface="Verdana" panose="020B0604030504040204" pitchFamily="34" charset="0"/>
              <a:ea typeface="Verdana" panose="020B0604030504040204" pitchFamily="34" charset="0"/>
            </a:rPr>
            <a:t>Incineration with energy recovery</a:t>
          </a:r>
        </a:p>
      </dgm:t>
    </dgm:pt>
    <dgm:pt modelId="{F00DEC2D-9707-4F62-8F81-F73E2C8426A5}" type="parTrans" cxnId="{8413023B-0209-40E7-A150-407DAF2D0BBC}">
      <dgm:prSet/>
      <dgm:spPr/>
      <dgm:t>
        <a:bodyPr/>
        <a:lstStyle/>
        <a:p>
          <a:endParaRPr lang="en-GB" sz="1000" b="0">
            <a:solidFill>
              <a:schemeClr val="bg1"/>
            </a:solidFill>
            <a:latin typeface="Verdana" panose="020B0604030504040204" pitchFamily="34" charset="0"/>
            <a:ea typeface="Verdana" panose="020B0604030504040204" pitchFamily="34" charset="0"/>
          </a:endParaRPr>
        </a:p>
      </dgm:t>
    </dgm:pt>
    <dgm:pt modelId="{7A8865FA-8733-417E-9057-3A0537B81ACF}" type="sibTrans" cxnId="{8413023B-0209-40E7-A150-407DAF2D0BBC}">
      <dgm:prSet/>
      <dgm:spPr/>
      <dgm:t>
        <a:bodyPr/>
        <a:lstStyle/>
        <a:p>
          <a:endParaRPr lang="en-GB" sz="1000" b="0">
            <a:solidFill>
              <a:schemeClr val="bg1"/>
            </a:solidFill>
            <a:latin typeface="Verdana" panose="020B0604030504040204" pitchFamily="34" charset="0"/>
            <a:ea typeface="Verdana" panose="020B0604030504040204" pitchFamily="34" charset="0"/>
          </a:endParaRPr>
        </a:p>
      </dgm:t>
    </dgm:pt>
    <dgm:pt modelId="{BEFEB8B6-2136-491C-A748-C4822BEB655F}">
      <dgm:prSet phldrT="[Text]" custT="1"/>
      <dgm:spPr/>
      <dgm:t>
        <a:bodyPr/>
        <a:lstStyle/>
        <a:p>
          <a:r>
            <a:rPr lang="en-GB" sz="1000" b="0">
              <a:solidFill>
                <a:schemeClr val="bg1"/>
              </a:solidFill>
              <a:latin typeface="Verdana" panose="020B0604030504040204" pitchFamily="34" charset="0"/>
              <a:ea typeface="Verdana" panose="020B0604030504040204" pitchFamily="34" charset="0"/>
            </a:rPr>
            <a:t>Landfill</a:t>
          </a:r>
        </a:p>
      </dgm:t>
    </dgm:pt>
    <dgm:pt modelId="{43648FE5-2F77-41F1-A634-DDB1122E8C01}" type="parTrans" cxnId="{3A6220F8-7517-4AE6-977D-CF2C45B21DF8}">
      <dgm:prSet/>
      <dgm:spPr/>
      <dgm:t>
        <a:bodyPr/>
        <a:lstStyle/>
        <a:p>
          <a:endParaRPr lang="en-GB" sz="1000" b="0">
            <a:solidFill>
              <a:schemeClr val="bg1"/>
            </a:solidFill>
            <a:latin typeface="Verdana" panose="020B0604030504040204" pitchFamily="34" charset="0"/>
            <a:ea typeface="Verdana" panose="020B0604030504040204" pitchFamily="34" charset="0"/>
          </a:endParaRPr>
        </a:p>
      </dgm:t>
    </dgm:pt>
    <dgm:pt modelId="{B67BB649-AE8B-41A6-8123-696DA44668C0}" type="sibTrans" cxnId="{3A6220F8-7517-4AE6-977D-CF2C45B21DF8}">
      <dgm:prSet/>
      <dgm:spPr/>
      <dgm:t>
        <a:bodyPr/>
        <a:lstStyle/>
        <a:p>
          <a:endParaRPr lang="en-GB" sz="1000" b="0">
            <a:solidFill>
              <a:schemeClr val="bg1"/>
            </a:solidFill>
            <a:latin typeface="Verdana" panose="020B0604030504040204" pitchFamily="34" charset="0"/>
            <a:ea typeface="Verdana" panose="020B0604030504040204" pitchFamily="34" charset="0"/>
          </a:endParaRPr>
        </a:p>
      </dgm:t>
    </dgm:pt>
    <dgm:pt modelId="{2404CEC1-6FDD-40E7-9A33-9CAE83D30750}">
      <dgm:prSet phldrT="[Text]" custT="1"/>
      <dgm:spPr/>
      <dgm:t>
        <a:bodyPr/>
        <a:lstStyle/>
        <a:p>
          <a:r>
            <a:rPr lang="en-GB" sz="1000" b="0">
              <a:solidFill>
                <a:schemeClr val="bg1"/>
              </a:solidFill>
              <a:latin typeface="Verdana" panose="020B0604030504040204" pitchFamily="34" charset="0"/>
              <a:ea typeface="Verdana" panose="020B0604030504040204" pitchFamily="34" charset="0"/>
            </a:rPr>
            <a:t>Chemical feedstock recycling</a:t>
          </a:r>
        </a:p>
      </dgm:t>
    </dgm:pt>
    <dgm:pt modelId="{269C4CEA-8FD0-4C01-B124-7CF36B7E7A80}" type="parTrans" cxnId="{7608EC64-59E1-4953-8AAE-C496A3D515CB}">
      <dgm:prSet/>
      <dgm:spPr/>
      <dgm:t>
        <a:bodyPr/>
        <a:lstStyle/>
        <a:p>
          <a:endParaRPr lang="en-GB" sz="1000" b="0">
            <a:solidFill>
              <a:schemeClr val="bg1"/>
            </a:solidFill>
          </a:endParaRPr>
        </a:p>
      </dgm:t>
    </dgm:pt>
    <dgm:pt modelId="{862CD7B0-32FE-42C3-9E9A-CE14C887EF19}" type="sibTrans" cxnId="{7608EC64-59E1-4953-8AAE-C496A3D515CB}">
      <dgm:prSet/>
      <dgm:spPr/>
      <dgm:t>
        <a:bodyPr/>
        <a:lstStyle/>
        <a:p>
          <a:endParaRPr lang="en-GB" sz="1000" b="0">
            <a:solidFill>
              <a:schemeClr val="bg1"/>
            </a:solidFill>
          </a:endParaRPr>
        </a:p>
      </dgm:t>
    </dgm:pt>
    <dgm:pt modelId="{B8B9A4C6-2854-4F22-9A61-EFC2535AB295}">
      <dgm:prSet phldrT="[Text]" custT="1"/>
      <dgm:spPr/>
      <dgm:t>
        <a:bodyPr/>
        <a:lstStyle/>
        <a:p>
          <a:r>
            <a:rPr lang="en-GB" sz="1000" b="0">
              <a:solidFill>
                <a:schemeClr val="bg1"/>
              </a:solidFill>
              <a:latin typeface="Verdana" panose="020B0604030504040204" pitchFamily="34" charset="0"/>
              <a:ea typeface="Verdana" panose="020B0604030504040204" pitchFamily="34" charset="0"/>
            </a:rPr>
            <a:t>Incineration without energy recovery</a:t>
          </a:r>
        </a:p>
      </dgm:t>
    </dgm:pt>
    <dgm:pt modelId="{B806D334-7501-4153-AECD-0CB8DE5C3FAD}" type="parTrans" cxnId="{22D8ABCB-1580-4039-B316-04A1E69CBAA4}">
      <dgm:prSet/>
      <dgm:spPr/>
      <dgm:t>
        <a:bodyPr/>
        <a:lstStyle/>
        <a:p>
          <a:endParaRPr lang="en-GB" sz="1000" b="0">
            <a:solidFill>
              <a:schemeClr val="bg1"/>
            </a:solidFill>
          </a:endParaRPr>
        </a:p>
      </dgm:t>
    </dgm:pt>
    <dgm:pt modelId="{44C3E8CA-F3D4-4132-9827-9B4945B283E1}" type="sibTrans" cxnId="{22D8ABCB-1580-4039-B316-04A1E69CBAA4}">
      <dgm:prSet/>
      <dgm:spPr/>
      <dgm:t>
        <a:bodyPr/>
        <a:lstStyle/>
        <a:p>
          <a:endParaRPr lang="en-GB" sz="1000" b="0">
            <a:solidFill>
              <a:schemeClr val="bg1"/>
            </a:solidFill>
          </a:endParaRPr>
        </a:p>
      </dgm:t>
    </dgm:pt>
    <dgm:pt modelId="{16BA0AC9-F099-427F-8E3D-BBCC07B62956}">
      <dgm:prSet phldrT="[Text]" custT="1"/>
      <dgm:spPr/>
      <dgm:t>
        <a:bodyPr/>
        <a:lstStyle/>
        <a:p>
          <a:r>
            <a:rPr lang="en-GB" sz="1000" b="0">
              <a:solidFill>
                <a:schemeClr val="bg1"/>
              </a:solidFill>
              <a:latin typeface="Verdana" panose="020B0604030504040204" pitchFamily="34" charset="0"/>
              <a:ea typeface="Verdana" panose="020B0604030504040204" pitchFamily="34" charset="0"/>
            </a:rPr>
            <a:t>Chemical polymer recycling</a:t>
          </a:r>
        </a:p>
      </dgm:t>
    </dgm:pt>
    <dgm:pt modelId="{A4C01259-40B5-4BE5-AF4B-3B1888B42A02}" type="parTrans" cxnId="{239F03A6-691A-4728-BC59-0691DBAB9D8E}">
      <dgm:prSet/>
      <dgm:spPr/>
      <dgm:t>
        <a:bodyPr/>
        <a:lstStyle/>
        <a:p>
          <a:endParaRPr lang="en-GB"/>
        </a:p>
      </dgm:t>
    </dgm:pt>
    <dgm:pt modelId="{662EAF2E-837F-4D71-A0DC-50D81E77BCC4}" type="sibTrans" cxnId="{239F03A6-691A-4728-BC59-0691DBAB9D8E}">
      <dgm:prSet/>
      <dgm:spPr/>
      <dgm:t>
        <a:bodyPr/>
        <a:lstStyle/>
        <a:p>
          <a:endParaRPr lang="en-GB"/>
        </a:p>
      </dgm:t>
    </dgm:pt>
    <dgm:pt modelId="{320143B6-58AC-4727-AE7D-A44949486614}" type="pres">
      <dgm:prSet presAssocID="{CE384255-D57B-418E-AC09-5B8CFC86B2D8}" presName="Name0" presStyleCnt="0">
        <dgm:presLayoutVars>
          <dgm:dir/>
          <dgm:animLvl val="lvl"/>
          <dgm:resizeHandles val="exact"/>
        </dgm:presLayoutVars>
      </dgm:prSet>
      <dgm:spPr/>
    </dgm:pt>
    <dgm:pt modelId="{F6A49941-E89A-4622-A600-CA148ABE57F1}" type="pres">
      <dgm:prSet presAssocID="{6F6FB099-F3A8-48A6-A9A5-5E51764D2A94}" presName="Name8" presStyleCnt="0"/>
      <dgm:spPr/>
    </dgm:pt>
    <dgm:pt modelId="{49820086-2DEE-4BD3-B576-DC8F0D974B7A}" type="pres">
      <dgm:prSet presAssocID="{6F6FB099-F3A8-48A6-A9A5-5E51764D2A94}" presName="level" presStyleLbl="node1" presStyleIdx="0" presStyleCnt="6">
        <dgm:presLayoutVars>
          <dgm:chMax val="1"/>
          <dgm:bulletEnabled val="1"/>
        </dgm:presLayoutVars>
      </dgm:prSet>
      <dgm:spPr/>
    </dgm:pt>
    <dgm:pt modelId="{78C086F9-C68D-4E46-AD16-8DE0E4E10DCA}" type="pres">
      <dgm:prSet presAssocID="{6F6FB099-F3A8-48A6-A9A5-5E51764D2A94}" presName="levelTx" presStyleLbl="revTx" presStyleIdx="0" presStyleCnt="0">
        <dgm:presLayoutVars>
          <dgm:chMax val="1"/>
          <dgm:bulletEnabled val="1"/>
        </dgm:presLayoutVars>
      </dgm:prSet>
      <dgm:spPr/>
    </dgm:pt>
    <dgm:pt modelId="{7796B23B-9A51-477C-81AB-7A8C8F08DF80}" type="pres">
      <dgm:prSet presAssocID="{16BA0AC9-F099-427F-8E3D-BBCC07B62956}" presName="Name8" presStyleCnt="0"/>
      <dgm:spPr/>
    </dgm:pt>
    <dgm:pt modelId="{FEB972CE-FE60-4375-933C-1C929D945D58}" type="pres">
      <dgm:prSet presAssocID="{16BA0AC9-F099-427F-8E3D-BBCC07B62956}" presName="level" presStyleLbl="node1" presStyleIdx="1" presStyleCnt="6">
        <dgm:presLayoutVars>
          <dgm:chMax val="1"/>
          <dgm:bulletEnabled val="1"/>
        </dgm:presLayoutVars>
      </dgm:prSet>
      <dgm:spPr/>
    </dgm:pt>
    <dgm:pt modelId="{ACBDA0D5-8F53-4E06-A402-E6B8A373CA37}" type="pres">
      <dgm:prSet presAssocID="{16BA0AC9-F099-427F-8E3D-BBCC07B62956}" presName="levelTx" presStyleLbl="revTx" presStyleIdx="0" presStyleCnt="0">
        <dgm:presLayoutVars>
          <dgm:chMax val="1"/>
          <dgm:bulletEnabled val="1"/>
        </dgm:presLayoutVars>
      </dgm:prSet>
      <dgm:spPr/>
    </dgm:pt>
    <dgm:pt modelId="{A34F727A-D6C3-4F8E-A784-EFCA3FF0AD62}" type="pres">
      <dgm:prSet presAssocID="{2404CEC1-6FDD-40E7-9A33-9CAE83D30750}" presName="Name8" presStyleCnt="0"/>
      <dgm:spPr/>
    </dgm:pt>
    <dgm:pt modelId="{34452FD0-EE43-465B-8C3E-923571D8F94B}" type="pres">
      <dgm:prSet presAssocID="{2404CEC1-6FDD-40E7-9A33-9CAE83D30750}" presName="level" presStyleLbl="node1" presStyleIdx="2" presStyleCnt="6">
        <dgm:presLayoutVars>
          <dgm:chMax val="1"/>
          <dgm:bulletEnabled val="1"/>
        </dgm:presLayoutVars>
      </dgm:prSet>
      <dgm:spPr/>
    </dgm:pt>
    <dgm:pt modelId="{F18A2115-1C5E-4334-A268-09345DF24265}" type="pres">
      <dgm:prSet presAssocID="{2404CEC1-6FDD-40E7-9A33-9CAE83D30750}" presName="levelTx" presStyleLbl="revTx" presStyleIdx="0" presStyleCnt="0">
        <dgm:presLayoutVars>
          <dgm:chMax val="1"/>
          <dgm:bulletEnabled val="1"/>
        </dgm:presLayoutVars>
      </dgm:prSet>
      <dgm:spPr/>
    </dgm:pt>
    <dgm:pt modelId="{02F9F1CA-F611-4928-8F60-F21D0FBDE1A4}" type="pres">
      <dgm:prSet presAssocID="{388D66DA-482F-4A9A-9112-1CACBA7A0EE4}" presName="Name8" presStyleCnt="0"/>
      <dgm:spPr/>
    </dgm:pt>
    <dgm:pt modelId="{B223E6FF-0BE0-479B-A51A-92C5163889D0}" type="pres">
      <dgm:prSet presAssocID="{388D66DA-482F-4A9A-9112-1CACBA7A0EE4}" presName="level" presStyleLbl="node1" presStyleIdx="3" presStyleCnt="6">
        <dgm:presLayoutVars>
          <dgm:chMax val="1"/>
          <dgm:bulletEnabled val="1"/>
        </dgm:presLayoutVars>
      </dgm:prSet>
      <dgm:spPr/>
    </dgm:pt>
    <dgm:pt modelId="{87FB50ED-6D75-4B66-BB5C-42EAD3FA1B19}" type="pres">
      <dgm:prSet presAssocID="{388D66DA-482F-4A9A-9112-1CACBA7A0EE4}" presName="levelTx" presStyleLbl="revTx" presStyleIdx="0" presStyleCnt="0">
        <dgm:presLayoutVars>
          <dgm:chMax val="1"/>
          <dgm:bulletEnabled val="1"/>
        </dgm:presLayoutVars>
      </dgm:prSet>
      <dgm:spPr/>
    </dgm:pt>
    <dgm:pt modelId="{410CFEA4-F65D-4E89-9A83-3E136F5E519B}" type="pres">
      <dgm:prSet presAssocID="{B8B9A4C6-2854-4F22-9A61-EFC2535AB295}" presName="Name8" presStyleCnt="0"/>
      <dgm:spPr/>
    </dgm:pt>
    <dgm:pt modelId="{980543F3-B890-4324-8D0D-4F9F0D5DC901}" type="pres">
      <dgm:prSet presAssocID="{B8B9A4C6-2854-4F22-9A61-EFC2535AB295}" presName="level" presStyleLbl="node1" presStyleIdx="4" presStyleCnt="6">
        <dgm:presLayoutVars>
          <dgm:chMax val="1"/>
          <dgm:bulletEnabled val="1"/>
        </dgm:presLayoutVars>
      </dgm:prSet>
      <dgm:spPr/>
    </dgm:pt>
    <dgm:pt modelId="{BC05E9C0-D98A-43F1-9CD2-193F636BEE67}" type="pres">
      <dgm:prSet presAssocID="{B8B9A4C6-2854-4F22-9A61-EFC2535AB295}" presName="levelTx" presStyleLbl="revTx" presStyleIdx="0" presStyleCnt="0">
        <dgm:presLayoutVars>
          <dgm:chMax val="1"/>
          <dgm:bulletEnabled val="1"/>
        </dgm:presLayoutVars>
      </dgm:prSet>
      <dgm:spPr/>
    </dgm:pt>
    <dgm:pt modelId="{68F08FC7-2EB2-4E4D-902E-DDD0A36BFFC3}" type="pres">
      <dgm:prSet presAssocID="{BEFEB8B6-2136-491C-A748-C4822BEB655F}" presName="Name8" presStyleCnt="0"/>
      <dgm:spPr/>
    </dgm:pt>
    <dgm:pt modelId="{1E62EA51-F47F-477F-AF20-6E0448D1A89E}" type="pres">
      <dgm:prSet presAssocID="{BEFEB8B6-2136-491C-A748-C4822BEB655F}" presName="level" presStyleLbl="node1" presStyleIdx="5" presStyleCnt="6">
        <dgm:presLayoutVars>
          <dgm:chMax val="1"/>
          <dgm:bulletEnabled val="1"/>
        </dgm:presLayoutVars>
      </dgm:prSet>
      <dgm:spPr/>
    </dgm:pt>
    <dgm:pt modelId="{46644AEB-14CC-4455-88DC-FAFD2C43AFFF}" type="pres">
      <dgm:prSet presAssocID="{BEFEB8B6-2136-491C-A748-C4822BEB655F}" presName="levelTx" presStyleLbl="revTx" presStyleIdx="0" presStyleCnt="0">
        <dgm:presLayoutVars>
          <dgm:chMax val="1"/>
          <dgm:bulletEnabled val="1"/>
        </dgm:presLayoutVars>
      </dgm:prSet>
      <dgm:spPr/>
    </dgm:pt>
  </dgm:ptLst>
  <dgm:cxnLst>
    <dgm:cxn modelId="{F9536F0C-E95F-489F-B986-04877267C23B}" type="presOf" srcId="{2404CEC1-6FDD-40E7-9A33-9CAE83D30750}" destId="{F18A2115-1C5E-4334-A268-09345DF24265}" srcOrd="1" destOrd="0" presId="urn:microsoft.com/office/officeart/2005/8/layout/pyramid3"/>
    <dgm:cxn modelId="{C4187B0D-9CEB-472B-909D-66A2E2F4AFC0}" srcId="{CE384255-D57B-418E-AC09-5B8CFC86B2D8}" destId="{6F6FB099-F3A8-48A6-A9A5-5E51764D2A94}" srcOrd="0" destOrd="0" parTransId="{CEBAFB34-8CDE-4F12-8634-542282DA626C}" sibTransId="{0C6736A8-BEB0-4DEC-98CD-F1EB0E3EB18C}"/>
    <dgm:cxn modelId="{D79B3D11-CF36-4DEF-BCA0-03535AFC47D1}" type="presOf" srcId="{6F6FB099-F3A8-48A6-A9A5-5E51764D2A94}" destId="{49820086-2DEE-4BD3-B576-DC8F0D974B7A}" srcOrd="0" destOrd="0" presId="urn:microsoft.com/office/officeart/2005/8/layout/pyramid3"/>
    <dgm:cxn modelId="{8413023B-0209-40E7-A150-407DAF2D0BBC}" srcId="{CE384255-D57B-418E-AC09-5B8CFC86B2D8}" destId="{388D66DA-482F-4A9A-9112-1CACBA7A0EE4}" srcOrd="3" destOrd="0" parTransId="{F00DEC2D-9707-4F62-8F81-F73E2C8426A5}" sibTransId="{7A8865FA-8733-417E-9057-3A0537B81ACF}"/>
    <dgm:cxn modelId="{8FEB5642-DE86-41B4-B9B6-F8DAD2019088}" type="presOf" srcId="{6F6FB099-F3A8-48A6-A9A5-5E51764D2A94}" destId="{78C086F9-C68D-4E46-AD16-8DE0E4E10DCA}" srcOrd="1" destOrd="0" presId="urn:microsoft.com/office/officeart/2005/8/layout/pyramid3"/>
    <dgm:cxn modelId="{B0E44343-0C34-4085-8B1B-EFF837D4779F}" type="presOf" srcId="{BEFEB8B6-2136-491C-A748-C4822BEB655F}" destId="{1E62EA51-F47F-477F-AF20-6E0448D1A89E}" srcOrd="0" destOrd="0" presId="urn:microsoft.com/office/officeart/2005/8/layout/pyramid3"/>
    <dgm:cxn modelId="{7608EC64-59E1-4953-8AAE-C496A3D515CB}" srcId="{CE384255-D57B-418E-AC09-5B8CFC86B2D8}" destId="{2404CEC1-6FDD-40E7-9A33-9CAE83D30750}" srcOrd="2" destOrd="0" parTransId="{269C4CEA-8FD0-4C01-B124-7CF36B7E7A80}" sibTransId="{862CD7B0-32FE-42C3-9E9A-CE14C887EF19}"/>
    <dgm:cxn modelId="{AD27AF6E-F34A-4422-8289-B872897F029B}" type="presOf" srcId="{2404CEC1-6FDD-40E7-9A33-9CAE83D30750}" destId="{34452FD0-EE43-465B-8C3E-923571D8F94B}" srcOrd="0" destOrd="0" presId="urn:microsoft.com/office/officeart/2005/8/layout/pyramid3"/>
    <dgm:cxn modelId="{77DF9F4F-64D8-47A5-9080-62695AC221E9}" type="presOf" srcId="{B8B9A4C6-2854-4F22-9A61-EFC2535AB295}" destId="{BC05E9C0-D98A-43F1-9CD2-193F636BEE67}" srcOrd="1" destOrd="0" presId="urn:microsoft.com/office/officeart/2005/8/layout/pyramid3"/>
    <dgm:cxn modelId="{5A6D7076-C1E7-4E69-9244-F21B31B4623C}" type="presOf" srcId="{388D66DA-482F-4A9A-9112-1CACBA7A0EE4}" destId="{87FB50ED-6D75-4B66-BB5C-42EAD3FA1B19}" srcOrd="1" destOrd="0" presId="urn:microsoft.com/office/officeart/2005/8/layout/pyramid3"/>
    <dgm:cxn modelId="{3BB9457B-A4D3-4FFF-922F-BAE33FF9E80C}" type="presOf" srcId="{16BA0AC9-F099-427F-8E3D-BBCC07B62956}" destId="{ACBDA0D5-8F53-4E06-A402-E6B8A373CA37}" srcOrd="1" destOrd="0" presId="urn:microsoft.com/office/officeart/2005/8/layout/pyramid3"/>
    <dgm:cxn modelId="{82FBB296-156E-430F-B172-66D86F5E192B}" type="presOf" srcId="{16BA0AC9-F099-427F-8E3D-BBCC07B62956}" destId="{FEB972CE-FE60-4375-933C-1C929D945D58}" srcOrd="0" destOrd="0" presId="urn:microsoft.com/office/officeart/2005/8/layout/pyramid3"/>
    <dgm:cxn modelId="{D1D07DA1-CC51-49BD-AB01-B352F63D5B88}" type="presOf" srcId="{CE384255-D57B-418E-AC09-5B8CFC86B2D8}" destId="{320143B6-58AC-4727-AE7D-A44949486614}" srcOrd="0" destOrd="0" presId="urn:microsoft.com/office/officeart/2005/8/layout/pyramid3"/>
    <dgm:cxn modelId="{239F03A6-691A-4728-BC59-0691DBAB9D8E}" srcId="{CE384255-D57B-418E-AC09-5B8CFC86B2D8}" destId="{16BA0AC9-F099-427F-8E3D-BBCC07B62956}" srcOrd="1" destOrd="0" parTransId="{A4C01259-40B5-4BE5-AF4B-3B1888B42A02}" sibTransId="{662EAF2E-837F-4D71-A0DC-50D81E77BCC4}"/>
    <dgm:cxn modelId="{ED52FFCA-FD5C-42A4-842C-D50DB511C209}" type="presOf" srcId="{388D66DA-482F-4A9A-9112-1CACBA7A0EE4}" destId="{B223E6FF-0BE0-479B-A51A-92C5163889D0}" srcOrd="0" destOrd="0" presId="urn:microsoft.com/office/officeart/2005/8/layout/pyramid3"/>
    <dgm:cxn modelId="{22D8ABCB-1580-4039-B316-04A1E69CBAA4}" srcId="{CE384255-D57B-418E-AC09-5B8CFC86B2D8}" destId="{B8B9A4C6-2854-4F22-9A61-EFC2535AB295}" srcOrd="4" destOrd="0" parTransId="{B806D334-7501-4153-AECD-0CB8DE5C3FAD}" sibTransId="{44C3E8CA-F3D4-4132-9827-9B4945B283E1}"/>
    <dgm:cxn modelId="{B1FB78E2-B097-4C48-AD3E-B04F16BB4EE7}" type="presOf" srcId="{B8B9A4C6-2854-4F22-9A61-EFC2535AB295}" destId="{980543F3-B890-4324-8D0D-4F9F0D5DC901}" srcOrd="0" destOrd="0" presId="urn:microsoft.com/office/officeart/2005/8/layout/pyramid3"/>
    <dgm:cxn modelId="{4BAAB9E8-9594-4DB4-BC80-80C679EB1018}" type="presOf" srcId="{BEFEB8B6-2136-491C-A748-C4822BEB655F}" destId="{46644AEB-14CC-4455-88DC-FAFD2C43AFFF}" srcOrd="1" destOrd="0" presId="urn:microsoft.com/office/officeart/2005/8/layout/pyramid3"/>
    <dgm:cxn modelId="{3A6220F8-7517-4AE6-977D-CF2C45B21DF8}" srcId="{CE384255-D57B-418E-AC09-5B8CFC86B2D8}" destId="{BEFEB8B6-2136-491C-A748-C4822BEB655F}" srcOrd="5" destOrd="0" parTransId="{43648FE5-2F77-41F1-A634-DDB1122E8C01}" sibTransId="{B67BB649-AE8B-41A6-8123-696DA44668C0}"/>
    <dgm:cxn modelId="{49476456-0DB6-444B-A91A-5B13D33A08FD}" type="presParOf" srcId="{320143B6-58AC-4727-AE7D-A44949486614}" destId="{F6A49941-E89A-4622-A600-CA148ABE57F1}" srcOrd="0" destOrd="0" presId="urn:microsoft.com/office/officeart/2005/8/layout/pyramid3"/>
    <dgm:cxn modelId="{2C60903C-FD86-4696-A24D-1A15BB090C4A}" type="presParOf" srcId="{F6A49941-E89A-4622-A600-CA148ABE57F1}" destId="{49820086-2DEE-4BD3-B576-DC8F0D974B7A}" srcOrd="0" destOrd="0" presId="urn:microsoft.com/office/officeart/2005/8/layout/pyramid3"/>
    <dgm:cxn modelId="{C157C1BD-DAEA-4C6B-A787-E0E367168579}" type="presParOf" srcId="{F6A49941-E89A-4622-A600-CA148ABE57F1}" destId="{78C086F9-C68D-4E46-AD16-8DE0E4E10DCA}" srcOrd="1" destOrd="0" presId="urn:microsoft.com/office/officeart/2005/8/layout/pyramid3"/>
    <dgm:cxn modelId="{8BC1E85B-16CC-497B-941B-E45F834A9D80}" type="presParOf" srcId="{320143B6-58AC-4727-AE7D-A44949486614}" destId="{7796B23B-9A51-477C-81AB-7A8C8F08DF80}" srcOrd="1" destOrd="0" presId="urn:microsoft.com/office/officeart/2005/8/layout/pyramid3"/>
    <dgm:cxn modelId="{0B8FBDC1-3B5E-4D88-8D99-7B984182920B}" type="presParOf" srcId="{7796B23B-9A51-477C-81AB-7A8C8F08DF80}" destId="{FEB972CE-FE60-4375-933C-1C929D945D58}" srcOrd="0" destOrd="0" presId="urn:microsoft.com/office/officeart/2005/8/layout/pyramid3"/>
    <dgm:cxn modelId="{969473D4-1AAB-444C-86CF-53F319830B72}" type="presParOf" srcId="{7796B23B-9A51-477C-81AB-7A8C8F08DF80}" destId="{ACBDA0D5-8F53-4E06-A402-E6B8A373CA37}" srcOrd="1" destOrd="0" presId="urn:microsoft.com/office/officeart/2005/8/layout/pyramid3"/>
    <dgm:cxn modelId="{2468E82E-A636-4902-A6DD-72412C895EEC}" type="presParOf" srcId="{320143B6-58AC-4727-AE7D-A44949486614}" destId="{A34F727A-D6C3-4F8E-A784-EFCA3FF0AD62}" srcOrd="2" destOrd="0" presId="urn:microsoft.com/office/officeart/2005/8/layout/pyramid3"/>
    <dgm:cxn modelId="{C5FD255D-EE0D-4FED-BFD6-01DA8DFDF322}" type="presParOf" srcId="{A34F727A-D6C3-4F8E-A784-EFCA3FF0AD62}" destId="{34452FD0-EE43-465B-8C3E-923571D8F94B}" srcOrd="0" destOrd="0" presId="urn:microsoft.com/office/officeart/2005/8/layout/pyramid3"/>
    <dgm:cxn modelId="{9E35DC90-9D4C-47E3-BB2A-2E14DC597AD7}" type="presParOf" srcId="{A34F727A-D6C3-4F8E-A784-EFCA3FF0AD62}" destId="{F18A2115-1C5E-4334-A268-09345DF24265}" srcOrd="1" destOrd="0" presId="urn:microsoft.com/office/officeart/2005/8/layout/pyramid3"/>
    <dgm:cxn modelId="{386055A9-CDEF-4FB9-9E6B-13657A4FD059}" type="presParOf" srcId="{320143B6-58AC-4727-AE7D-A44949486614}" destId="{02F9F1CA-F611-4928-8F60-F21D0FBDE1A4}" srcOrd="3" destOrd="0" presId="urn:microsoft.com/office/officeart/2005/8/layout/pyramid3"/>
    <dgm:cxn modelId="{640C4162-BE0D-4CC9-B5E8-630308BC5C3F}" type="presParOf" srcId="{02F9F1CA-F611-4928-8F60-F21D0FBDE1A4}" destId="{B223E6FF-0BE0-479B-A51A-92C5163889D0}" srcOrd="0" destOrd="0" presId="urn:microsoft.com/office/officeart/2005/8/layout/pyramid3"/>
    <dgm:cxn modelId="{F50C11B8-843E-4B24-BCB3-3C48FF03C3A2}" type="presParOf" srcId="{02F9F1CA-F611-4928-8F60-F21D0FBDE1A4}" destId="{87FB50ED-6D75-4B66-BB5C-42EAD3FA1B19}" srcOrd="1" destOrd="0" presId="urn:microsoft.com/office/officeart/2005/8/layout/pyramid3"/>
    <dgm:cxn modelId="{43654A69-C196-4021-9D9A-A62BC37C774A}" type="presParOf" srcId="{320143B6-58AC-4727-AE7D-A44949486614}" destId="{410CFEA4-F65D-4E89-9A83-3E136F5E519B}" srcOrd="4" destOrd="0" presId="urn:microsoft.com/office/officeart/2005/8/layout/pyramid3"/>
    <dgm:cxn modelId="{A3DC6D97-EB1C-4B43-BDF4-B55F60634F7E}" type="presParOf" srcId="{410CFEA4-F65D-4E89-9A83-3E136F5E519B}" destId="{980543F3-B890-4324-8D0D-4F9F0D5DC901}" srcOrd="0" destOrd="0" presId="urn:microsoft.com/office/officeart/2005/8/layout/pyramid3"/>
    <dgm:cxn modelId="{C000E2DF-E7BF-4431-8C07-FDD2E0D943B1}" type="presParOf" srcId="{410CFEA4-F65D-4E89-9A83-3E136F5E519B}" destId="{BC05E9C0-D98A-43F1-9CD2-193F636BEE67}" srcOrd="1" destOrd="0" presId="urn:microsoft.com/office/officeart/2005/8/layout/pyramid3"/>
    <dgm:cxn modelId="{FDEEB8CB-31FB-41EA-BC6B-BCED571A27CC}" type="presParOf" srcId="{320143B6-58AC-4727-AE7D-A44949486614}" destId="{68F08FC7-2EB2-4E4D-902E-DDD0A36BFFC3}" srcOrd="5" destOrd="0" presId="urn:microsoft.com/office/officeart/2005/8/layout/pyramid3"/>
    <dgm:cxn modelId="{EBDE382B-3A41-4A40-9589-79DCEC377983}" type="presParOf" srcId="{68F08FC7-2EB2-4E4D-902E-DDD0A36BFFC3}" destId="{1E62EA51-F47F-477F-AF20-6E0448D1A89E}" srcOrd="0" destOrd="0" presId="urn:microsoft.com/office/officeart/2005/8/layout/pyramid3"/>
    <dgm:cxn modelId="{F06E3575-D00A-4A67-8E09-159513A9A1F6}" type="presParOf" srcId="{68F08FC7-2EB2-4E4D-902E-DDD0A36BFFC3}" destId="{46644AEB-14CC-4455-88DC-FAFD2C43AFFF}" srcOrd="1" destOrd="0" presId="urn:microsoft.com/office/officeart/2005/8/layout/pyramid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EEF3D7-C3DE-4060-824D-EE219A6B19C5}">
      <dsp:nvSpPr>
        <dsp:cNvPr id="0" name=""/>
        <dsp:cNvSpPr/>
      </dsp:nvSpPr>
      <dsp:spPr>
        <a:xfrm>
          <a:off x="3175888" y="1027141"/>
          <a:ext cx="295105" cy="3107649"/>
        </a:xfrm>
        <a:custGeom>
          <a:avLst/>
          <a:gdLst/>
          <a:ahLst/>
          <a:cxnLst/>
          <a:rect l="0" t="0" r="0" b="0"/>
          <a:pathLst>
            <a:path>
              <a:moveTo>
                <a:pt x="0" y="0"/>
              </a:moveTo>
              <a:lnTo>
                <a:pt x="0" y="3107649"/>
              </a:lnTo>
              <a:lnTo>
                <a:pt x="295105" y="31076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A46E4E-D0DE-47F3-AB7A-DDD75C5A2655}">
      <dsp:nvSpPr>
        <dsp:cNvPr id="0" name=""/>
        <dsp:cNvSpPr/>
      </dsp:nvSpPr>
      <dsp:spPr>
        <a:xfrm>
          <a:off x="3175888" y="1027141"/>
          <a:ext cx="295105" cy="2449386"/>
        </a:xfrm>
        <a:custGeom>
          <a:avLst/>
          <a:gdLst/>
          <a:ahLst/>
          <a:cxnLst/>
          <a:rect l="0" t="0" r="0" b="0"/>
          <a:pathLst>
            <a:path>
              <a:moveTo>
                <a:pt x="0" y="0"/>
              </a:moveTo>
              <a:lnTo>
                <a:pt x="0" y="2449386"/>
              </a:lnTo>
              <a:lnTo>
                <a:pt x="295105" y="24493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4AE2F1-0B6E-4B03-944C-BD86054AAD1E}">
      <dsp:nvSpPr>
        <dsp:cNvPr id="0" name=""/>
        <dsp:cNvSpPr/>
      </dsp:nvSpPr>
      <dsp:spPr>
        <a:xfrm>
          <a:off x="3175888" y="1027141"/>
          <a:ext cx="295105" cy="1791122"/>
        </a:xfrm>
        <a:custGeom>
          <a:avLst/>
          <a:gdLst/>
          <a:ahLst/>
          <a:cxnLst/>
          <a:rect l="0" t="0" r="0" b="0"/>
          <a:pathLst>
            <a:path>
              <a:moveTo>
                <a:pt x="0" y="0"/>
              </a:moveTo>
              <a:lnTo>
                <a:pt x="0" y="1791122"/>
              </a:lnTo>
              <a:lnTo>
                <a:pt x="295105" y="17911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4F1CA-64BA-4E4D-BBCA-ADB20C00DA76}">
      <dsp:nvSpPr>
        <dsp:cNvPr id="0" name=""/>
        <dsp:cNvSpPr/>
      </dsp:nvSpPr>
      <dsp:spPr>
        <a:xfrm>
          <a:off x="3175888" y="1027141"/>
          <a:ext cx="295105" cy="1132858"/>
        </a:xfrm>
        <a:custGeom>
          <a:avLst/>
          <a:gdLst/>
          <a:ahLst/>
          <a:cxnLst/>
          <a:rect l="0" t="0" r="0" b="0"/>
          <a:pathLst>
            <a:path>
              <a:moveTo>
                <a:pt x="0" y="0"/>
              </a:moveTo>
              <a:lnTo>
                <a:pt x="0" y="1132858"/>
              </a:lnTo>
              <a:lnTo>
                <a:pt x="295105" y="11328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710A0-BF1F-400D-9672-AC5347932330}">
      <dsp:nvSpPr>
        <dsp:cNvPr id="0" name=""/>
        <dsp:cNvSpPr/>
      </dsp:nvSpPr>
      <dsp:spPr>
        <a:xfrm>
          <a:off x="3175888" y="1027141"/>
          <a:ext cx="295105" cy="474595"/>
        </a:xfrm>
        <a:custGeom>
          <a:avLst/>
          <a:gdLst/>
          <a:ahLst/>
          <a:cxnLst/>
          <a:rect l="0" t="0" r="0" b="0"/>
          <a:pathLst>
            <a:path>
              <a:moveTo>
                <a:pt x="0" y="0"/>
              </a:moveTo>
              <a:lnTo>
                <a:pt x="0" y="474595"/>
              </a:lnTo>
              <a:lnTo>
                <a:pt x="295105" y="474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F5621E-36A6-482B-A5B1-8F8083DAAF2E}">
      <dsp:nvSpPr>
        <dsp:cNvPr id="0" name=""/>
        <dsp:cNvSpPr/>
      </dsp:nvSpPr>
      <dsp:spPr>
        <a:xfrm>
          <a:off x="2833687" y="368877"/>
          <a:ext cx="1129149" cy="290926"/>
        </a:xfrm>
        <a:custGeom>
          <a:avLst/>
          <a:gdLst/>
          <a:ahLst/>
          <a:cxnLst/>
          <a:rect l="0" t="0" r="0" b="0"/>
          <a:pathLst>
            <a:path>
              <a:moveTo>
                <a:pt x="0" y="0"/>
              </a:moveTo>
              <a:lnTo>
                <a:pt x="0" y="145463"/>
              </a:lnTo>
              <a:lnTo>
                <a:pt x="1129149" y="145463"/>
              </a:lnTo>
              <a:lnTo>
                <a:pt x="1129149" y="290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C4708-509A-4C57-B26F-5D79437FBD96}">
      <dsp:nvSpPr>
        <dsp:cNvPr id="0" name=""/>
        <dsp:cNvSpPr/>
      </dsp:nvSpPr>
      <dsp:spPr>
        <a:xfrm>
          <a:off x="917589" y="1027141"/>
          <a:ext cx="295105" cy="3107649"/>
        </a:xfrm>
        <a:custGeom>
          <a:avLst/>
          <a:gdLst/>
          <a:ahLst/>
          <a:cxnLst/>
          <a:rect l="0" t="0" r="0" b="0"/>
          <a:pathLst>
            <a:path>
              <a:moveTo>
                <a:pt x="0" y="0"/>
              </a:moveTo>
              <a:lnTo>
                <a:pt x="0" y="3107649"/>
              </a:lnTo>
              <a:lnTo>
                <a:pt x="295105" y="31076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6D1BD6-6FCE-4625-9D9A-1BC8EF24E92E}">
      <dsp:nvSpPr>
        <dsp:cNvPr id="0" name=""/>
        <dsp:cNvSpPr/>
      </dsp:nvSpPr>
      <dsp:spPr>
        <a:xfrm>
          <a:off x="917589" y="1027141"/>
          <a:ext cx="295105" cy="2449386"/>
        </a:xfrm>
        <a:custGeom>
          <a:avLst/>
          <a:gdLst/>
          <a:ahLst/>
          <a:cxnLst/>
          <a:rect l="0" t="0" r="0" b="0"/>
          <a:pathLst>
            <a:path>
              <a:moveTo>
                <a:pt x="0" y="0"/>
              </a:moveTo>
              <a:lnTo>
                <a:pt x="0" y="2449386"/>
              </a:lnTo>
              <a:lnTo>
                <a:pt x="295105" y="24493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A73D5-7279-49CD-AE34-9FC4860317AF}">
      <dsp:nvSpPr>
        <dsp:cNvPr id="0" name=""/>
        <dsp:cNvSpPr/>
      </dsp:nvSpPr>
      <dsp:spPr>
        <a:xfrm>
          <a:off x="917589" y="1027141"/>
          <a:ext cx="295105" cy="1791122"/>
        </a:xfrm>
        <a:custGeom>
          <a:avLst/>
          <a:gdLst/>
          <a:ahLst/>
          <a:cxnLst/>
          <a:rect l="0" t="0" r="0" b="0"/>
          <a:pathLst>
            <a:path>
              <a:moveTo>
                <a:pt x="0" y="0"/>
              </a:moveTo>
              <a:lnTo>
                <a:pt x="0" y="1791122"/>
              </a:lnTo>
              <a:lnTo>
                <a:pt x="295105" y="17911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1C00B1-25AF-4888-8C11-D11AF165667A}">
      <dsp:nvSpPr>
        <dsp:cNvPr id="0" name=""/>
        <dsp:cNvSpPr/>
      </dsp:nvSpPr>
      <dsp:spPr>
        <a:xfrm>
          <a:off x="917589" y="1027141"/>
          <a:ext cx="295105" cy="1132858"/>
        </a:xfrm>
        <a:custGeom>
          <a:avLst/>
          <a:gdLst/>
          <a:ahLst/>
          <a:cxnLst/>
          <a:rect l="0" t="0" r="0" b="0"/>
          <a:pathLst>
            <a:path>
              <a:moveTo>
                <a:pt x="0" y="0"/>
              </a:moveTo>
              <a:lnTo>
                <a:pt x="0" y="1132858"/>
              </a:lnTo>
              <a:lnTo>
                <a:pt x="295105" y="11328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6C5E8E-ACA9-445E-9098-0DB54443B49E}">
      <dsp:nvSpPr>
        <dsp:cNvPr id="0" name=""/>
        <dsp:cNvSpPr/>
      </dsp:nvSpPr>
      <dsp:spPr>
        <a:xfrm>
          <a:off x="917589" y="1027141"/>
          <a:ext cx="295105" cy="474595"/>
        </a:xfrm>
        <a:custGeom>
          <a:avLst/>
          <a:gdLst/>
          <a:ahLst/>
          <a:cxnLst/>
          <a:rect l="0" t="0" r="0" b="0"/>
          <a:pathLst>
            <a:path>
              <a:moveTo>
                <a:pt x="0" y="0"/>
              </a:moveTo>
              <a:lnTo>
                <a:pt x="0" y="474595"/>
              </a:lnTo>
              <a:lnTo>
                <a:pt x="295105" y="474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0C3F54-DDF8-4CE7-9253-BA663D2ECA5F}">
      <dsp:nvSpPr>
        <dsp:cNvPr id="0" name=""/>
        <dsp:cNvSpPr/>
      </dsp:nvSpPr>
      <dsp:spPr>
        <a:xfrm>
          <a:off x="1704537" y="368877"/>
          <a:ext cx="1129149" cy="290926"/>
        </a:xfrm>
        <a:custGeom>
          <a:avLst/>
          <a:gdLst/>
          <a:ahLst/>
          <a:cxnLst/>
          <a:rect l="0" t="0" r="0" b="0"/>
          <a:pathLst>
            <a:path>
              <a:moveTo>
                <a:pt x="1129149" y="0"/>
              </a:moveTo>
              <a:lnTo>
                <a:pt x="1129149" y="145463"/>
              </a:lnTo>
              <a:lnTo>
                <a:pt x="0" y="145463"/>
              </a:lnTo>
              <a:lnTo>
                <a:pt x="0" y="2909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6ACBDB-F3B6-4FAD-A5A2-D60165C9C78B}">
      <dsp:nvSpPr>
        <dsp:cNvPr id="0" name=""/>
        <dsp:cNvSpPr/>
      </dsp:nvSpPr>
      <dsp:spPr>
        <a:xfrm>
          <a:off x="2141004" y="1540"/>
          <a:ext cx="1385366"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Plastics</a:t>
          </a:r>
        </a:p>
      </dsp:txBody>
      <dsp:txXfrm>
        <a:off x="2141004" y="1540"/>
        <a:ext cx="1385366" cy="367336"/>
      </dsp:txXfrm>
    </dsp:sp>
    <dsp:sp modelId="{B5B90069-BA93-4285-9ADC-221024B05DB4}">
      <dsp:nvSpPr>
        <dsp:cNvPr id="0" name=""/>
        <dsp:cNvSpPr/>
      </dsp:nvSpPr>
      <dsp:spPr>
        <a:xfrm>
          <a:off x="720851" y="659804"/>
          <a:ext cx="1967372"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Thermoplastics</a:t>
          </a:r>
          <a:br>
            <a:rPr lang="en-GB" sz="1100" b="0" kern="1200"/>
          </a:br>
          <a:r>
            <a:rPr lang="en-GB" sz="1100" b="0" kern="1200"/>
            <a:t>(can be heated and reshaped)</a:t>
          </a:r>
        </a:p>
      </dsp:txBody>
      <dsp:txXfrm>
        <a:off x="720851" y="659804"/>
        <a:ext cx="1967372" cy="367336"/>
      </dsp:txXfrm>
    </dsp:sp>
    <dsp:sp modelId="{E8CEFF81-4D20-48B6-B7A6-583EE037CDD4}">
      <dsp:nvSpPr>
        <dsp:cNvPr id="0" name=""/>
        <dsp:cNvSpPr/>
      </dsp:nvSpPr>
      <dsp:spPr>
        <a:xfrm>
          <a:off x="1212694" y="1318068"/>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Polyethylene (PE)</a:t>
          </a:r>
        </a:p>
      </dsp:txBody>
      <dsp:txXfrm>
        <a:off x="1212694" y="1318068"/>
        <a:ext cx="1405259" cy="367336"/>
      </dsp:txXfrm>
    </dsp:sp>
    <dsp:sp modelId="{A942DDC7-4410-4ACA-8FB2-086B25E22D55}">
      <dsp:nvSpPr>
        <dsp:cNvPr id="0" name=""/>
        <dsp:cNvSpPr/>
      </dsp:nvSpPr>
      <dsp:spPr>
        <a:xfrm>
          <a:off x="1212694" y="1976331"/>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Polypropylene (PP)</a:t>
          </a:r>
        </a:p>
      </dsp:txBody>
      <dsp:txXfrm>
        <a:off x="1212694" y="1976331"/>
        <a:ext cx="1405259" cy="367336"/>
      </dsp:txXfrm>
    </dsp:sp>
    <dsp:sp modelId="{3AC6174F-1A15-4B6E-B52A-D960CEAD88D6}">
      <dsp:nvSpPr>
        <dsp:cNvPr id="0" name=""/>
        <dsp:cNvSpPr/>
      </dsp:nvSpPr>
      <dsp:spPr>
        <a:xfrm>
          <a:off x="1212694" y="2634595"/>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Polyvintl-chloride (PVC)</a:t>
          </a:r>
        </a:p>
      </dsp:txBody>
      <dsp:txXfrm>
        <a:off x="1212694" y="2634595"/>
        <a:ext cx="1405259" cy="367336"/>
      </dsp:txXfrm>
    </dsp:sp>
    <dsp:sp modelId="{BF1B5725-C754-4962-BA9D-7A34654684BE}">
      <dsp:nvSpPr>
        <dsp:cNvPr id="0" name=""/>
        <dsp:cNvSpPr/>
      </dsp:nvSpPr>
      <dsp:spPr>
        <a:xfrm>
          <a:off x="1212694" y="3292858"/>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Polyethylene Trephthalate (PET)</a:t>
          </a:r>
        </a:p>
      </dsp:txBody>
      <dsp:txXfrm>
        <a:off x="1212694" y="3292858"/>
        <a:ext cx="1405259" cy="367336"/>
      </dsp:txXfrm>
    </dsp:sp>
    <dsp:sp modelId="{66CAA559-48F7-4236-936A-1753D8401667}">
      <dsp:nvSpPr>
        <dsp:cNvPr id="0" name=""/>
        <dsp:cNvSpPr/>
      </dsp:nvSpPr>
      <dsp:spPr>
        <a:xfrm>
          <a:off x="1212694" y="3951122"/>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Others (ABS, PS, PA, PC, PMMA, TPE, etc.)</a:t>
          </a:r>
        </a:p>
      </dsp:txBody>
      <dsp:txXfrm>
        <a:off x="1212694" y="3951122"/>
        <a:ext cx="1405259" cy="367336"/>
      </dsp:txXfrm>
    </dsp:sp>
    <dsp:sp modelId="{15B97DF9-1E4D-4CB9-8522-6760A01B80C7}">
      <dsp:nvSpPr>
        <dsp:cNvPr id="0" name=""/>
        <dsp:cNvSpPr/>
      </dsp:nvSpPr>
      <dsp:spPr>
        <a:xfrm>
          <a:off x="2979150" y="659804"/>
          <a:ext cx="1967372"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Thermosets</a:t>
          </a:r>
          <a:br>
            <a:rPr lang="en-GB" sz="1100" b="0" kern="1200"/>
          </a:br>
          <a:r>
            <a:rPr lang="en-GB" sz="1100" b="0" kern="1200"/>
            <a:t>(cannot be re-melted)</a:t>
          </a:r>
        </a:p>
      </dsp:txBody>
      <dsp:txXfrm>
        <a:off x="2979150" y="659804"/>
        <a:ext cx="1967372" cy="367336"/>
      </dsp:txXfrm>
    </dsp:sp>
    <dsp:sp modelId="{43809BF1-FB9A-46C1-AD53-71FCF971BD7D}">
      <dsp:nvSpPr>
        <dsp:cNvPr id="0" name=""/>
        <dsp:cNvSpPr/>
      </dsp:nvSpPr>
      <dsp:spPr>
        <a:xfrm>
          <a:off x="3470993" y="1318068"/>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Polyurethane (PUR)</a:t>
          </a:r>
        </a:p>
      </dsp:txBody>
      <dsp:txXfrm>
        <a:off x="3470993" y="1318068"/>
        <a:ext cx="1405259" cy="367336"/>
      </dsp:txXfrm>
    </dsp:sp>
    <dsp:sp modelId="{2877E533-7117-420C-9338-DA342CF84680}">
      <dsp:nvSpPr>
        <dsp:cNvPr id="0" name=""/>
        <dsp:cNvSpPr/>
      </dsp:nvSpPr>
      <dsp:spPr>
        <a:xfrm>
          <a:off x="3470993" y="1976331"/>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Unsatureted polyester</a:t>
          </a:r>
        </a:p>
      </dsp:txBody>
      <dsp:txXfrm>
        <a:off x="3470993" y="1976331"/>
        <a:ext cx="1405259" cy="367336"/>
      </dsp:txXfrm>
    </dsp:sp>
    <dsp:sp modelId="{F277CEBE-45B6-4FA2-955B-4C4AA557705C}">
      <dsp:nvSpPr>
        <dsp:cNvPr id="0" name=""/>
        <dsp:cNvSpPr/>
      </dsp:nvSpPr>
      <dsp:spPr>
        <a:xfrm>
          <a:off x="3470993" y="2634595"/>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Resins (epoxy, phenolic, acrylic, melamine)</a:t>
          </a:r>
        </a:p>
      </dsp:txBody>
      <dsp:txXfrm>
        <a:off x="3470993" y="2634595"/>
        <a:ext cx="1405259" cy="367336"/>
      </dsp:txXfrm>
    </dsp:sp>
    <dsp:sp modelId="{94633C69-C16C-438E-A763-A884272E766D}">
      <dsp:nvSpPr>
        <dsp:cNvPr id="0" name=""/>
        <dsp:cNvSpPr/>
      </dsp:nvSpPr>
      <dsp:spPr>
        <a:xfrm>
          <a:off x="3470993" y="3292858"/>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Silicone</a:t>
          </a:r>
        </a:p>
      </dsp:txBody>
      <dsp:txXfrm>
        <a:off x="3470993" y="3292858"/>
        <a:ext cx="1405259" cy="367336"/>
      </dsp:txXfrm>
    </dsp:sp>
    <dsp:sp modelId="{6EF1134B-A6BD-4D2E-A95A-3429961C5C2E}">
      <dsp:nvSpPr>
        <dsp:cNvPr id="0" name=""/>
        <dsp:cNvSpPr/>
      </dsp:nvSpPr>
      <dsp:spPr>
        <a:xfrm>
          <a:off x="3470993" y="3951122"/>
          <a:ext cx="1405259" cy="3673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t>Others (e.g. vinyl and phenol-formaldeyhde)</a:t>
          </a:r>
        </a:p>
      </dsp:txBody>
      <dsp:txXfrm>
        <a:off x="3470993" y="3951122"/>
        <a:ext cx="1405259" cy="3673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820086-2DEE-4BD3-B576-DC8F0D974B7A}">
      <dsp:nvSpPr>
        <dsp:cNvPr id="0" name=""/>
        <dsp:cNvSpPr/>
      </dsp:nvSpPr>
      <dsp:spPr>
        <a:xfrm rot="10800000">
          <a:off x="0" y="0"/>
          <a:ext cx="5759449" cy="484187"/>
        </a:xfrm>
        <a:prstGeom prst="trapezoid">
          <a:avLst>
            <a:gd name="adj" fmla="val 99126"/>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chemeClr val="bg1"/>
              </a:solidFill>
              <a:latin typeface="Verdana" panose="020B0604030504040204" pitchFamily="34" charset="0"/>
              <a:ea typeface="Verdana" panose="020B0604030504040204" pitchFamily="34" charset="0"/>
            </a:rPr>
            <a:t>Mechanical polymer recycling</a:t>
          </a:r>
        </a:p>
      </dsp:txBody>
      <dsp:txXfrm rot="-10800000">
        <a:off x="1007903" y="0"/>
        <a:ext cx="3743642" cy="484187"/>
      </dsp:txXfrm>
    </dsp:sp>
    <dsp:sp modelId="{FEB972CE-FE60-4375-933C-1C929D945D58}">
      <dsp:nvSpPr>
        <dsp:cNvPr id="0" name=""/>
        <dsp:cNvSpPr/>
      </dsp:nvSpPr>
      <dsp:spPr>
        <a:xfrm rot="10800000">
          <a:off x="479954" y="484187"/>
          <a:ext cx="4799541" cy="484187"/>
        </a:xfrm>
        <a:prstGeom prst="trapezoid">
          <a:avLst>
            <a:gd name="adj" fmla="val 99126"/>
          </a:avLst>
        </a:prstGeom>
        <a:gradFill rotWithShape="0">
          <a:gsLst>
            <a:gs pos="0">
              <a:schemeClr val="accent1">
                <a:alpha val="90000"/>
                <a:hueOff val="0"/>
                <a:satOff val="0"/>
                <a:lumOff val="0"/>
                <a:alphaOff val="-8000"/>
                <a:satMod val="103000"/>
                <a:lumMod val="102000"/>
                <a:tint val="94000"/>
              </a:schemeClr>
            </a:gs>
            <a:gs pos="50000">
              <a:schemeClr val="accent1">
                <a:alpha val="90000"/>
                <a:hueOff val="0"/>
                <a:satOff val="0"/>
                <a:lumOff val="0"/>
                <a:alphaOff val="-8000"/>
                <a:satMod val="110000"/>
                <a:lumMod val="100000"/>
                <a:shade val="100000"/>
              </a:schemeClr>
            </a:gs>
            <a:gs pos="100000">
              <a:schemeClr val="accent1">
                <a:alpha val="90000"/>
                <a:hueOff val="0"/>
                <a:satOff val="0"/>
                <a:lumOff val="0"/>
                <a:alphaOff val="-8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chemeClr val="bg1"/>
              </a:solidFill>
              <a:latin typeface="Verdana" panose="020B0604030504040204" pitchFamily="34" charset="0"/>
              <a:ea typeface="Verdana" panose="020B0604030504040204" pitchFamily="34" charset="0"/>
            </a:rPr>
            <a:t>Chemical polymer recycling</a:t>
          </a:r>
        </a:p>
      </dsp:txBody>
      <dsp:txXfrm rot="-10800000">
        <a:off x="1319873" y="484187"/>
        <a:ext cx="3119702" cy="484187"/>
      </dsp:txXfrm>
    </dsp:sp>
    <dsp:sp modelId="{34452FD0-EE43-465B-8C3E-923571D8F94B}">
      <dsp:nvSpPr>
        <dsp:cNvPr id="0" name=""/>
        <dsp:cNvSpPr/>
      </dsp:nvSpPr>
      <dsp:spPr>
        <a:xfrm rot="10800000">
          <a:off x="959908" y="968375"/>
          <a:ext cx="3839633" cy="484187"/>
        </a:xfrm>
        <a:prstGeom prst="trapezoid">
          <a:avLst>
            <a:gd name="adj" fmla="val 99126"/>
          </a:avLst>
        </a:prstGeom>
        <a:gradFill rotWithShape="0">
          <a:gsLst>
            <a:gs pos="0">
              <a:schemeClr val="accent1">
                <a:alpha val="90000"/>
                <a:hueOff val="0"/>
                <a:satOff val="0"/>
                <a:lumOff val="0"/>
                <a:alphaOff val="-16000"/>
                <a:satMod val="103000"/>
                <a:lumMod val="102000"/>
                <a:tint val="94000"/>
              </a:schemeClr>
            </a:gs>
            <a:gs pos="50000">
              <a:schemeClr val="accent1">
                <a:alpha val="90000"/>
                <a:hueOff val="0"/>
                <a:satOff val="0"/>
                <a:lumOff val="0"/>
                <a:alphaOff val="-16000"/>
                <a:satMod val="110000"/>
                <a:lumMod val="100000"/>
                <a:shade val="100000"/>
              </a:schemeClr>
            </a:gs>
            <a:gs pos="100000">
              <a:schemeClr val="accent1">
                <a:alpha val="90000"/>
                <a:hueOff val="0"/>
                <a:satOff val="0"/>
                <a:lumOff val="0"/>
                <a:alphaOff val="-16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chemeClr val="bg1"/>
              </a:solidFill>
              <a:latin typeface="Verdana" panose="020B0604030504040204" pitchFamily="34" charset="0"/>
              <a:ea typeface="Verdana" panose="020B0604030504040204" pitchFamily="34" charset="0"/>
            </a:rPr>
            <a:t>Chemical feedstock recycling</a:t>
          </a:r>
        </a:p>
      </dsp:txBody>
      <dsp:txXfrm rot="-10800000">
        <a:off x="1631844" y="968375"/>
        <a:ext cx="2495761" cy="484187"/>
      </dsp:txXfrm>
    </dsp:sp>
    <dsp:sp modelId="{B223E6FF-0BE0-479B-A51A-92C5163889D0}">
      <dsp:nvSpPr>
        <dsp:cNvPr id="0" name=""/>
        <dsp:cNvSpPr/>
      </dsp:nvSpPr>
      <dsp:spPr>
        <a:xfrm rot="10800000">
          <a:off x="1439862" y="1452562"/>
          <a:ext cx="2879725" cy="484187"/>
        </a:xfrm>
        <a:prstGeom prst="trapezoid">
          <a:avLst>
            <a:gd name="adj" fmla="val 99126"/>
          </a:avLst>
        </a:prstGeom>
        <a:gradFill rotWithShape="0">
          <a:gsLst>
            <a:gs pos="0">
              <a:schemeClr val="accent1">
                <a:alpha val="90000"/>
                <a:hueOff val="0"/>
                <a:satOff val="0"/>
                <a:lumOff val="0"/>
                <a:alphaOff val="-24000"/>
                <a:satMod val="103000"/>
                <a:lumMod val="102000"/>
                <a:tint val="94000"/>
              </a:schemeClr>
            </a:gs>
            <a:gs pos="50000">
              <a:schemeClr val="accent1">
                <a:alpha val="90000"/>
                <a:hueOff val="0"/>
                <a:satOff val="0"/>
                <a:lumOff val="0"/>
                <a:alphaOff val="-24000"/>
                <a:satMod val="110000"/>
                <a:lumMod val="100000"/>
                <a:shade val="100000"/>
              </a:schemeClr>
            </a:gs>
            <a:gs pos="100000">
              <a:schemeClr val="accent1">
                <a:alpha val="90000"/>
                <a:hueOff val="0"/>
                <a:satOff val="0"/>
                <a:lumOff val="0"/>
                <a:alphaOff val="-24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chemeClr val="bg1"/>
              </a:solidFill>
              <a:latin typeface="Verdana" panose="020B0604030504040204" pitchFamily="34" charset="0"/>
              <a:ea typeface="Verdana" panose="020B0604030504040204" pitchFamily="34" charset="0"/>
            </a:rPr>
            <a:t>Incineration with energy recovery</a:t>
          </a:r>
        </a:p>
      </dsp:txBody>
      <dsp:txXfrm rot="-10800000">
        <a:off x="1943814" y="1452562"/>
        <a:ext cx="1871821" cy="484187"/>
      </dsp:txXfrm>
    </dsp:sp>
    <dsp:sp modelId="{980543F3-B890-4324-8D0D-4F9F0D5DC901}">
      <dsp:nvSpPr>
        <dsp:cNvPr id="0" name=""/>
        <dsp:cNvSpPr/>
      </dsp:nvSpPr>
      <dsp:spPr>
        <a:xfrm rot="10800000">
          <a:off x="1919816" y="1936750"/>
          <a:ext cx="1919816" cy="484187"/>
        </a:xfrm>
        <a:prstGeom prst="trapezoid">
          <a:avLst>
            <a:gd name="adj" fmla="val 99126"/>
          </a:avLst>
        </a:prstGeom>
        <a:gradFill rotWithShape="0">
          <a:gsLst>
            <a:gs pos="0">
              <a:schemeClr val="accent1">
                <a:alpha val="90000"/>
                <a:hueOff val="0"/>
                <a:satOff val="0"/>
                <a:lumOff val="0"/>
                <a:alphaOff val="-32000"/>
                <a:satMod val="103000"/>
                <a:lumMod val="102000"/>
                <a:tint val="94000"/>
              </a:schemeClr>
            </a:gs>
            <a:gs pos="50000">
              <a:schemeClr val="accent1">
                <a:alpha val="90000"/>
                <a:hueOff val="0"/>
                <a:satOff val="0"/>
                <a:lumOff val="0"/>
                <a:alphaOff val="-32000"/>
                <a:satMod val="110000"/>
                <a:lumMod val="100000"/>
                <a:shade val="100000"/>
              </a:schemeClr>
            </a:gs>
            <a:gs pos="100000">
              <a:schemeClr val="accent1">
                <a:alpha val="90000"/>
                <a:hueOff val="0"/>
                <a:satOff val="0"/>
                <a:lumOff val="0"/>
                <a:alphaOff val="-32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chemeClr val="bg1"/>
              </a:solidFill>
              <a:latin typeface="Verdana" panose="020B0604030504040204" pitchFamily="34" charset="0"/>
              <a:ea typeface="Verdana" panose="020B0604030504040204" pitchFamily="34" charset="0"/>
            </a:rPr>
            <a:t>Incineration without energy recovery</a:t>
          </a:r>
        </a:p>
      </dsp:txBody>
      <dsp:txXfrm rot="-10800000">
        <a:off x="2255784" y="1936750"/>
        <a:ext cx="1247880" cy="484187"/>
      </dsp:txXfrm>
    </dsp:sp>
    <dsp:sp modelId="{1E62EA51-F47F-477F-AF20-6E0448D1A89E}">
      <dsp:nvSpPr>
        <dsp:cNvPr id="0" name=""/>
        <dsp:cNvSpPr/>
      </dsp:nvSpPr>
      <dsp:spPr>
        <a:xfrm rot="10800000">
          <a:off x="2399770" y="2420937"/>
          <a:ext cx="959908" cy="484187"/>
        </a:xfrm>
        <a:prstGeom prst="trapezoid">
          <a:avLst>
            <a:gd name="adj" fmla="val 99126"/>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solidFill>
                <a:schemeClr val="bg1"/>
              </a:solidFill>
              <a:latin typeface="Verdana" panose="020B0604030504040204" pitchFamily="34" charset="0"/>
              <a:ea typeface="Verdana" panose="020B0604030504040204" pitchFamily="34" charset="0"/>
            </a:rPr>
            <a:t>Landfill</a:t>
          </a:r>
        </a:p>
      </dsp:txBody>
      <dsp:txXfrm rot="-10800000">
        <a:off x="2399770" y="2420937"/>
        <a:ext cx="959908" cy="4841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master thesis deals with the decarbonisation options for the Dutch polyolefins industry. The main products (LDPE, LLDPE, HDPE, PP) are mostly used for packaging (615 kt/y), construction (109 kt/y), and automotive (78 kt/y), with all the other sectors accounting for 276 kt/y. Three producers are investigated: Dow (in Terneuzen, Zeeland), SABIC (in Geleen, Limburg), and Ducor (in Rozenburg, South-Holland). The aggregate production of polyolefins of the three production sites is 2,570 kt/y, which is 2.5 times higher than the Dutch demand and equal to 8.5% of the total European production. The main polymerisation technologies are high-pressure, solution, slurry, and gas-phase, causing carbon emissions of 0.20-0.32 kg CO2-eq/kg of product. As most of the GHG are emitted upstream and downstream the polymerisation phase, this study focuses on the decarbonisation options relative to the production of feedstock and to the end-of-life treatments. Olefin monomers can be produced from the dehydration of bio-ethanol, which is obtained from the fermentation of sugar-rich crops such as sugarcanes and sugar beets. The carbon emissions are greatly reduced, but land and water use have to be considered, and the cost of the product is 60% higher then when using fossil-based feedstock. The monomers can also be produced from the gasification of bio-waste (e.g. from agriculture, the paper industry and cooking oils) and plastic waste, although the process is technically complicated and not ready for large scale applications yet. Other wasy  </Abstract>
  <CompanyAddress/>
  <CompanyPhone/>
  <CompanyFax/>
  <CompanyEmail>6549608, a.negri@students.uu.nl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Sey86</b:Tag>
    <b:SourceType>Book</b:SourceType>
    <b:Guid>{EDC2319E-34CF-41F2-A597-F05128AA4586}</b:Guid>
    <b:Title>History of Polyolefyns The World's Most Widely Used Polymers</b:Title>
    <b:Year>1986</b:Year>
    <b:City>Dordrecht NL</b:City>
    <b:Publisher>D Reidel Publishing Company</b:Publisher>
    <b:Author>
      <b:Author>
        <b:NameList>
          <b:Person>
            <b:Last>Seymour</b:Last>
            <b:First>R. B.</b:First>
          </b:Person>
          <b:Person>
            <b:Last>Cheng</b:Last>
            <b:First>T. C.</b:First>
          </b:Person>
        </b:NameList>
      </b:Author>
    </b:Author>
    <b:RefOrder>12</b:RefOrder>
  </b:Source>
  <b:Source>
    <b:Tag>Fla11</b:Tag>
    <b:SourceType>InternetSite</b:SourceType>
    <b:Guid>{6308A0E1-B287-4C2A-946C-E18BC762BB48}</b:Guid>
    <b:Title>Dermot Manning and colleagues at ICI – Plastic Fantastic</b:Title>
    <b:Year>2011</b:Year>
    <b:InternetSiteTitle>The Chemical Engineer</b:InternetSiteTitle>
    <b:Month>November</b:Month>
    <b:Day>1</b:Day>
    <b:URL>https://www.thechemicalengineer.com/features/cewctw-dermot-manning-and-colleagues-at-ici-plastic-fantastic/</b:URL>
    <b:Author>
      <b:Author>
        <b:NameList>
          <b:Person>
            <b:Last>Flavell-While</b:Last>
            <b:First>C.</b:First>
          </b:Person>
        </b:NameList>
      </b:Author>
    </b:Author>
    <b:RefOrder>13</b:RefOrder>
  </b:Source>
  <b:Source>
    <b:Tag>Hou06</b:Tag>
    <b:SourceType>Book</b:SourceType>
    <b:Guid>{7DD21DAD-02A0-41B6-A6D3-8A94A58D0034}</b:Guid>
    <b:Title>Science and Corporate Strategy: Du Pont R&amp;D, 1902-1980</b:Title>
    <b:Year>2006</b:Year>
    <b:City>Cambridge</b:City>
    <b:Publisher>Cambridge University Press</b:Publisher>
    <b:Author>
      <b:Author>
        <b:NameList>
          <b:Person>
            <b:Last>Hounshell</b:Last>
            <b:First>D. A.</b:First>
          </b:Person>
          <b:Person>
            <b:Last>Smith</b:Last>
            <b:First>J.</b:First>
          </b:Person>
        </b:NameList>
      </b:Author>
    </b:Author>
    <b:RefOrder>17</b:RefOrder>
  </b:Source>
  <b:Source>
    <b:Tag>Mar07</b:Tag>
    <b:SourceType>Book</b:SourceType>
    <b:Guid>{B8540343-4117-46DE-89B6-16E60F094DCF}</b:Guid>
    <b:Title>Polymers, Patents, Profits: A Classic Case Study for Patent Infighting</b:Title>
    <b:Year>2007</b:Year>
    <b:Publisher>Wiley-VCH Verlag GmbH &amp; Co. KGaA</b:Publisher>
    <b:Author>
      <b:Author>
        <b:NameList>
          <b:Person>
            <b:Last>Martin</b:Last>
            <b:First>H.</b:First>
          </b:Person>
        </b:NameList>
      </b:Author>
    </b:Author>
    <b:RefOrder>16</b:RefOrder>
  </b:Source>
  <b:Source>
    <b:Tag>Pla20</b:Tag>
    <b:SourceType>InternetSite</b:SourceType>
    <b:Guid>{A3F00A1D-932E-4FA0-BC4C-80A9011199BF}</b:Guid>
    <b:Title>Plastics Europe</b:Title>
    <b:Year>2020</b:Year>
    <b:InternetSiteTitle>Plastics Europe</b:InternetSiteTitle>
    <b:Month>March</b:Month>
    <b:Day>1</b:Day>
    <b:URL>https://www.plasticseurope.org/en/about-plastics/what-are-plastics</b:URL>
    <b:RefOrder>11</b:RefOrder>
  </b:Source>
  <b:Source>
    <b:Tag>7Di20</b:Tag>
    <b:SourceType>InternetSite</b:SourceType>
    <b:Guid>{A375A85B-F2BA-4B30-A300-756EBA1044F6}</b:Guid>
    <b:Title>7 Different Types of Plastic and How They Are Used</b:Title>
    <b:InternetSiteTitle>A&amp;C Plastics, Inc</b:InternetSiteTitle>
    <b:Year>2020</b:Year>
    <b:Month>March</b:Month>
    <b:Day>1</b:Day>
    <b:URL>https://www.acplasticsinc.com/informationcenter/r/7-different-types-of-plastic-and-how-they-are-used</b:URL>
    <b:Author>
      <b:Author>
        <b:Corporate>A&amp;C Plastics, Inc</b:Corporate>
      </b:Author>
    </b:Author>
    <b:RefOrder>14</b:RefOrder>
  </b:Source>
  <b:Source>
    <b:Tag>Tab16</b:Tag>
    <b:SourceType>BookSection</b:SourceType>
    <b:Guid>{B1578EC9-F7FD-4DFF-9D75-40D3ECB8146E}</b:Guid>
    <b:Title>Olefin Polymerization</b:Title>
    <b:Year>2016</b:Year>
    <b:Publisher>Springer</b:Publisher>
    <b:City>Berlin</b:City>
    <b:BookTitle>Polyolefin Compounds and Materials</b:BookTitle>
    <b:Pages>51-77</b:Pages>
    <b:Author>
      <b:Author>
        <b:NameList>
          <b:Person>
            <b:Last>Tabba</b:Last>
            <b:First>H. D.</b:First>
          </b:Person>
          <b:Person>
            <b:Last>Hijji</b:Last>
            <b:First>Y. M. </b:First>
          </b:Person>
          <b:Person>
            <b:Last>Abu-Surrah</b:Last>
            <b:First>A. S. </b:First>
          </b:Person>
        </b:NameList>
      </b:Author>
      <b:BookAuthor>
        <b:NameList>
          <b:Person>
            <b:Last>Al Ma'adeed</b:Last>
            <b:First>M. A.</b:First>
          </b:Person>
          <b:Person>
            <b:Last>Krupa</b:Last>
            <b:First>I.</b:First>
          </b:Person>
        </b:NameList>
      </b:BookAuthor>
    </b:Author>
    <b:RefOrder>18</b:RefOrder>
  </b:Source>
  <b:Source>
    <b:Tag>Hut16</b:Tag>
    <b:SourceType>BookSection</b:SourceType>
    <b:Guid>{0597809D-F617-4D2C-8EED-B03EB49FFD38}</b:Guid>
    <b:Author>
      <b:Author>
        <b:NameList>
          <b:Person>
            <b:Last>Hutley</b:Last>
            <b:First>T.J.</b:First>
          </b:Person>
          <b:Person>
            <b:Last>Ouderni</b:Last>
            <b:First>M</b:First>
          </b:Person>
        </b:NameList>
      </b:Author>
      <b:BookAuthor>
        <b:NameList>
          <b:Person>
            <b:Last>Al Ma'adeed</b:Last>
            <b:First>M. A.</b:First>
          </b:Person>
          <b:Person>
            <b:Last>Krupa</b:Last>
            <b:First>I.</b:First>
          </b:Person>
        </b:NameList>
      </b:BookAuthor>
    </b:Author>
    <b:Title>Polyolefins—the history and economic impact.</b:Title>
    <b:BookTitle>Polyolefin Compounds and Materials</b:BookTitle>
    <b:Year>2016</b:Year>
    <b:Pages>13-50</b:Pages>
    <b:City>Berlin</b:City>
    <b:Publisher>Springer</b:Publisher>
    <b:RefOrder>15</b:RefOrder>
  </b:Source>
  <b:Source>
    <b:Tag>Ess20</b:Tag>
    <b:SourceType>InternetSite</b:SourceType>
    <b:Guid>{F3B51119-EF7E-4B20-ACCD-7070FBB65ACE}</b:Guid>
    <b:Title>Poly(ethene)/(Polyethylene)</b:Title>
    <b:Year>2020</b:Year>
    <b:Author>
      <b:Author>
        <b:Corporate>Essential Chemical Industry</b:Corporate>
      </b:Author>
    </b:Author>
    <b:InternetSiteTitle>The Essential Chemical Industry</b:InternetSiteTitle>
    <b:Month>March</b:Month>
    <b:Day>1</b:Day>
    <b:URL>https://www.essentialchemicalindustry.org/polymers.html</b:URL>
    <b:RefOrder>20</b:RefOrder>
  </b:Source>
  <b:Source>
    <b:Tag>Sab20</b:Tag>
    <b:SourceType>InternetSite</b:SourceType>
    <b:Guid>{5166560C-E769-4118-A356-05C76D38B19E}</b:Guid>
    <b:Author>
      <b:Author>
        <b:Corporate>Sabic</b:Corporate>
      </b:Author>
    </b:Author>
    <b:Title>Fabrieken en productie processen</b:Title>
    <b:InternetSiteTitle>Sabic - Limburg</b:InternetSiteTitle>
    <b:Year>2020</b:Year>
    <b:Month>March</b:Month>
    <b:Day>1</b:Day>
    <b:URL>http://www.sabic-limburg.nl/nl/sabic-limburg/fabrieken-en-productieprocessen</b:URL>
    <b:RefOrder>19</b:RefOrder>
  </b:Source>
  <b:Source>
    <b:Tag>Pla18</b:Tag>
    <b:SourceType>Report</b:SourceType>
    <b:Guid>{65F1DA6A-C71B-4046-ABFF-3D16451CE645}</b:Guid>
    <b:Title>Plastics - the facts 2019</b:Title>
    <b:Year>2019</b:Year>
    <b:Author>
      <b:Author>
        <b:Corporate>Plastics Europe</b:Corporate>
      </b:Author>
    </b:Author>
    <b:Publisher>Association of Plastics Manufacturers</b:Publisher>
    <b:City>Brussels</b:City>
    <b:RefOrder>8</b:RefOrder>
  </b:Source>
  <b:Source>
    <b:Tag>Wor20</b:Tag>
    <b:SourceType>InternetSite</b:SourceType>
    <b:Guid>{F3AB61FB-DD30-4704-A0B3-9BC2E945366B}</b:Guid>
    <b:Author>
      <b:Author>
        <b:Corporate>World Bank</b:Corporate>
      </b:Author>
    </b:Author>
    <b:Title>Population, total</b:Title>
    <b:InternetSiteTitle>The World Bank Data</b:InternetSiteTitle>
    <b:Year>2020</b:Year>
    <b:Month>March</b:Month>
    <b:Day>1</b:Day>
    <b:URL>https://data.worldbank.org/indicator/SP.POP.TOTL?end=2017&amp;start=1990</b:URL>
    <b:RefOrder>1</b:RefOrder>
  </b:Source>
  <b:Source>
    <b:Tag>IEA20</b:Tag>
    <b:SourceType>InternetSite</b:SourceType>
    <b:Guid>{FCD7D6D4-1EC9-449F-BD5C-5FE5FC411F0F}</b:Guid>
    <b:Author>
      <b:Author>
        <b:Corporate>IEA</b:Corporate>
      </b:Author>
    </b:Author>
    <b:Title>Data and Statistics</b:Title>
    <b:InternetSiteTitle>International Energy Agency</b:InternetSiteTitle>
    <b:Year>2020</b:Year>
    <b:Month>March</b:Month>
    <b:Day>1</b:Day>
    <b:URL>https://www.iea.org/data-and-statistics?</b:URL>
    <b:RefOrder>2</b:RefOrder>
  </b:Source>
  <b:Source>
    <b:Tag>Eur20</b:Tag>
    <b:SourceType>InternetSite</b:SourceType>
    <b:Guid>{45945C84-A4E5-4711-970E-63DA8AB30B2C}</b:Guid>
    <b:Author>
      <b:Author>
        <b:Corporate>European Commission</b:Corporate>
      </b:Author>
    </b:Author>
    <b:Title>2030 Climate &amp; Energy Framework</b:Title>
    <b:InternetSiteTitle>European Commission</b:InternetSiteTitle>
    <b:Year>2020</b:Year>
    <b:Month>March</b:Month>
    <b:Day>1</b:Day>
    <b:URL>https://ec.europa.eu/clima/policies/strategies/2030_en</b:URL>
    <b:RefOrder>6</b:RefOrder>
  </b:Source>
  <b:Source>
    <b:Tag>Uni20</b:Tag>
    <b:SourceType>InternetSite</b:SourceType>
    <b:Guid>{1707C3DF-068C-4EDE-96D7-5BCE98510585}</b:Guid>
    <b:Author>
      <b:Author>
        <b:Corporate>United Nations</b:Corporate>
      </b:Author>
    </b:Author>
    <b:Title>Sustainable Development Goals</b:Title>
    <b:InternetSiteTitle>SDG - UN</b:InternetSiteTitle>
    <b:Year>2020</b:Year>
    <b:Month>March</b:Month>
    <b:Day>1</b:Day>
    <b:URL>https://sustainabledevelopment.un.org/sdgs</b:URL>
    <b:RefOrder>10</b:RefOrder>
  </b:Source>
  <b:Source>
    <b:Tag>NAS20</b:Tag>
    <b:SourceType>InternetSite</b:SourceType>
    <b:Guid>{76A69484-67F4-46AE-AB14-1C1BD2C58241}</b:Guid>
    <b:Author>
      <b:Author>
        <b:Corporate>NASA</b:Corporate>
      </b:Author>
    </b:Author>
    <b:Title>The Effects of Climate Change</b:Title>
    <b:InternetSiteTitle>NASA Global Climate Change</b:InternetSiteTitle>
    <b:Year>2020</b:Year>
    <b:Month>March</b:Month>
    <b:Day>1</b:Day>
    <b:URL>https://climate.nasa.gov/effects/</b:URL>
    <b:RefOrder>4</b:RefOrder>
  </b:Source>
  <b:Source>
    <b:Tag>Ros08</b:Tag>
    <b:SourceType>JournalArticle</b:SourceType>
    <b:Guid>{52266FA1-70FD-4232-AF0B-D39279A20004}</b:Guid>
    <b:Title>Attributing physical and biological impacts to anthropogenic climate change.</b:Title>
    <b:Year>2008</b:Year>
    <b:Author>
      <b:Author>
        <b:NameList>
          <b:Person>
            <b:Last>Rosenzweig</b:Last>
            <b:First>C</b:First>
          </b:Person>
          <b:Person>
            <b:Last>Karoly</b:Last>
            <b:First>D</b:First>
          </b:Person>
          <b:Person>
            <b:Last>Vicarelli</b:Last>
            <b:First>M</b:First>
          </b:Person>
        </b:NameList>
      </b:Author>
    </b:Author>
    <b:JournalName>Nature 453</b:JournalName>
    <b:Pages>353-357</b:Pages>
    <b:RefOrder>21</b:RefOrder>
  </b:Source>
  <b:Source>
    <b:Tag>IPC14</b:Tag>
    <b:SourceType>Report</b:SourceType>
    <b:Guid>{0D314418-9D4C-4F1B-A65A-8E2D25788C4B}</b:Guid>
    <b:Author>
      <b:Author>
        <b:Corporate>IPCC</b:Corporate>
      </b:Author>
    </b:Author>
    <b:Title>Climate Change 2014: Synthesis Report. Contribution of Working Groups I, II and III to the Fifth Assessment Report of the Intergovernmental Panel on Climate Change</b:Title>
    <b:Year>2014</b:Year>
    <b:Publisher>IPCC</b:Publisher>
    <b:City>Geneva, Switzerland</b:City>
    <b:RefOrder>3</b:RefOrder>
  </b:Source>
  <b:Source>
    <b:Tag>UNF20</b:Tag>
    <b:SourceType>InternetSite</b:SourceType>
    <b:Guid>{77884B01-B377-4E93-B974-5874A62AEB23}</b:Guid>
    <b:Author>
      <b:Author>
        <b:Corporate>UNFCCC</b:Corporate>
      </b:Author>
    </b:Author>
    <b:Title>The Paris Agreement</b:Title>
    <b:Year>2020</b:Year>
    <b:InternetSiteTitle>United Nations Climate Change</b:InternetSiteTitle>
    <b:Month>March</b:Month>
    <b:Day>1</b:Day>
    <b:URL>https://unfccc.int/process-and-meetings/the-paris-agreement/the-paris-agreement</b:URL>
    <b:RefOrder>5</b:RefOrder>
  </b:Source>
  <b:Source>
    <b:Tag>Bec20</b:Tag>
    <b:SourceType>InternetSite</b:SourceType>
    <b:Guid>{B9AB6426-5825-4105-9AAE-B9B1E85925ED}</b:Guid>
    <b:Author>
      <b:Author>
        <b:NameList>
          <b:Person>
            <b:Last>Beckam</b:Last>
            <b:First>E</b:First>
          </b:Person>
        </b:NameList>
      </b:Author>
    </b:Author>
    <b:Title>The world's plastic problem in numbers</b:Title>
    <b:InternetSiteTitle>World Economic Forum</b:InternetSiteTitle>
    <b:Year>2020</b:Year>
    <b:Month>March</b:Month>
    <b:Day>1</b:Day>
    <b:URL>https://www.weforum.org/agenda/2018/08/the-world-of-plastics-in-numbers</b:URL>
    <b:RefOrder>7</b:RefOrder>
  </b:Source>
  <b:Source>
    <b:Tag>Mea72</b:Tag>
    <b:SourceType>Book</b:SourceType>
    <b:Guid>{06E45EC7-2A50-4D5A-84FF-3611E0C7BA09}</b:Guid>
    <b:Title>The limits to growth</b:Title>
    <b:Year>1972</b:Year>
    <b:City>New York</b:City>
    <b:Publisher>Universe Books</b:Publisher>
    <b:Author>
      <b:Author>
        <b:NameList>
          <b:Person>
            <b:Last>Meadows</b:Last>
            <b:First>D. H.</b:First>
          </b:Person>
          <b:Person>
            <b:Last>Meadows</b:Last>
            <b:First>D. L.</b:First>
          </b:Person>
          <b:Person>
            <b:Last>Randers</b:Last>
            <b:First>J.</b:First>
          </b:Person>
          <b:Person>
            <b:Last>Behrens</b:Last>
            <b:First>W. W.</b:First>
          </b:Person>
        </b:NameList>
      </b:Author>
    </b:Author>
    <b:RefOrder>22</b:RefOrder>
  </b:Source>
  <b:Source>
    <b:Tag>Gey19</b:Tag>
    <b:SourceType>JournalArticle</b:SourceType>
    <b:Guid>{11549D79-7E9D-40BB-B1EB-FFD8905F3DBB}</b:Guid>
    <b:Title>Production, use, and fate of all plastics ever made</b:Title>
    <b:Year>2019</b:Year>
    <b:JournalName>Science Advances, Vol. 3, no. 7</b:JournalName>
    <b:Author>
      <b:Author>
        <b:NameList>
          <b:Person>
            <b:Last>Geyer</b:Last>
            <b:First>R</b:First>
          </b:Person>
          <b:Person>
            <b:Last>Jambeck</b:Last>
            <b:First>J. R.</b:First>
          </b:Person>
          <b:Person>
            <b:Last>Law</b:Last>
            <b:First>K. L.</b:First>
          </b:Person>
        </b:NameList>
      </b:Author>
    </b:Autho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EF84B0-63A2-4BA8-AE6C-6CCE28DA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21992</TotalTime>
  <Pages>1</Pages>
  <Words>97713</Words>
  <Characters>556970</Characters>
  <Application>Microsoft Office Word</Application>
  <DocSecurity>0</DocSecurity>
  <Lines>4641</Lines>
  <Paragraphs>1306</Paragraphs>
  <ScaleCrop>false</ScaleCrop>
  <HeadingPairs>
    <vt:vector size="2" baseType="variant">
      <vt:variant>
        <vt:lpstr>Title</vt:lpstr>
      </vt:variant>
      <vt:variant>
        <vt:i4>1</vt:i4>
      </vt:variant>
    </vt:vector>
  </HeadingPairs>
  <TitlesOfParts>
    <vt:vector size="1" baseType="lpstr">
      <vt:lpstr>CUrrent state and decarbonisation OPTIONS for the dutch pOLYOLEFINS industry</vt:lpstr>
    </vt:vector>
  </TitlesOfParts>
  <Company/>
  <LinksUpToDate>false</LinksUpToDate>
  <CharactersWithSpaces>653377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state and decarbonisation OPTIONS for the dutch pOLYOLEFINS industry</dc:title>
  <dc:subject>Bio-based plastics and innovative recycling technologies to decarbonise polyolefins production</dc:subject>
  <dc:creator>Aurelio Negri</dc:creator>
  <cp:keywords/>
  <dc:description/>
  <cp:lastModifiedBy>Aurelio Negri</cp:lastModifiedBy>
  <cp:revision>227</cp:revision>
  <cp:lastPrinted>2020-03-20T11:02:00Z</cp:lastPrinted>
  <dcterms:created xsi:type="dcterms:W3CDTF">2020-02-24T09:03:00Z</dcterms:created>
  <dcterms:modified xsi:type="dcterms:W3CDTF">2020-10-22T17:46:00Z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a8a749d5-2d68-3562-8cf3-2dd12ebfa919</vt:lpwstr>
  </property>
</Properties>
</file>