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conformance="strict">
  <w:body>
    <w:sdt>
      <w:sdtPr>
        <w:id w:val="-62342405"/>
        <w:docPartObj>
          <w:docPartGallery w:val="Cover Pages"/>
          <w:docPartUnique/>
        </w:docPartObj>
      </w:sdtPr>
      <w:sdtEndPr>
        <w:rPr>
          <w:sz w:val="16"/>
          <w:szCs w:val="16"/>
        </w:rPr>
      </w:sdtEndPr>
      <w:sdtContent>
        <w:p w14:paraId="5BCDE86C" w14:textId="7C765F3A" w:rsidR="00E048ED" w:rsidRDefault="002E6C20">
          <w:r>
            <w:rPr>
              <w:noProof/>
            </w:rPr>
            <w:drawing>
              <wp:anchor distT="0" distB="0" distL="114300" distR="114300" simplePos="0" relativeHeight="251755008" behindDoc="0" locked="0" layoutInCell="1" allowOverlap="1" wp14:anchorId="4D8E7BC9" wp14:editId="57C7AB61">
                <wp:simplePos x="0" y="0"/>
                <wp:positionH relativeFrom="margin">
                  <wp:align>right</wp:align>
                </wp:positionH>
                <wp:positionV relativeFrom="paragraph">
                  <wp:posOffset>9525</wp:posOffset>
                </wp:positionV>
                <wp:extent cx="6423548" cy="2533650"/>
                <wp:effectExtent l="0" t="0" r="0" b="0"/>
                <wp:wrapNone/>
                <wp:docPr id="2" name="Afbeelding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3548"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9DE32" w14:textId="0358B076" w:rsidR="00E048ED" w:rsidRDefault="009149F5">
          <w:pPr>
            <w:jc w:val="start"/>
            <w:rPr>
              <w:rFonts w:eastAsia="MS Mincho"/>
              <w:noProof/>
              <w:sz w:val="16"/>
              <w:szCs w:val="16"/>
            </w:rPr>
          </w:pPr>
          <w:r w:rsidRPr="00CD4590">
            <w:rPr>
              <w:noProof/>
              <w:sz w:val="16"/>
              <w:szCs w:val="16"/>
              <w:lang w:val="en-GB" w:eastAsia="en-GB"/>
            </w:rPr>
            <w:drawing>
              <wp:anchor distT="45720" distB="45720" distL="114300" distR="114300" simplePos="0" relativeHeight="251749888" behindDoc="0" locked="0" layoutInCell="1" allowOverlap="1" wp14:anchorId="57FAA94D" wp14:editId="6E95BCC0">
                <wp:simplePos x="0" y="0"/>
                <wp:positionH relativeFrom="margin">
                  <wp:align>left</wp:align>
                </wp:positionH>
                <wp:positionV relativeFrom="paragraph">
                  <wp:posOffset>5760720</wp:posOffset>
                </wp:positionV>
                <wp:extent cx="3600000" cy="1080000"/>
                <wp:effectExtent l="0" t="0" r="635" b="6350"/>
                <wp:wrapSquare wrapText="bothSides"/>
                <wp:docPr id="20" name="Tekstvak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600000" cy="1080000"/>
                        </a:xfrm>
                        <a:prstGeom prst="rect">
                          <a:avLst/>
                        </a:prstGeom>
                        <a:solidFill>
                          <a:srgbClr val="FFFFFF"/>
                        </a:solidFill>
                        <a:ln w="9525">
                          <a:noFill/>
                          <a:miter lim="800%"/>
                          <a:headEnd/>
                          <a:tailEnd/>
                        </a:ln>
                      </wp:spPr>
                      <wp:txbx>
                        <wne:txbxContent>
                          <w:p w14:paraId="798C88E7" w14:textId="1F6CF87C" w:rsidR="009149F5" w:rsidRDefault="00CD4590" w:rsidP="00CD4590">
                            <w:pPr>
                              <w:rPr>
                                <w:sz w:val="40"/>
                                <w:szCs w:val="40"/>
                                <w:lang w:val="nl-NL"/>
                              </w:rPr>
                            </w:pPr>
                            <w:r>
                              <w:rPr>
                                <w:sz w:val="40"/>
                                <w:szCs w:val="40"/>
                                <w:lang w:val="nl-NL"/>
                              </w:rPr>
                              <w:t>Author:</w:t>
                            </w:r>
                          </w:p>
                          <w:p w14:paraId="0655AEBB" w14:textId="10733012" w:rsidR="00CD4590" w:rsidRPr="009149F5" w:rsidRDefault="00CD4590" w:rsidP="009149F5">
                            <w:pPr>
                              <w:rPr>
                                <w:b/>
                                <w:bCs/>
                                <w:sz w:val="40"/>
                                <w:szCs w:val="40"/>
                                <w:lang w:val="nl-NL"/>
                              </w:rPr>
                            </w:pPr>
                            <w:r w:rsidRPr="00CD4590">
                              <w:rPr>
                                <w:b/>
                                <w:bCs/>
                                <w:sz w:val="40"/>
                                <w:szCs w:val="40"/>
                                <w:lang w:val="nl-NL"/>
                              </w:rPr>
                              <w:t>Eric Top</w:t>
                            </w:r>
                          </w:p>
                          <w:p w14:paraId="1D45535A" w14:textId="77777777" w:rsidR="009149F5" w:rsidRPr="009149F5" w:rsidRDefault="009149F5" w:rsidP="009149F5">
                            <w:pPr>
                              <w:jc w:val="both"/>
                              <w:rPr>
                                <w:sz w:val="40"/>
                                <w:szCs w:val="40"/>
                              </w:rPr>
                            </w:pP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sidRPr="00CD4590">
            <w:rPr>
              <w:noProof/>
              <w:sz w:val="16"/>
              <w:szCs w:val="16"/>
              <w:lang w:val="en-GB" w:eastAsia="en-GB"/>
            </w:rPr>
            <w:drawing>
              <wp:anchor distT="45720" distB="45720" distL="114300" distR="114300" simplePos="0" relativeHeight="251751936" behindDoc="0" locked="0" layoutInCell="1" allowOverlap="1" wp14:anchorId="1C460ADC" wp14:editId="017709B7">
                <wp:simplePos x="0" y="0"/>
                <wp:positionH relativeFrom="margin">
                  <wp:align>right</wp:align>
                </wp:positionH>
                <wp:positionV relativeFrom="paragraph">
                  <wp:posOffset>5760720</wp:posOffset>
                </wp:positionV>
                <wp:extent cx="3600000" cy="1080000"/>
                <wp:effectExtent l="0" t="0" r="635" b="6350"/>
                <wp:wrapSquare wrapText="bothSides"/>
                <wp:docPr id="23" name="Tekstvak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600000" cy="1080000"/>
                        </a:xfrm>
                        <a:prstGeom prst="rect">
                          <a:avLst/>
                        </a:prstGeom>
                        <a:solidFill>
                          <a:srgbClr val="FFFFFF"/>
                        </a:solidFill>
                        <a:ln w="9525">
                          <a:noFill/>
                          <a:miter lim="800%"/>
                          <a:headEnd/>
                          <a:tailEnd/>
                        </a:ln>
                      </wp:spPr>
                      <wp:txbx>
                        <wne:txbxContent>
                          <w:p w14:paraId="29AC3F04" w14:textId="77777777" w:rsidR="009149F5" w:rsidRPr="009149F5" w:rsidRDefault="009149F5" w:rsidP="009149F5">
                            <w:pPr>
                              <w:rPr>
                                <w:sz w:val="40"/>
                                <w:szCs w:val="40"/>
                              </w:rPr>
                            </w:pPr>
                            <w:r w:rsidRPr="009149F5">
                              <w:rPr>
                                <w:sz w:val="40"/>
                                <w:szCs w:val="40"/>
                              </w:rPr>
                              <w:t>Supervisor:</w:t>
                            </w:r>
                          </w:p>
                          <w:p w14:paraId="4FFA39BE" w14:textId="2ECA2EA2" w:rsidR="009149F5" w:rsidRPr="009149F5" w:rsidRDefault="009149F5" w:rsidP="009149F5">
                            <w:pPr>
                              <w:rPr>
                                <w:b/>
                                <w:bCs/>
                                <w:sz w:val="40"/>
                                <w:szCs w:val="40"/>
                              </w:rPr>
                            </w:pPr>
                            <w:proofErr w:type="spellStart"/>
                            <w:r w:rsidRPr="009149F5">
                              <w:rPr>
                                <w:b/>
                                <w:bCs/>
                                <w:sz w:val="40"/>
                                <w:szCs w:val="40"/>
                              </w:rPr>
                              <w:t>Anae</w:t>
                            </w:r>
                            <w:proofErr w:type="spellEnd"/>
                            <w:r w:rsidRPr="009149F5">
                              <w:rPr>
                                <w:b/>
                                <w:bCs/>
                                <w:sz w:val="40"/>
                                <w:szCs w:val="40"/>
                              </w:rPr>
                              <w:t xml:space="preserve"> </w:t>
                            </w:r>
                            <w:proofErr w:type="spellStart"/>
                            <w:r w:rsidRPr="009149F5">
                              <w:rPr>
                                <w:b/>
                                <w:bCs/>
                                <w:sz w:val="40"/>
                                <w:szCs w:val="40"/>
                              </w:rPr>
                              <w:t>Sobhani</w:t>
                            </w:r>
                            <w:proofErr w:type="spellEnd"/>
                            <w:r w:rsidR="005E6F42">
                              <w:rPr>
                                <w:b/>
                                <w:bCs/>
                                <w:sz w:val="40"/>
                                <w:szCs w:val="40"/>
                              </w:rPr>
                              <w:t xml:space="preserve">, Ph.D. </w:t>
                            </w:r>
                          </w:p>
                          <w:p w14:paraId="4D861E31" w14:textId="77777777" w:rsidR="009149F5" w:rsidRPr="009149F5" w:rsidRDefault="009149F5" w:rsidP="009149F5">
                            <w:pPr>
                              <w:rPr>
                                <w:sz w:val="40"/>
                                <w:szCs w:val="40"/>
                              </w:rPr>
                            </w:pPr>
                          </w:p>
                          <w:p w14:paraId="2D41146B" w14:textId="77777777" w:rsidR="009149F5" w:rsidRPr="009149F5" w:rsidRDefault="009149F5" w:rsidP="009149F5">
                            <w:pPr>
                              <w:rPr>
                                <w:sz w:val="40"/>
                                <w:szCs w:val="40"/>
                              </w:rPr>
                            </w:pP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sidRPr="00CD4590">
            <w:rPr>
              <w:noProof/>
              <w:sz w:val="16"/>
              <w:szCs w:val="16"/>
              <w:lang w:val="en-GB" w:eastAsia="en-GB"/>
            </w:rPr>
            <w:drawing>
              <wp:anchor distT="45720" distB="45720" distL="114300" distR="114300" simplePos="0" relativeHeight="251753984" behindDoc="0" locked="0" layoutInCell="1" allowOverlap="1" wp14:anchorId="10F836FF" wp14:editId="4476C663">
                <wp:simplePos x="0" y="0"/>
                <wp:positionH relativeFrom="margin">
                  <wp:align>center</wp:align>
                </wp:positionH>
                <wp:positionV relativeFrom="paragraph">
                  <wp:posOffset>7864475</wp:posOffset>
                </wp:positionV>
                <wp:extent cx="3286125" cy="1409700"/>
                <wp:effectExtent l="0" t="0" r="9525" b="0"/>
                <wp:wrapSquare wrapText="bothSides"/>
                <wp:docPr id="24" name="Tekstvak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286125" cy="1409700"/>
                        </a:xfrm>
                        <a:prstGeom prst="rect">
                          <a:avLst/>
                        </a:prstGeom>
                        <a:solidFill>
                          <a:srgbClr val="FFFFFF"/>
                        </a:solidFill>
                        <a:ln w="9525">
                          <a:noFill/>
                          <a:miter lim="800%"/>
                          <a:headEnd/>
                          <a:tailEnd/>
                        </a:ln>
                      </wp:spPr>
                      <wp:txbx>
                        <wne:txbxContent>
                          <w:p w14:paraId="6A347991" w14:textId="2B60295A" w:rsidR="009149F5" w:rsidRDefault="009149F5" w:rsidP="009149F5">
                            <w:pPr>
                              <w:rPr>
                                <w:b/>
                                <w:bCs/>
                                <w:sz w:val="40"/>
                                <w:szCs w:val="40"/>
                              </w:rPr>
                            </w:pPr>
                            <w:r>
                              <w:rPr>
                                <w:b/>
                                <w:bCs/>
                                <w:sz w:val="40"/>
                                <w:szCs w:val="40"/>
                              </w:rPr>
                              <w:t>Utrecht University</w:t>
                            </w:r>
                          </w:p>
                          <w:p w14:paraId="41481179" w14:textId="6FA01C4C" w:rsidR="009149F5" w:rsidRDefault="009149F5" w:rsidP="009149F5">
                            <w:pPr>
                              <w:rPr>
                                <w:b/>
                                <w:bCs/>
                                <w:sz w:val="40"/>
                                <w:szCs w:val="40"/>
                              </w:rPr>
                            </w:pPr>
                            <w:r>
                              <w:rPr>
                                <w:b/>
                                <w:bCs/>
                                <w:sz w:val="40"/>
                                <w:szCs w:val="40"/>
                              </w:rPr>
                              <w:t xml:space="preserve">The Faculty of </w:t>
                            </w:r>
                            <w:r w:rsidR="00240D72">
                              <w:rPr>
                                <w:b/>
                                <w:bCs/>
                                <w:sz w:val="40"/>
                                <w:szCs w:val="40"/>
                              </w:rPr>
                              <w:t>Geosciences</w:t>
                            </w:r>
                          </w:p>
                          <w:p w14:paraId="1A243B55" w14:textId="7B04F8C1" w:rsidR="009149F5" w:rsidRDefault="009149F5" w:rsidP="009149F5">
                            <w:pPr>
                              <w:rPr>
                                <w:b/>
                                <w:bCs/>
                                <w:sz w:val="40"/>
                                <w:szCs w:val="40"/>
                              </w:rPr>
                            </w:pPr>
                          </w:p>
                          <w:p w14:paraId="08C7EBE5" w14:textId="5673D6B4" w:rsidR="009149F5" w:rsidRPr="009149F5" w:rsidRDefault="009149F5" w:rsidP="009149F5">
                            <w:pPr>
                              <w:rPr>
                                <w:sz w:val="40"/>
                                <w:szCs w:val="40"/>
                              </w:rPr>
                            </w:pPr>
                            <w:r>
                              <w:rPr>
                                <w:sz w:val="40"/>
                                <w:szCs w:val="40"/>
                              </w:rPr>
                              <w:t>January, 2020</w:t>
                            </w:r>
                          </w:p>
                          <w:p w14:paraId="04D32E7F" w14:textId="77777777" w:rsidR="009149F5" w:rsidRPr="009149F5" w:rsidRDefault="009149F5" w:rsidP="009149F5">
                            <w:pPr>
                              <w:rPr>
                                <w:sz w:val="40"/>
                                <w:szCs w:val="40"/>
                              </w:rPr>
                            </w:pPr>
                          </w:p>
                          <w:p w14:paraId="34AB61F4" w14:textId="08D6EE53" w:rsidR="009149F5" w:rsidRPr="009149F5" w:rsidRDefault="009149F5" w:rsidP="009149F5">
                            <w:pPr>
                              <w:rPr>
                                <w:sz w:val="40"/>
                                <w:szCs w:val="40"/>
                              </w:rPr>
                            </w:pPr>
                            <w:r>
                              <w:rPr>
                                <w:sz w:val="40"/>
                                <w:szCs w:val="40"/>
                              </w:rPr>
                              <w:t>v</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sidR="00CD4590" w:rsidRPr="00CD4590">
            <w:rPr>
              <w:noProof/>
              <w:sz w:val="16"/>
              <w:szCs w:val="16"/>
              <w:lang w:val="en-GB" w:eastAsia="en-GB"/>
            </w:rPr>
            <w:drawing>
              <wp:anchor distT="45720" distB="45720" distL="114300" distR="114300" simplePos="0" relativeHeight="251743744" behindDoc="0" locked="0" layoutInCell="1" allowOverlap="1" wp14:anchorId="6B0A5E99" wp14:editId="6BF433F3">
                <wp:simplePos x="0" y="0"/>
                <wp:positionH relativeFrom="margin">
                  <wp:align>center</wp:align>
                </wp:positionH>
                <wp:positionV relativeFrom="paragraph">
                  <wp:posOffset>3921125</wp:posOffset>
                </wp:positionV>
                <wp:extent cx="5724525" cy="1404620"/>
                <wp:effectExtent l="0" t="0" r="9525" b="0"/>
                <wp:wrapSquare wrapText="bothSides"/>
                <wp:docPr id="17" name="Tekstvak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5724525" cy="1404620"/>
                        </a:xfrm>
                        <a:prstGeom prst="rect">
                          <a:avLst/>
                        </a:prstGeom>
                        <a:solidFill>
                          <a:srgbClr val="FFFFFF"/>
                        </a:solidFill>
                        <a:ln w="9525">
                          <a:noFill/>
                          <a:miter lim="800%"/>
                          <a:headEnd/>
                          <a:tailEnd/>
                        </a:ln>
                      </wp:spPr>
                      <wp:txbx>
                        <wne:txbxContent>
                          <w:p w14:paraId="6AB4F890" w14:textId="50AA77E8" w:rsidR="00CD4590" w:rsidRDefault="00CD4590"/>
                          <w:p w14:paraId="1681D933" w14:textId="4D3A946C" w:rsidR="00CD4590" w:rsidRPr="00CD4590" w:rsidRDefault="00CD4590" w:rsidP="005E6F42">
                            <w:pPr>
                              <w:rPr>
                                <w:b/>
                                <w:bCs/>
                                <w:sz w:val="48"/>
                                <w:szCs w:val="48"/>
                              </w:rPr>
                            </w:pPr>
                            <w:r w:rsidRPr="00CD4590">
                              <w:rPr>
                                <w:b/>
                                <w:bCs/>
                                <w:sz w:val="48"/>
                                <w:szCs w:val="48"/>
                              </w:rPr>
                              <w:t xml:space="preserve">Residential self-selection and commute mode choice in the context of mobility hubs: A Dutch case </w:t>
                            </w:r>
                            <w:r w:rsidR="005E6F42">
                              <w:rPr>
                                <w:b/>
                                <w:bCs/>
                                <w:sz w:val="48"/>
                                <w:szCs w:val="48"/>
                              </w:rPr>
                              <w:t>s</w:t>
                            </w:r>
                            <w:r w:rsidRPr="00CD4590">
                              <w:rPr>
                                <w:b/>
                                <w:bCs/>
                                <w:sz w:val="48"/>
                                <w:szCs w:val="48"/>
                              </w:rPr>
                              <w:t>tudy</w:t>
                            </w:r>
                          </w:p>
                        </wne:txbxContent>
                      </wp:txbx>
                      <wp:bodyPr rot="0" vert="horz" wrap="square" lIns="91440" tIns="45720" rIns="91440" bIns="45720" anchor="t" anchorCtr="0">
                        <a:spAutoFit/>
                      </wp:bodyPr>
                    </wp:wsp>
                  </a:graphicData>
                </a:graphic>
                <wp14:sizeRelH relativeFrom="margin">
                  <wp14:pctWidth>0%</wp14:pctWidth>
                </wp14:sizeRelH>
                <wp14:sizeRelV relativeFrom="margin">
                  <wp14:pctHeight>20%</wp14:pctHeight>
                </wp14:sizeRelV>
              </wp:anchor>
            </w:drawing>
          </w:r>
          <w:r w:rsidR="00CD4590" w:rsidRPr="00CD4590">
            <w:rPr>
              <w:noProof/>
              <w:sz w:val="16"/>
              <w:szCs w:val="16"/>
              <w:lang w:val="en-GB" w:eastAsia="en-GB"/>
            </w:rPr>
            <w:drawing>
              <wp:anchor distT="45720" distB="45720" distL="114300" distR="114300" simplePos="0" relativeHeight="251745792" behindDoc="0" locked="0" layoutInCell="1" allowOverlap="1" wp14:anchorId="7D1D376A" wp14:editId="63273F70">
                <wp:simplePos x="0" y="0"/>
                <wp:positionH relativeFrom="margin">
                  <wp:align>center</wp:align>
                </wp:positionH>
                <wp:positionV relativeFrom="paragraph">
                  <wp:posOffset>2278380</wp:posOffset>
                </wp:positionV>
                <wp:extent cx="2360930" cy="1404620"/>
                <wp:effectExtent l="0" t="0" r="1270" b="7620"/>
                <wp:wrapSquare wrapText="bothSides"/>
                <wp:docPr id="18" name="Tekstvak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2360930" cy="1404620"/>
                        </a:xfrm>
                        <a:prstGeom prst="rect">
                          <a:avLst/>
                        </a:prstGeom>
                        <a:solidFill>
                          <a:srgbClr val="FFFFFF"/>
                        </a:solidFill>
                        <a:ln w="9525">
                          <a:noFill/>
                          <a:miter lim="800%"/>
                          <a:headEnd/>
                          <a:tailEnd/>
                        </a:ln>
                      </wp:spPr>
                      <wp:txbx>
                        <wne:txbxContent>
                          <w:p w14:paraId="3787B81E" w14:textId="6225A37F" w:rsidR="00CD4590" w:rsidRPr="00CD4590" w:rsidRDefault="00CD4590">
                            <w:pPr>
                              <w:rPr>
                                <w:sz w:val="40"/>
                                <w:szCs w:val="40"/>
                                <w:lang w:val="nl-NL"/>
                              </w:rPr>
                            </w:pPr>
                            <w:r>
                              <w:rPr>
                                <w:sz w:val="40"/>
                                <w:szCs w:val="40"/>
                                <w:lang w:val="nl-NL"/>
                              </w:rPr>
                              <w:t>Master thesis</w:t>
                            </w:r>
                          </w:p>
                        </wne:txbxContent>
                      </wp:txbx>
                      <wp:bodyPr rot="0" vert="horz" wrap="square" lIns="91440" tIns="45720" rIns="91440" bIns="45720" anchor="t" anchorCtr="0">
                        <a:spAutoFit/>
                      </wp:bodyPr>
                    </wp:wsp>
                  </a:graphicData>
                </a:graphic>
                <wp14:sizeRelH relativeFrom="margin">
                  <wp14:pctWidth>40%</wp14:pctWidth>
                </wp14:sizeRelH>
                <wp14:sizeRelV relativeFrom="margin">
                  <wp14:pctHeight>20%</wp14:pctHeight>
                </wp14:sizeRelV>
              </wp:anchor>
            </w:drawing>
          </w:r>
          <w:r w:rsidR="00CD4590">
            <w:rPr>
              <w:noProof/>
              <w:lang w:val="en-GB" w:eastAsia="en-GB"/>
            </w:rPr>
            <w:drawing>
              <wp:anchor distT="0" distB="0" distL="114300" distR="114300" simplePos="0" relativeHeight="251741696" behindDoc="0" locked="0" layoutInCell="1" allowOverlap="1" wp14:anchorId="583FEED2" wp14:editId="52B75CD4">
                <wp:simplePos x="0" y="0"/>
                <wp:positionH relativeFrom="margin">
                  <wp:align>center</wp:align>
                </wp:positionH>
                <wp:positionV relativeFrom="paragraph">
                  <wp:posOffset>1901825</wp:posOffset>
                </wp:positionV>
                <wp:extent cx="3133725" cy="54610"/>
                <wp:effectExtent l="0" t="0" r="9525" b="2540"/>
                <wp:wrapNone/>
                <wp:docPr id="16" name="Rechthoek 16"/>
                <wp:cNvGraphicFramePr/>
                <a:graphic xmlns:a="http://purl.oclc.org/ooxml/drawingml/main">
                  <a:graphicData uri="http://schemas.microsoft.com/office/word/2010/wordprocessingShape">
                    <wp:wsp>
                      <wp:cNvSpPr/>
                      <wp:spPr>
                        <a:xfrm>
                          <a:off x="0" y="0"/>
                          <a:ext cx="3133725" cy="54610"/>
                        </a:xfrm>
                        <a:prstGeom prst="rect">
                          <a:avLst/>
                        </a:prstGeom>
                        <a:solidFill>
                          <a:schemeClr val="tx1"/>
                        </a:solidFill>
                        <a:ln>
                          <a:noFill/>
                        </a:ln>
                      </wp:spPr>
                      <wp:style>
                        <a:lnRef idx="2">
                          <a:schemeClr val="dk1">
                            <a:shade val="50%"/>
                          </a:schemeClr>
                        </a:lnRef>
                        <a:fillRef idx="1">
                          <a:schemeClr val="dk1"/>
                        </a:fillRef>
                        <a:effectRef idx="0">
                          <a:schemeClr val="dk1"/>
                        </a:effectRef>
                        <a:fontRef idx="minor">
                          <a:schemeClr val="lt1"/>
                        </a:fontRef>
                      </wp:style>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14:sizeRelH relativeFrom="margin">
                  <wp14:pctWidth>0%</wp14:pctWidth>
                </wp14:sizeRelH>
                <wp14:sizeRelV relativeFrom="margin">
                  <wp14:pctHeight>0%</wp14:pctHeight>
                </wp14:sizeRelV>
              </wp:anchor>
            </w:drawing>
          </w:r>
          <w:r w:rsidR="00E048ED">
            <w:rPr>
              <w:sz w:val="16"/>
              <w:szCs w:val="16"/>
            </w:rPr>
            <w:br w:type="page"/>
          </w:r>
        </w:p>
      </w:sdtContent>
    </w:sdt>
    <w:p w14:paraId="4F4727D0" w14:textId="3E3F42FE" w:rsidR="00D7522C" w:rsidRPr="00CA4392" w:rsidRDefault="00CC162F" w:rsidP="00CC162F">
      <w:pPr>
        <w:pStyle w:val="papertitle"/>
        <w:spacing w:before="5pt" w:beforeAutospacing="1" w:after="5pt" w:afterAutospacing="1"/>
        <w:jc w:val="both"/>
        <w:rPr>
          <w:sz w:val="16"/>
          <w:szCs w:val="16"/>
        </w:rPr>
        <w:sectPr w:rsidR="00D7522C" w:rsidRPr="00CA4392" w:rsidSect="00E048ED">
          <w:footerReference w:type="first" r:id="rId9"/>
          <w:pgSz w:w="595.30pt" w:h="841.90pt" w:code="9"/>
          <w:pgMar w:top="27pt" w:right="44.65pt" w:bottom="72pt" w:left="44.65pt" w:header="36pt" w:footer="36pt" w:gutter="0pt"/>
          <w:pgNumType w:start="0"/>
          <w:cols w:space="36pt"/>
          <w:titlePg/>
          <w:docGrid w:linePitch="360"/>
        </w:sectPr>
      </w:pPr>
      <w:r w:rsidRPr="00CC162F">
        <w:rPr>
          <w:kern w:val="48"/>
          <w:lang w:val="en-GB" w:eastAsia="en-GB"/>
        </w:rPr>
        <w:lastRenderedPageBreak/>
        <w:drawing>
          <wp:anchor distT="45720" distB="45720" distL="114300" distR="114300" simplePos="0" relativeHeight="251737600" behindDoc="0" locked="0" layoutInCell="1" allowOverlap="1" wp14:anchorId="4C03CE24" wp14:editId="7E0E670B">
            <wp:simplePos x="0" y="0"/>
            <wp:positionH relativeFrom="margin">
              <wp:align>left</wp:align>
            </wp:positionH>
            <wp:positionV relativeFrom="paragraph">
              <wp:posOffset>0</wp:posOffset>
            </wp:positionV>
            <wp:extent cx="6416040" cy="1920240"/>
            <wp:effectExtent l="0" t="0" r="3810" b="3810"/>
            <wp:wrapSquare wrapText="bothSides"/>
            <wp:docPr id="1" name="Tekstvak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416040" cy="1920240"/>
                    </a:xfrm>
                    <a:prstGeom prst="rect">
                      <a:avLst/>
                    </a:prstGeom>
                    <a:solidFill>
                      <a:srgbClr val="FFFFFF"/>
                    </a:solidFill>
                    <a:ln w="9525">
                      <a:noFill/>
                      <a:miter lim="800%"/>
                      <a:headEnd/>
                      <a:tailEnd/>
                    </a:ln>
                  </wp:spPr>
                  <wp:txbx>
                    <wne:txbxContent>
                      <w:p w14:paraId="42ECAA6C" w14:textId="77777777" w:rsidR="00A92FC2" w:rsidRDefault="00A92FC2" w:rsidP="00CC162F">
                        <w:pPr>
                          <w:pStyle w:val="papertitle"/>
                          <w:spacing w:before="5pt" w:beforeAutospacing="1" w:after="5pt" w:afterAutospacing="1"/>
                          <w:rPr>
                            <w:kern w:val="48"/>
                          </w:rPr>
                        </w:pPr>
                      </w:p>
                      <w:p w14:paraId="64AD2668" w14:textId="0C52D0B2" w:rsidR="00A92FC2" w:rsidRPr="008B6524" w:rsidRDefault="00A92FC2" w:rsidP="00CC162F">
                        <w:pPr>
                          <w:pStyle w:val="papertitle"/>
                          <w:spacing w:before="5pt" w:beforeAutospacing="1" w:after="5pt" w:afterAutospacing="1"/>
                          <w:rPr>
                            <w:kern w:val="48"/>
                          </w:rPr>
                        </w:pPr>
                        <w:r>
                          <w:rPr>
                            <w:kern w:val="48"/>
                          </w:rPr>
                          <w:t>Residential self-selection and commute mode choice in the context of mobility hubs: A Dutch case study</w:t>
                        </w:r>
                      </w:p>
                      <w:p w14:paraId="5740541B" w14:textId="02A6CB06" w:rsidR="00A92FC2" w:rsidRPr="00CC162F" w:rsidRDefault="00A92FC2"/>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p>
    <w:p w14:paraId="46E7D2AC" w14:textId="77777777" w:rsidR="009303D9" w:rsidRPr="00947EE6" w:rsidRDefault="00BD670B" w:rsidP="00CC162F">
      <w:pPr>
        <w:jc w:val="both"/>
        <w:sectPr w:rsidR="009303D9" w:rsidRPr="00947EE6" w:rsidSect="003B4E04">
          <w:type w:val="continuous"/>
          <w:pgSz w:w="595.30pt" w:h="841.90pt" w:code="9"/>
          <w:pgMar w:top="22.50pt" w:right="44.65pt" w:bottom="72pt" w:left="44.65pt" w:header="36pt" w:footer="36pt" w:gutter="0pt"/>
          <w:cols w:num="3" w:space="36pt"/>
          <w:docGrid w:linePitch="360"/>
        </w:sectPr>
      </w:pPr>
      <w:r w:rsidRPr="00947EE6">
        <w:br w:type="column"/>
      </w:r>
    </w:p>
    <w:p w14:paraId="4689DFC2" w14:textId="1388BB09" w:rsidR="004D72B5" w:rsidRPr="00101D2F" w:rsidRDefault="009303D9" w:rsidP="00101D2F">
      <w:pPr>
        <w:pStyle w:val="Abstract"/>
      </w:pPr>
      <w:r>
        <w:rPr>
          <w:i/>
          <w:iCs/>
        </w:rPr>
        <w:t>Abstract</w:t>
      </w:r>
      <w:r>
        <w:t>—</w:t>
      </w:r>
      <w:r w:rsidR="00101D2F" w:rsidRPr="00101D2F">
        <w:rPr>
          <w:rFonts w:eastAsiaTheme="minorHAnsi"/>
          <w:bCs w:val="0"/>
          <w:sz w:val="22"/>
          <w:szCs w:val="22"/>
        </w:rPr>
        <w:t xml:space="preserve"> </w:t>
      </w:r>
      <w:r w:rsidR="00101D2F" w:rsidRPr="00101D2F">
        <w:rPr>
          <w:i/>
        </w:rPr>
        <w:t xml:space="preserve">This research investigates the preference of residents in the province of Utrecht, the Netherlands, to move to the </w:t>
      </w:r>
      <w:proofErr w:type="spellStart"/>
      <w:r w:rsidR="00101D2F" w:rsidRPr="00101D2F">
        <w:rPr>
          <w:i/>
        </w:rPr>
        <w:t>Merwedekanaalzone</w:t>
      </w:r>
      <w:proofErr w:type="spellEnd"/>
      <w:r w:rsidR="00101D2F" w:rsidRPr="00101D2F">
        <w:rPr>
          <w:i/>
        </w:rPr>
        <w:t xml:space="preserve">, which is a planned residential area with a mobility system supported by mobility hubs... Several advanced discrete choice models with systematic taste variation were adopted to analyze the residential </w:t>
      </w:r>
      <w:r w:rsidR="00501EA0">
        <w:rPr>
          <w:i/>
        </w:rPr>
        <w:t>self-selection</w:t>
      </w:r>
      <w:r w:rsidR="00101D2F" w:rsidRPr="00101D2F">
        <w:rPr>
          <w:i/>
        </w:rPr>
        <w:t xml:space="preserve"> of individuals along with their commute mode choice. A mixed Revealed and Stated preference </w:t>
      </w:r>
      <w:r w:rsidR="001E4BFB">
        <w:rPr>
          <w:i/>
        </w:rPr>
        <w:t>online</w:t>
      </w:r>
      <w:r w:rsidR="00101D2F" w:rsidRPr="00101D2F">
        <w:rPr>
          <w:i/>
        </w:rPr>
        <w:t xml:space="preserve"> survey was designed to collect the proper data for the analysis purposes. </w:t>
      </w:r>
      <w:r w:rsidR="00501EA0">
        <w:rPr>
          <w:i/>
        </w:rPr>
        <w:t>The data consists of three hundred ninety-nine observations, where respondents were presented</w:t>
      </w:r>
      <w:r w:rsidR="00101D2F" w:rsidRPr="00101D2F">
        <w:rPr>
          <w:i/>
        </w:rPr>
        <w:t xml:space="preserve"> with the choice between residing in their current residential location or moving to a residential location with mobility hubs. Simultaneously, respondents were asked to choose their preferred commuting mode. The results show that while the respondent’s preferences differ based on their sociodemographic </w:t>
      </w:r>
      <w:proofErr w:type="spellStart"/>
      <w:r w:rsidR="00501EA0">
        <w:rPr>
          <w:i/>
        </w:rPr>
        <w:t>charact-er</w:t>
      </w:r>
      <w:r w:rsidR="00101D2F" w:rsidRPr="00101D2F">
        <w:rPr>
          <w:i/>
        </w:rPr>
        <w:t>istics</w:t>
      </w:r>
      <w:proofErr w:type="spellEnd"/>
      <w:r w:rsidR="00101D2F" w:rsidRPr="00101D2F">
        <w:rPr>
          <w:i/>
        </w:rPr>
        <w:t>, housing costs and travel costs are important factors in their combined residential and modal choice.</w:t>
      </w:r>
      <w:r w:rsidR="00101D2F" w:rsidRPr="00101D2F">
        <w:t xml:space="preserve"> </w:t>
      </w:r>
    </w:p>
    <w:p w14:paraId="3259F60F" w14:textId="561E65C2" w:rsidR="009303D9" w:rsidRPr="004D72B5" w:rsidRDefault="004D72B5" w:rsidP="00972203">
      <w:pPr>
        <w:pStyle w:val="Keywords"/>
      </w:pPr>
      <w:r w:rsidRPr="004D72B5">
        <w:t>Keywords—</w:t>
      </w:r>
      <w:r w:rsidR="00CF6CBA">
        <w:t xml:space="preserve">Mobility hub, </w:t>
      </w:r>
      <w:r w:rsidR="001E4BFB">
        <w:t>Residential self-selection,</w:t>
      </w:r>
      <w:r w:rsidR="009303D9" w:rsidRPr="004D72B5">
        <w:t xml:space="preserve"> </w:t>
      </w:r>
      <w:r w:rsidR="00CF6CBA">
        <w:t>C</w:t>
      </w:r>
      <w:r w:rsidR="001E4BFB">
        <w:t xml:space="preserve">ommute </w:t>
      </w:r>
      <w:r w:rsidR="00CF6CBA">
        <w:t>m</w:t>
      </w:r>
      <w:r w:rsidR="001E4BFB">
        <w:t xml:space="preserve">ode choice, </w:t>
      </w:r>
      <w:r w:rsidR="00CF6CBA">
        <w:t>S</w:t>
      </w:r>
      <w:r w:rsidR="001E4BFB">
        <w:t xml:space="preserve">ingle household worker, </w:t>
      </w:r>
      <w:r w:rsidR="00CF6CBA">
        <w:t>L</w:t>
      </w:r>
      <w:r w:rsidR="001E4BFB">
        <w:t>atent class nested logit model,</w:t>
      </w:r>
      <w:r w:rsidR="00CF6CBA">
        <w:t xml:space="preserve"> Nested logit model, Multinomial logit model</w:t>
      </w:r>
    </w:p>
    <w:p w14:paraId="40417C75" w14:textId="77777777" w:rsidR="009303D9" w:rsidRPr="00D632BE" w:rsidRDefault="009303D9" w:rsidP="006B6B66">
      <w:pPr>
        <w:pStyle w:val="Kop1"/>
      </w:pPr>
      <w:r w:rsidRPr="00D632BE">
        <w:t>Introduction</w:t>
      </w:r>
    </w:p>
    <w:p w14:paraId="497D626E" w14:textId="42294C02" w:rsidR="00101D2F" w:rsidRPr="00101D2F" w:rsidRDefault="00101D2F" w:rsidP="00101D2F">
      <w:pPr>
        <w:pStyle w:val="Plattetekst"/>
        <w:rPr>
          <w:bCs/>
        </w:rPr>
      </w:pPr>
      <w:r w:rsidRPr="00101D2F">
        <w:rPr>
          <w:bCs/>
        </w:rPr>
        <w:t>Within the European Union (EU) a quarter of the greenhouse gas emissions comes from the transportation sector. If left unchecked, the pollution stemming from transportation is expected to grow even further to 50% of all emissions in Europe over the next decades</w:t>
      </w:r>
      <w:r w:rsidR="00237509" w:rsidRPr="00237509">
        <w:rPr>
          <w:bCs/>
          <w:lang w:val="en-US"/>
        </w:rPr>
        <w:t xml:space="preserve"> </w:t>
      </w:r>
      <w:r w:rsidR="00237509">
        <w:rPr>
          <w:bCs/>
          <w:lang w:val="en-US"/>
        </w:rPr>
        <w:fldChar w:fldCharType="begin" w:fldLock="1"/>
      </w:r>
      <w:r w:rsidR="004B1B2E">
        <w:rPr>
          <w:bCs/>
          <w:lang w:val="en-US"/>
        </w:rPr>
        <w:instrText>ADDIN CSL_CITATION {"citationItems":[{"id":"ITEM-1","itemData":{"author":[{"dropping-particle":"","family":"European Union","given":"","non-dropping-particle":"","parse-names":false,"suffix":""}],"container-title":"Publications of the European Union, Luxembourg","id":"ITEM-1","issued":{"date-parts":[["2012"]]},"number-of-pages":"1-270","title":"Towards low carbon transport in Europe","type":"report"},"uris":["http://www.mendeley.com/documents/?uuid=4f18dbef-f027-46d5-a44e-3966e94488e7"]}],"mendeley":{"formattedCitation":"[1]","plainTextFormattedCitation":"[1]","previouslyFormattedCitation":"[1]"},"properties":{"noteIndex":0},"schema":"https://github.com/citation-style-language/schema/raw/master/csl-citation.json"}</w:instrText>
      </w:r>
      <w:r w:rsidR="00237509">
        <w:rPr>
          <w:bCs/>
          <w:lang w:val="en-US"/>
        </w:rPr>
        <w:fldChar w:fldCharType="separate"/>
      </w:r>
      <w:r w:rsidR="00237509" w:rsidRPr="00237509">
        <w:rPr>
          <w:bCs/>
          <w:noProof/>
          <w:lang w:val="en-US"/>
        </w:rPr>
        <w:t>[1]</w:t>
      </w:r>
      <w:r w:rsidR="00237509">
        <w:rPr>
          <w:bCs/>
          <w:lang w:val="en-US"/>
        </w:rPr>
        <w:fldChar w:fldCharType="end"/>
      </w:r>
      <w:r w:rsidRPr="00101D2F">
        <w:rPr>
          <w:bCs/>
        </w:rPr>
        <w:t>. The EU has voiced the ambition to battle the negative effects of mobility by stimulating automated and connected multimodal transportation and work towards a sustainable and integrated transport system in both freight and passenger transportation</w:t>
      </w:r>
      <w:r w:rsidR="00237509" w:rsidRPr="00237509">
        <w:rPr>
          <w:bCs/>
          <w:lang w:val="en-US"/>
        </w:rPr>
        <w:t xml:space="preserve"> </w:t>
      </w:r>
      <w:r w:rsidR="00237509">
        <w:rPr>
          <w:bCs/>
          <w:lang w:val="en-US"/>
        </w:rPr>
        <w:fldChar w:fldCharType="begin" w:fldLock="1"/>
      </w:r>
      <w:r w:rsidR="00A92DA0">
        <w:rPr>
          <w:bCs/>
          <w:lang w:val="en-US"/>
        </w:rPr>
        <w:instrText>ADDIN CSL_CITATION {"citationItems":[{"id":"ITEM-1","itemData":{"author":[{"dropping-particle":"","family":"European Commission","given":"","non-dropping-particle":"","parse-names":false,"suffix":""}],"id":"ITEM-1","issued":{"date-parts":[["2019"]]},"title":"Communication from the commission to the european parliament, the council, the European economic and social committee and the committee of the regions: Closing the loop - An EU action plan for the circular economy","type":"report"},"uris":["http://www.mendeley.com/documents/?uuid=7af36658-059e-487f-b5ec-a21d9364c194"]}],"mendeley":{"formattedCitation":"[2]","plainTextFormattedCitation":"[2]","previouslyFormattedCitation":"[2]"},"properties":{"noteIndex":0},"schema":"https://github.com/citation-style-language/schema/raw/master/csl-citation.json"}</w:instrText>
      </w:r>
      <w:r w:rsidR="00237509">
        <w:rPr>
          <w:bCs/>
          <w:lang w:val="en-US"/>
        </w:rPr>
        <w:fldChar w:fldCharType="separate"/>
      </w:r>
      <w:r w:rsidR="00237509" w:rsidRPr="00237509">
        <w:rPr>
          <w:bCs/>
          <w:noProof/>
          <w:lang w:val="en-US"/>
        </w:rPr>
        <w:t>[2]</w:t>
      </w:r>
      <w:r w:rsidR="00237509">
        <w:rPr>
          <w:bCs/>
          <w:lang w:val="en-US"/>
        </w:rPr>
        <w:fldChar w:fldCharType="end"/>
      </w:r>
      <w:r w:rsidRPr="00101D2F">
        <w:rPr>
          <w:bCs/>
        </w:rPr>
        <w:t xml:space="preserve">. </w:t>
      </w:r>
    </w:p>
    <w:p w14:paraId="6A35FE09" w14:textId="48F1109C" w:rsidR="00101D2F" w:rsidRPr="00101D2F" w:rsidRDefault="00101D2F" w:rsidP="00101D2F">
      <w:pPr>
        <w:pStyle w:val="Plattetekst"/>
        <w:rPr>
          <w:bCs/>
        </w:rPr>
      </w:pPr>
      <w:r w:rsidRPr="00101D2F">
        <w:rPr>
          <w:bCs/>
        </w:rPr>
        <w:t xml:space="preserve">Passenger transportation can be introduced to multimodal travel options by developing mobility hubs in residential neighborhoods in urban areas </w:t>
      </w:r>
      <w:r w:rsidRPr="00101D2F">
        <w:rPr>
          <w:bCs/>
        </w:rPr>
        <w:fldChar w:fldCharType="begin" w:fldLock="1"/>
      </w:r>
      <w:r w:rsidR="00517676">
        <w:rPr>
          <w:bCs/>
        </w:rPr>
        <w:instrText>ADDIN CSL_CITATION {"citationItems":[{"id":"ITEM-1","itemData":{"author":[{"dropping-particle":"","family":"Miramontes","given":"Montserrat","non-dropping-particle":"","parse-names":false,"suffix":""}],"container-title":"Department of Civil Geo and Environmental Engineering","id":"ITEM-1","issue":"December 2018","issued":{"date-parts":[["2018"]]},"title":"Assessment of mobility stations Success factors and contributions to sustainable urban mobility","type":"article-journal","volume":"Dr.-Ing."},"uris":["http://www.mendeley.com/documents/?uuid=bcec74de-635c-4932-a89d-d657602fd7e0"]}],"mendeley":{"formattedCitation":"[3]","plainTextFormattedCitation":"[3]","previouslyFormattedCitation":"[3]"},"properties":{"noteIndex":0},"schema":"https://github.com/citation-style-language/schema/raw/master/csl-citation.json"}</w:instrText>
      </w:r>
      <w:r w:rsidRPr="00101D2F">
        <w:rPr>
          <w:bCs/>
        </w:rPr>
        <w:fldChar w:fldCharType="separate"/>
      </w:r>
      <w:r w:rsidR="00F02ABA" w:rsidRPr="00F02ABA">
        <w:rPr>
          <w:bCs/>
          <w:noProof/>
        </w:rPr>
        <w:t>[3]</w:t>
      </w:r>
      <w:r w:rsidRPr="00101D2F">
        <w:fldChar w:fldCharType="end"/>
      </w:r>
      <w:r w:rsidRPr="00101D2F">
        <w:rPr>
          <w:bCs/>
        </w:rPr>
        <w:t xml:space="preserve">. In the context of this paper mobility hubs are defined as multimodal transportation nodes which facilitate intermodal transfers by providing access to a bundle of mobility options through an integrated virtual platform </w:t>
      </w:r>
      <w:r w:rsidRPr="00101D2F">
        <w:rPr>
          <w:bCs/>
        </w:rPr>
        <w:fldChar w:fldCharType="begin" w:fldLock="1"/>
      </w:r>
      <w:r w:rsidR="00517676">
        <w:rPr>
          <w:bCs/>
        </w:rPr>
        <w:instrText>ADDIN CSL_CITATION {"citationItems":[{"id":"ITEM-1","itemData":{"DOI":"10.1007/s11116-017-9806-y","ISBN":"1111601798","ISSN":"15729435","abstract":"The City of Munich, in cooperation with the local public transport provider MVG, is testing a pilot project of a “Mobility Station”, which is a multimodal mobility hub connecting public transport (PT) and new shared mobility services. The project’s goal is to provide sustainable mobility options that allow citizens to be mobile without owning a car. To evaluate the acceptance of the Mobility Station, as well as short and long term effects on mobility behavior, we developed an online user survey in close cooperation with the stakeholders and experts in the field of shared mobility. The results provide insights on the awareness and perception of the Mobility Station among users, their mobility patterns, current degree of multimodality, as well as actual and potential changes on mobility behavior and travel preferences due to the multimodal mobility service. Most users are young, male, and highly educated individuals with access to multiple mobility options. PT plays a central role for daily mobility together with the services they were identified to be customers of. The high share of users that use different mobility services at least once a month indicates some degree of multimodality. Actual and potential changes in mobility behavior towards multimodality were revealed. Some users declared to use other mobility services more often. They appreciate the availability of different mobility options and show interest in other services and intermodal connections indicating that there is still potential to increase multimodal behavior.","author":[{"dropping-particle":"","family":"Miramontes","given":"Montserrat","non-dropping-particle":"","parse-names":false,"suffix":""},{"dropping-particle":"","family":"Pfertner","given":"Maximilian","non-dropping-particle":"","parse-names":false,"suffix":""},{"dropping-particle":"","family":"Rayaprolu","given":"Hema Sharanya","non-dropping-particle":"","parse-names":false,"suffix":""},{"dropping-particle":"","family":"Schreiner","given":"Martin","non-dropping-particle":"","parse-names":false,"suffix":""},{"dropping-particle":"","family":"Wulfhorst","given":"Gebhard","non-dropping-particle":"","parse-names":false,"suffix":""}],"container-title":"Transportation","id":"ITEM-1","issue":"6","issued":{"date-parts":[["2017"]]},"page":"1325-1342","publisher":"Springer US","title":"Impacts of a multimodal mobility service on travel behavior and preferences: user insights from Munich’s first Mobility Station","type":"article-journal","volume":"44"},"uris":["http://www.mendeley.com/documents/?uuid=49568e9c-950e-4dd4-8145-319c7e808d0f"]}],"mendeley":{"formattedCitation":"[4]","plainTextFormattedCitation":"[4]","previouslyFormattedCitation":"[4]"},"properties":{"noteIndex":0},"schema":"https://github.com/citation-style-language/schema/raw/master/csl-citation.json"}</w:instrText>
      </w:r>
      <w:r w:rsidRPr="00101D2F">
        <w:rPr>
          <w:bCs/>
        </w:rPr>
        <w:fldChar w:fldCharType="separate"/>
      </w:r>
      <w:r w:rsidR="00F02ABA" w:rsidRPr="00F02ABA">
        <w:rPr>
          <w:bCs/>
          <w:noProof/>
        </w:rPr>
        <w:t>[4]</w:t>
      </w:r>
      <w:r w:rsidRPr="00101D2F">
        <w:fldChar w:fldCharType="end"/>
      </w:r>
      <w:r w:rsidRPr="00101D2F">
        <w:rPr>
          <w:bCs/>
        </w:rPr>
        <w:t>. The concept of mobility hubs is built on the principles of shared mobility and Mobility as a Service (</w:t>
      </w:r>
      <w:proofErr w:type="spellStart"/>
      <w:r w:rsidRPr="00101D2F">
        <w:rPr>
          <w:bCs/>
        </w:rPr>
        <w:t>MaaS</w:t>
      </w:r>
      <w:proofErr w:type="spellEnd"/>
      <w:r w:rsidRPr="00101D2F">
        <w:rPr>
          <w:bCs/>
        </w:rPr>
        <w:t xml:space="preserve">), which is an alternative approach to mobility where vehicle ownership is replaced by access to shared vehicles </w:t>
      </w:r>
      <w:r w:rsidRPr="00101D2F">
        <w:rPr>
          <w:bCs/>
        </w:rPr>
        <w:fldChar w:fldCharType="begin" w:fldLock="1"/>
      </w:r>
      <w:r w:rsidR="00517676">
        <w:rPr>
          <w:bCs/>
        </w:rPr>
        <w:instrText>ADDIN CSL_CITATION {"citationItems":[{"id":"ITEM-1","itemData":{"author":[{"dropping-particle":"","family":"Miramontes","given":"Montserrat","non-dropping-particle":"","parse-names":false,"suffix":""}],"container-title":"Department of Civil Geo and Environmental Engineering","id":"ITEM-1","issue":"December 2018","issued":{"date-parts":[["2018"]]},"title":"Assessment of mobility stations Success factors and contributions to sustainable urban mobility","type":"article-journal","volume":"Dr.-Ing."},"uris":["http://www.mendeley.com/documents/?uuid=bcec74de-635c-4932-a89d-d657602fd7e0"]}],"mendeley":{"formattedCitation":"[3]","plainTextFormattedCitation":"[3]","previouslyFormattedCitation":"[3]"},"properties":{"noteIndex":0},"schema":"https://github.com/citation-style-language/schema/raw/master/csl-citation.json"}</w:instrText>
      </w:r>
      <w:r w:rsidRPr="00101D2F">
        <w:rPr>
          <w:bCs/>
        </w:rPr>
        <w:fldChar w:fldCharType="separate"/>
      </w:r>
      <w:r w:rsidR="00F02ABA" w:rsidRPr="00F02ABA">
        <w:rPr>
          <w:bCs/>
          <w:noProof/>
        </w:rPr>
        <w:t>[3]</w:t>
      </w:r>
      <w:r w:rsidRPr="00101D2F">
        <w:fldChar w:fldCharType="end"/>
      </w:r>
      <w:r w:rsidRPr="00101D2F">
        <w:rPr>
          <w:bCs/>
        </w:rPr>
        <w:t xml:space="preserve">. Users of </w:t>
      </w:r>
      <w:proofErr w:type="spellStart"/>
      <w:r w:rsidRPr="00101D2F">
        <w:rPr>
          <w:bCs/>
        </w:rPr>
        <w:t>MaaS</w:t>
      </w:r>
      <w:proofErr w:type="spellEnd"/>
      <w:r w:rsidRPr="00101D2F">
        <w:rPr>
          <w:bCs/>
        </w:rPr>
        <w:t xml:space="preserve"> are given access to vehicles provided by intermediary parties which combine transaction, information and booking in a single service </w:t>
      </w:r>
      <w:r w:rsidRPr="00101D2F">
        <w:rPr>
          <w:bCs/>
        </w:rPr>
        <w:fldChar w:fldCharType="begin" w:fldLock="1"/>
      </w:r>
      <w:r w:rsidR="00517676">
        <w:rPr>
          <w:bCs/>
        </w:rPr>
        <w:instrText>ADDIN CSL_CITATION {"citationItems":[{"id":"ITEM-1","itemData":{"DOI":"10.1016/j.tra.2018.12.010","ISSN":"09658564","abstract":"The rapid emergence of Mobility as a Service (MaaS) into the transport sector's lexicon has brought with it an air of expectation that suggests a future mobility revolution. This paper focusses on the user perspective and offers a deepening of socio-technical thinking about MaaS and its prospects. It first provides an examination of what is understood to date about MaaS in what is a new but rapidly evolving body of literature. This highlights the concept of MaaS as a ‘mobility system beyond the private car’ and the new centrality of a ‘mobility intermediary’ layer in that system. The paper then focuses and elaborates upon its contention that MaaS is neither new nor revolutionary but is rather an evolutionary continuation in terms of transport integration. Emerging from an era of unimodal travel information systems becoming multimodal and then integrated multimodal information services, MaaS is now about adding seamless booking, payment and ticketing to the integration offer. The paper puts forward a ‘Levels of MaaS Integration (LMI) taxonomy’ analogous to the level 0–5 SAE taxonomy for automation of road vehicles. This taxonomy, designed around the user perspective (including cognitive user effort), concerns operational, informational and transactional integration that it is suggested reflect a hierarchy of user need. From a synthesis of insights from the ‘pre-MaaS’ literature concerning choice making for travel and the role of information, a MaaS behavioural schema is provided to illustrate potential consideration and adoption of MaaS from the user perspective. In concluding, the paper considers what a user perspective reveals for the future prospects of MaaS and in particular for the mobility intermediaries.","author":[{"dropping-particle":"","family":"Lyons","given":"Glenn","non-dropping-particle":"","parse-names":false,"suffix":""},{"dropping-particle":"","family":"Hammond","given":"Paul","non-dropping-particle":"","parse-names":false,"suffix":""},{"dropping-particle":"","family":"Mackay","given":"Kate","non-dropping-particle":"","parse-names":false,"suffix":""}],"container-title":"Transportation Research Part A: Policy and Practice","id":"ITEM-1","issue":"January","issued":{"date-parts":[["2019"]]},"page":"22-36","publisher":"Elsevier","title":"The importance of user perspective in the evolution of MaaS","type":"article-journal","volume":"121"},"uris":["http://www.mendeley.com/documents/?uuid=ef74119d-ed3e-4b43-bf8b-9c55e6dd982f"]}],"mendeley":{"formattedCitation":"[5]","plainTextFormattedCitation":"[5]","previouslyFormattedCitation":"[5]"},"properties":{"noteIndex":0},"schema":"https://github.com/citation-style-language/schema/raw/master/csl-citation.json"}</w:instrText>
      </w:r>
      <w:r w:rsidRPr="00101D2F">
        <w:rPr>
          <w:bCs/>
        </w:rPr>
        <w:fldChar w:fldCharType="separate"/>
      </w:r>
      <w:r w:rsidR="00F02ABA" w:rsidRPr="00F02ABA">
        <w:rPr>
          <w:bCs/>
          <w:noProof/>
        </w:rPr>
        <w:t>[5]</w:t>
      </w:r>
      <w:r w:rsidRPr="00101D2F">
        <w:fldChar w:fldCharType="end"/>
      </w:r>
      <w:r w:rsidRPr="00101D2F">
        <w:rPr>
          <w:bCs/>
        </w:rPr>
        <w:t>.</w:t>
      </w:r>
    </w:p>
    <w:p w14:paraId="345F8493" w14:textId="5CBB53A7" w:rsidR="00101D2F" w:rsidRPr="00101D2F" w:rsidRDefault="00101D2F" w:rsidP="00101D2F">
      <w:pPr>
        <w:pStyle w:val="Plattetekst"/>
        <w:rPr>
          <w:bCs/>
        </w:rPr>
      </w:pPr>
      <w:r w:rsidRPr="00101D2F">
        <w:rPr>
          <w:bCs/>
        </w:rPr>
        <w:t xml:space="preserve"> Multimodal mobility hubs are proposed as an alternative transportation option in a mobility regime dominated by private car use, but it is unknown whether the intended users </w:t>
      </w:r>
      <w:r w:rsidRPr="00101D2F">
        <w:rPr>
          <w:bCs/>
        </w:rPr>
        <w:t xml:space="preserve">are willing to follow along. </w:t>
      </w:r>
      <w:r w:rsidRPr="00101D2F">
        <w:rPr>
          <w:bCs/>
        </w:rPr>
        <w:fldChar w:fldCharType="begin" w:fldLock="1"/>
      </w:r>
      <w:r w:rsidR="00237509">
        <w:rPr>
          <w:bCs/>
        </w:rPr>
        <w:instrText>ADDIN CSL_CITATION {"citationItems":[{"id":"ITEM-1","itemData":{"author":[{"dropping-particle":"","family":"Urry","given":"John","non-dropping-particle":"","parse-names":false,"suffix":""}],"id":"ITEM-1","issued":{"date-parts":[["2007"]]},"publisher":"Polity","publisher-place":"Cambridge","title":"Mobilities","type":"book"},"uris":["http://www.mendeley.com/documents/?uuid=ceca9b68-4462-4118-81dd-70eb8a2580dc"]}],"mendeley":{"formattedCitation":"[6]","manualFormatting":"Urry ","plainTextFormattedCitation":"[6]","previouslyFormattedCitation":"[6]"},"properties":{"noteIndex":0},"schema":"https://github.com/citation-style-language/schema/raw/master/csl-citation.json"}</w:instrText>
      </w:r>
      <w:r w:rsidRPr="00101D2F">
        <w:rPr>
          <w:bCs/>
        </w:rPr>
        <w:fldChar w:fldCharType="separate"/>
      </w:r>
      <w:r w:rsidRPr="00101D2F">
        <w:rPr>
          <w:bCs/>
          <w:noProof/>
        </w:rPr>
        <w:t xml:space="preserve">Urry </w:t>
      </w:r>
      <w:r w:rsidRPr="00101D2F">
        <w:fldChar w:fldCharType="end"/>
      </w:r>
      <w:r w:rsidR="00237509">
        <w:fldChar w:fldCharType="begin" w:fldLock="1"/>
      </w:r>
      <w:r w:rsidR="00237509">
        <w:instrText>ADDIN CSL_CITATION {"citationItems":[{"id":"ITEM-1","itemData":{"author":[{"dropping-particle":"","family":"Urry","given":"John","non-dropping-particle":"","parse-names":false,"suffix":""}],"id":"ITEM-1","issued":{"date-parts":[["2007"]]},"publisher":"Polity","publisher-place":"Cambridge","title":"Mobilities","type":"book"},"uris":["http://www.mendeley.com/documents/?uuid=ceca9b68-4462-4118-81dd-70eb8a2580dc"]}],"mendeley":{"formattedCitation":"[6]","plainTextFormattedCitation":"[6]","previouslyFormattedCitation":"[6]"},"properties":{"noteIndex":0},"schema":"https://github.com/citation-style-language/schema/raw/master/csl-citation.json"}</w:instrText>
      </w:r>
      <w:r w:rsidR="00237509">
        <w:fldChar w:fldCharType="separate"/>
      </w:r>
      <w:r w:rsidR="00237509" w:rsidRPr="00237509">
        <w:rPr>
          <w:noProof/>
        </w:rPr>
        <w:t>[6]</w:t>
      </w:r>
      <w:r w:rsidR="00237509">
        <w:fldChar w:fldCharType="end"/>
      </w:r>
      <w:r w:rsidRPr="00101D2F">
        <w:rPr>
          <w:bCs/>
        </w:rPr>
        <w:t xml:space="preserve"> states that automobility has become “</w:t>
      </w:r>
      <w:r w:rsidRPr="00101D2F">
        <w:rPr>
          <w:bCs/>
          <w:i/>
        </w:rPr>
        <w:t>…impossible to break from</w:t>
      </w:r>
      <w:r w:rsidRPr="00101D2F">
        <w:rPr>
          <w:bCs/>
        </w:rPr>
        <w:t xml:space="preserve">” because the car is </w:t>
      </w:r>
      <w:r w:rsidRPr="00101D2F">
        <w:rPr>
          <w:bCs/>
          <w:i/>
        </w:rPr>
        <w:t>“…simultaneously immensely flexible and wholly coercive</w:t>
      </w:r>
      <w:r w:rsidRPr="00101D2F">
        <w:rPr>
          <w:bCs/>
        </w:rPr>
        <w:t>”</w:t>
      </w:r>
      <w:r w:rsidR="00D55F43" w:rsidRPr="00D55F43">
        <w:rPr>
          <w:bCs/>
          <w:lang w:val="en-US"/>
        </w:rPr>
        <w:t xml:space="preserve"> </w:t>
      </w:r>
      <w:r w:rsidRPr="00101D2F">
        <w:rPr>
          <w:bCs/>
        </w:rPr>
        <w:t>, flexible for the individual who seeks connectivity, and coercive for Western societies, which are forced to build further on a modernist legacy of car-oriented infrastructure</w:t>
      </w:r>
      <w:r w:rsidR="00237509" w:rsidRPr="00237509">
        <w:rPr>
          <w:bCs/>
          <w:lang w:val="en-US"/>
        </w:rPr>
        <w:t xml:space="preserve"> </w:t>
      </w:r>
      <w:r w:rsidR="00237509">
        <w:rPr>
          <w:bCs/>
          <w:lang w:val="en-US"/>
        </w:rPr>
        <w:fldChar w:fldCharType="begin" w:fldLock="1"/>
      </w:r>
      <w:r w:rsidR="00237509">
        <w:rPr>
          <w:bCs/>
          <w:lang w:val="en-US"/>
        </w:rPr>
        <w:instrText>ADDIN CSL_CITATION {"citationItems":[{"id":"ITEM-1","itemData":{"author":[{"dropping-particle":"","family":"Urry","given":"John","non-dropping-particle":"","parse-names":false,"suffix":""}],"id":"ITEM-1","issued":{"date-parts":[["2007"]]},"publisher":"Polity","publisher-place":"Cambridge","title":"Mobilities","type":"book"},"uris":["http://www.mendeley.com/documents/?uuid=ceca9b68-4462-4118-81dd-70eb8a2580dc"]}],"mendeley":{"formattedCitation":"[6]","plainTextFormattedCitation":"[6]","previouslyFormattedCitation":"[6]"},"properties":{"noteIndex":0},"schema":"https://github.com/citation-style-language/schema/raw/master/csl-citation.json"}</w:instrText>
      </w:r>
      <w:r w:rsidR="00237509">
        <w:rPr>
          <w:bCs/>
          <w:lang w:val="en-US"/>
        </w:rPr>
        <w:fldChar w:fldCharType="separate"/>
      </w:r>
      <w:r w:rsidR="00237509" w:rsidRPr="00237509">
        <w:rPr>
          <w:bCs/>
          <w:noProof/>
          <w:lang w:val="en-US"/>
        </w:rPr>
        <w:t>[6]</w:t>
      </w:r>
      <w:r w:rsidR="00237509">
        <w:rPr>
          <w:bCs/>
          <w:lang w:val="en-US"/>
        </w:rPr>
        <w:fldChar w:fldCharType="end"/>
      </w:r>
      <w:r w:rsidRPr="00101D2F">
        <w:rPr>
          <w:bCs/>
        </w:rPr>
        <w:t xml:space="preserve">. However, since the start of the millennium, the growth of car use has started to stagnate in Europe </w:t>
      </w:r>
      <w:r w:rsidRPr="00101D2F">
        <w:rPr>
          <w:bCs/>
        </w:rPr>
        <w:fldChar w:fldCharType="begin" w:fldLock="1"/>
      </w:r>
      <w:r w:rsidR="004B1B2E">
        <w:rPr>
          <w:bCs/>
        </w:rPr>
        <w:instrText>ADDIN CSL_CITATION {"citationItems":[{"id":"ITEM-1","itemData":{"ISSN":"2223-439X","abstract":"In many advanced economies, car use per head, and sometimes total car traffic, has shown low growth. In some countries (and especially cities) it has declined. In a few countries, there have been similar studies of the distance travelled by all modes added together, which has shown a similar trend though with some doubts about how international air travel should be handled. It is generally agreed that the trends in the last few years must be influenced by world economic problems, but some of the possible changes in trend seem to go back ten or twenty years, with signs detectable even longer. Although there are differences of emphasis, the statistical facts of a reduction in historic growth, low growth or stability at national level, and reductions in specific locations especially some larger urban areas seem broadly agreed by most analyses. This evidence is sometimes ignored, but it is not contested. There is great interest in the appearance of some common features in many countries, notably including changes in the propensity to get driving licenses among young adults (especially teenage men), an apparent weakening of the association between income and mobility, a greater influence of public transport, walking and cycling to economic prosperity in some of the most successful cities, and the development of e-commerce, telecommuting, and social networks. There are currently differences in judgement on how influential these factors are, and on whether the observed trends are temporary, or reflect structural shifts which could be long-lived. These differences especially focus on the relative importance of economic issues (particularly prices and incomes), and wider social and cultural changes such as mobile internet access, demographic, gender, attitudinal and cultural trends, the effects of transport policies, and the possibilities of deeper concepts of ‘saturation’ of mobility when further increases bring little extra benefit. There is at the moment no strongly established common view about future growth in car use to the extent that was taken for granted in earlier decades. The paper discusses research needs, and some emerging issues for future transport policies, including the appraisal of large scale transport infrastructure projects, service provision, pricing, the allocation of risk, and initiatives to reduce car dependence, in the context where forecasts are problematic and contested.","author":[{"dropping-particle":"","family":"Goodwin","given":"Phil","non-dropping-particle":"","parse-names":false,"suffix":""}],"container-title":"Internation Transport Forum","id":"ITEM-1","issue":"March","issued":{"date-parts":[["2012"]]},"page":"41","title":"Peak travel, Peak car and the future of mobility","type":"article-journal"},"uris":["http://www.mendeley.com/documents/?uuid=6696ebc6-e8ba-422b-9aed-6a8bfb246687"]}],"mendeley":{"formattedCitation":"[7]","plainTextFormattedCitation":"[7]","previouslyFormattedCitation":"[7]"},"properties":{"noteIndex":0},"schema":"https://github.com/citation-style-language/schema/raw/master/csl-citation.json"}</w:instrText>
      </w:r>
      <w:r w:rsidRPr="00101D2F">
        <w:rPr>
          <w:bCs/>
        </w:rPr>
        <w:fldChar w:fldCharType="separate"/>
      </w:r>
      <w:r w:rsidR="00F02ABA" w:rsidRPr="00F02ABA">
        <w:rPr>
          <w:bCs/>
          <w:noProof/>
        </w:rPr>
        <w:t>[7]</w:t>
      </w:r>
      <w:r w:rsidRPr="00101D2F">
        <w:fldChar w:fldCharType="end"/>
      </w:r>
      <w:r w:rsidRPr="00101D2F">
        <w:rPr>
          <w:bCs/>
        </w:rPr>
        <w:t xml:space="preserve">. Especially younger urban residents have started to shift away from the car as their preferred mode </w:t>
      </w:r>
      <w:r w:rsidRPr="00101D2F">
        <w:rPr>
          <w:bCs/>
        </w:rPr>
        <w:fldChar w:fldCharType="begin" w:fldLock="1"/>
      </w:r>
      <w:r w:rsidR="00517676">
        <w:rPr>
          <w:bCs/>
        </w:rPr>
        <w:instrText>ADDIN CSL_CITATION {"citationItems":[{"id":"ITEM-1","itemData":{"DOI":"10.2760/172631","ISBN":"9789279666681","author":[{"dropping-particle":"","family":"Focas","given":"Caralampo","non-dropping-particle":"","parse-names":false,"suffix":""},{"dropping-particle":"","family":"Christidis","given":"Panayotis","non-dropping-particle":"","parse-names":false,"suffix":""}],"id":"ITEM-1","issued":{"date-parts":[["2017"]]},"number-of-pages":"1-28","title":"What drives car use in Europe?","type":"report"},"uris":["http://www.mendeley.com/documents/?uuid=54050089-2613-4a78-9624-5d50ed7c8977"]}],"mendeley":{"formattedCitation":"[8]","plainTextFormattedCitation":"[8]","previouslyFormattedCitation":"[8]"},"properties":{"noteIndex":0},"schema":"https://github.com/citation-style-language/schema/raw/master/csl-citation.json"}</w:instrText>
      </w:r>
      <w:r w:rsidRPr="00101D2F">
        <w:rPr>
          <w:bCs/>
        </w:rPr>
        <w:fldChar w:fldCharType="separate"/>
      </w:r>
      <w:r w:rsidR="00F02ABA" w:rsidRPr="00F02ABA">
        <w:rPr>
          <w:bCs/>
          <w:noProof/>
        </w:rPr>
        <w:t>[8]</w:t>
      </w:r>
      <w:r w:rsidRPr="00101D2F">
        <w:fldChar w:fldCharType="end"/>
      </w:r>
      <w:r w:rsidRPr="00101D2F">
        <w:rPr>
          <w:bCs/>
        </w:rPr>
        <w:t xml:space="preserve">. The lifestyle offered by neighborhoods with mobility hubs may thus be of interest for this demographic group. </w:t>
      </w:r>
    </w:p>
    <w:p w14:paraId="4F6DC50E" w14:textId="7C9856E1" w:rsidR="00101D2F" w:rsidRPr="00101D2F" w:rsidRDefault="00101D2F" w:rsidP="00101D2F">
      <w:pPr>
        <w:pStyle w:val="Plattetekst"/>
        <w:rPr>
          <w:bCs/>
        </w:rPr>
      </w:pPr>
      <w:r w:rsidRPr="00101D2F">
        <w:rPr>
          <w:bCs/>
        </w:rPr>
        <w:t xml:space="preserve">Neighborhoods with mobility hubs may also be of particular interest for working singles. Single households have been shown to favor central-city living and they are more keen on job proximity than other household types </w:t>
      </w:r>
      <w:r w:rsidRPr="00101D2F">
        <w:rPr>
          <w:bCs/>
        </w:rPr>
        <w:fldChar w:fldCharType="begin" w:fldLock="1"/>
      </w:r>
      <w:r w:rsidR="004B1B2E">
        <w:rPr>
          <w:bCs/>
        </w:rPr>
        <w:instrText>ADDIN CSL_CITATION {"citationItems":[{"id":"ITEM-1","itemData":{"DOI":"10.1177/0042098013492233","ISSN":"00420980","abstract":"Between 1930 and 2010 the share of single-person, or solo, households in the US increased from 6 per cent to almost 28 per cent, whereas the share of married-couple households decreased from 79 per cent to 49 per cent. Yet solo households have received little attention in urban planning and transport research. Given the significant increase of solo households in US cities, this study identifies the distinctive dwelling, moving and travel characteristics of the American solo households, and examines the reasons for their attraction to cities. It uses historical data from census Public Use Microdata Samples and recent national data from the American Housing Survey and the National Household Travel Survey. Descriptive statistics, basic statistical tests, binary logit models and Heckman sample selection models are used to examine various relationships. Some of the transport-related and environmental implications of the findings are discussed. © 2013 Urban Studies Journal Limited.","author":[{"dropping-particle":"","family":"Deka","given":"Devajyoti","non-dropping-particle":"","parse-names":false,"suffix":""}],"container-title":"Urban Studies","id":"ITEM-1","issue":"4","issued":{"date-parts":[["2014"]]},"page":"634-654","title":"The living, moving and travel behaviour of the growing American solo: Implications for cities","type":"article-journal","volume":"51"},"uris":["http://www.mendeley.com/documents/?uuid=7e0639e1-4133-4125-b00f-63435190ba4b"]}],"mendeley":{"formattedCitation":"[9]","plainTextFormattedCitation":"[9]","previouslyFormattedCitation":"[9]"},"properties":{"noteIndex":0},"schema":"https://github.com/citation-style-language/schema/raw/master/csl-citation.json"}</w:instrText>
      </w:r>
      <w:r w:rsidRPr="00101D2F">
        <w:rPr>
          <w:bCs/>
        </w:rPr>
        <w:fldChar w:fldCharType="separate"/>
      </w:r>
      <w:r w:rsidR="00F02ABA" w:rsidRPr="00F02ABA">
        <w:rPr>
          <w:bCs/>
          <w:noProof/>
        </w:rPr>
        <w:t>[9]</w:t>
      </w:r>
      <w:r w:rsidRPr="00101D2F">
        <w:fldChar w:fldCharType="end"/>
      </w:r>
      <w:r w:rsidRPr="00101D2F">
        <w:rPr>
          <w:bCs/>
        </w:rPr>
        <w:t xml:space="preserve">. Mobility hubs have the potential to improve the inner-urban accessibility, giving working singles accessibility to both their job location and the recreational activities in the inner city. </w:t>
      </w:r>
    </w:p>
    <w:p w14:paraId="412D9921" w14:textId="77CD06CE" w:rsidR="00101D2F" w:rsidRPr="00101D2F" w:rsidRDefault="00101D2F" w:rsidP="00101D2F">
      <w:pPr>
        <w:pStyle w:val="Plattetekst"/>
        <w:rPr>
          <w:bCs/>
        </w:rPr>
      </w:pPr>
      <w:r w:rsidRPr="00101D2F">
        <w:rPr>
          <w:bCs/>
        </w:rPr>
        <w:t xml:space="preserve">The aim of this research is to capture the attractiveness of mobility hubs by estimating the willingness of working singles to move to a residential area with mobility hubs. Through this estimation demographic segmentations and their preferences can be defined. The research is operationalized through the analysis of discrete choice data. This data is </w:t>
      </w:r>
      <w:r w:rsidR="00501EA0" w:rsidRPr="00501EA0">
        <w:rPr>
          <w:bCs/>
          <w:lang w:val="en-US"/>
        </w:rPr>
        <w:t>con</w:t>
      </w:r>
      <w:r w:rsidR="00501EA0">
        <w:rPr>
          <w:bCs/>
          <w:lang w:val="en-US"/>
        </w:rPr>
        <w:t>sists of three hundred ninety-nine observations of</w:t>
      </w:r>
      <w:r w:rsidRPr="00101D2F">
        <w:rPr>
          <w:bCs/>
        </w:rPr>
        <w:t xml:space="preserve"> single worker households within the province of Utrecht, the Netherlands. For the collection of the data a dynamic online survey is designed which features a choice scenario. Here, the respondent is given a simultaneous residential choice and mode choice. This research has two additional objectives. The first objective is to test the hypothesis that young individuals are more interested in mobility hubs than older individuals. The second objective is to test the application of an innovative discrete choice model. A latent class nested logit model is applied to see whether it provides better results than more basic discrete choice models. </w:t>
      </w:r>
    </w:p>
    <w:p w14:paraId="0D58682C" w14:textId="7AA4C232" w:rsidR="00101D2F" w:rsidRPr="00101D2F" w:rsidRDefault="00101D2F" w:rsidP="00101D2F">
      <w:pPr>
        <w:pStyle w:val="Plattetekst"/>
        <w:rPr>
          <w:bCs/>
        </w:rPr>
      </w:pPr>
      <w:r w:rsidRPr="00101D2F">
        <w:rPr>
          <w:bCs/>
        </w:rPr>
        <w:t xml:space="preserve">Mobility hubs have received quite some attention in the existing literature, although they are frequently referred to with different terms, such as multimodal hubs, intermodal hubs, mobility stations and more. Studies have focused on defining typologies </w:t>
      </w:r>
      <w:r w:rsidRPr="00101D2F">
        <w:rPr>
          <w:bCs/>
        </w:rPr>
        <w:fldChar w:fldCharType="begin" w:fldLock="1"/>
      </w:r>
      <w:r w:rsidR="004B1B2E">
        <w:rPr>
          <w:bCs/>
        </w:rPr>
        <w:instrText>ADDIN CSL_CITATION {"citationItems":[{"id":"ITEM-1","itemData":{"author":[{"dropping-particle":"","family":"Pfaffenbichler","given":"Paul","non-dropping-particle":"","parse-names":false,"suffix":""},{"dropping-particle":"","family":"Vorstandlechner","given":"Fabian","non-dropping-particle":"","parse-names":false,"suffix":""}],"id":"ITEM-1","issued":{"date-parts":[["2016"]]},"title":"Einfluss innovativer Konzepte und Mobilitätsdienstleistungen auf das Angebot und die Nutzung des öffentlichen Raums in urbanen Strukturen (IKARUS) - Endbericht","type":"article-journal"},"uris":["http://www.mendeley.com/documents/?uuid=88b605b5-c013-4681-aa71-18d71c2b745c"]}],"mendeley":{"formattedCitation":"[10]","plainTextFormattedCitation":"[10]","previouslyFormattedCitation":"[10]"},"properties":{"noteIndex":0},"schema":"https://github.com/citation-style-language/schema/raw/master/csl-citation.json"}</w:instrText>
      </w:r>
      <w:r w:rsidRPr="00101D2F">
        <w:rPr>
          <w:bCs/>
        </w:rPr>
        <w:fldChar w:fldCharType="separate"/>
      </w:r>
      <w:r w:rsidR="00F02ABA" w:rsidRPr="00F02ABA">
        <w:rPr>
          <w:bCs/>
          <w:noProof/>
        </w:rPr>
        <w:t>[10]</w:t>
      </w:r>
      <w:r w:rsidRPr="00101D2F">
        <w:fldChar w:fldCharType="end"/>
      </w:r>
      <w:r w:rsidRPr="00101D2F">
        <w:rPr>
          <w:bCs/>
        </w:rPr>
        <w:t xml:space="preserve">, distinguishing user requirements </w:t>
      </w:r>
      <w:r w:rsidRPr="00101D2F">
        <w:rPr>
          <w:bCs/>
        </w:rPr>
        <w:fldChar w:fldCharType="begin" w:fldLock="1"/>
      </w:r>
      <w:r w:rsidR="004B1B2E">
        <w:rPr>
          <w:bCs/>
        </w:rPr>
        <w:instrText>ADDIN CSL_CITATION {"citationItems":[{"id":"ITEM-1","itemData":{"DOI":"10.3390/socsci8020065","ISSN":"20760760","abstract":"Technological innovation in the mobility and transport sphere is still strongly aimed at vehicle- or infrastructure-based systems. Actual user needs in regard to accessibility and usability of the links between different transportation modes are usually addressed by standardized planning processes. In a row of four consecutive Austrian research projects, every element in the chain of intermodal routes was addressed, starting from the user-centered features of public transport stops in both urban and rural transport systems, to the planning tasks involved in providing demand-driven public transport. The current iteration focuses on establishing a typology of intermodal mobility hubs, including a differentiated view of the potential users of a multimodal transport system and their respective needs at the station.","author":[{"dropping-particle":"","family":"Bell","given":"Daniel","non-dropping-particle":"","parse-names":false,"suffix":""}],"container-title":"Social Sciences","id":"ITEM-1","issue":"2","issued":{"date-parts":[["2019"]]},"title":"Intermodal mobility hubs and user needs","type":"article-journal","volume":"8"},"uris":["http://www.mendeley.com/documents/?uuid=1bce14d3-07f9-42fa-8d89-c709928e8859"]},{"id":"ITEM-2","itemData":{"DOI":"10.1016/j.trpro.2016.05.183","ISSN":"23521465","abstract":"Multimodal trips are increasing in metropolitan areas, making public transport less attractive. There is a need for integration in order to achieve effective seamless mobility. One dimension of integration is to reduce the disruption of transfer among modes and interchanges appear as the best solution when big number of travellers has to transfer. The City-HUB 7FP project1 has developed a three years research for deploying new interchanges and improving existing ones. It starts by identifying two groups of dimensions that define Interchange key features. The first dimension is related to Physical&amp;Size, including passenger demand, modes of transport, services and facilities and location in the city. The second dimension is related to Local Impacts such as developing of new activities -housing, offices, nearby shopping-, jobs creation and its connection with the local Development Plan. The combination of the elements of the two dimensions define the following key features: building design, stakeholders' involvement and the type of business model. The findings are based on interviews to practitioners undertaken in 26 selected interchanges in 9 European countries. According to these key features, the interchange should organize the space among three different zones: access-egress zone; facilities zone; and arrival-departure-transfer zone. The first one is where links to the local area and access to transport modes are focused. The last one caters for intermodal transfers. Travel information and intermodal services are spread across both zones as well as the facilities and retailing. Users' perceptions should be collected to improve interchange efficiency. To that end a travellers' attitudinal survey has been carried out in interchanges in 5 European cities. From the user point of view the most important factors identified in the surveys are safety and security, transfer conditions, emergency situation, information, design, services&amp;facilities, environmental quality and comfort of waiting time. All these elements define the interchange from two different perspectives: \"as a transport node\" and \"as a place\". The first one is related to the functionality as a node of the transport network; the second includes all the features for make the transfer experience more attractive and efficient. The project has identified a number of recommendations for developing urban transport interchanges. Some of them refers to users, other to operators and the third part deals …","author":[{"dropping-particle":"","family":"Monzón","given":"Andrés","non-dropping-particle":"","parse-names":false,"suffix":""},{"dropping-particle":"","family":"Hernández","given":"Sara","non-dropping-particle":"","parse-names":false,"suffix":""},{"dropping-particle":"","family":"Ciommo","given":"Floridea","non-dropping-particle":"Di","parse-names":false,"suffix":""}],"container-title":"Transportation Research Procedia","id":"ITEM-2","issued":{"date-parts":[["2016"]]},"page":"1124-1133","publisher":"Elsevier B.V.","title":"Efficient urban interchanges: The city-HUB model","type":"article-journal","volume":"14"},"uris":["http://www.mendeley.com/documents/?uuid=23df2cb5-6031-4624-baff-002f59ded3c4"]}],"mendeley":{"formattedCitation":"[11], [12]","plainTextFormattedCitation":"[11], [12]","previouslyFormattedCitation":"[11], [12]"},"properties":{"noteIndex":0},"schema":"https://github.com/citation-style-language/schema/raw/master/csl-citation.json"}</w:instrText>
      </w:r>
      <w:r w:rsidRPr="00101D2F">
        <w:rPr>
          <w:bCs/>
        </w:rPr>
        <w:fldChar w:fldCharType="separate"/>
      </w:r>
      <w:r w:rsidR="00F02ABA" w:rsidRPr="00F02ABA">
        <w:rPr>
          <w:bCs/>
          <w:noProof/>
        </w:rPr>
        <w:t>[11], [12]</w:t>
      </w:r>
      <w:r w:rsidRPr="00101D2F">
        <w:fldChar w:fldCharType="end"/>
      </w:r>
      <w:r w:rsidRPr="00101D2F">
        <w:rPr>
          <w:bCs/>
        </w:rPr>
        <w:t xml:space="preserve">, capturing user preferences </w:t>
      </w:r>
      <w:r w:rsidRPr="00101D2F">
        <w:rPr>
          <w:bCs/>
        </w:rPr>
        <w:fldChar w:fldCharType="begin" w:fldLock="1"/>
      </w:r>
      <w:r w:rsidR="00517676">
        <w:rPr>
          <w:bCs/>
        </w:rPr>
        <w:instrText>ADDIN CSL_CITATION {"citationItems":[{"id":"ITEM-1","itemData":{"DOI":"10.1007/s11116-017-9806-y","ISBN":"1111601798","ISSN":"15729435","abstract":"The City of Munich, in cooperation with the local public transport provider MVG, is testing a pilot project of a “Mobility Station”, which is a multimodal mobility hub connecting public transport (PT) and new shared mobility services. The project’s goal is to provide sustainable mobility options that allow citizens to be mobile without owning a car. To evaluate the acceptance of the Mobility Station, as well as short and long term effects on mobility behavior, we developed an online user survey in close cooperation with the stakeholders and experts in the field of shared mobility. The results provide insights on the awareness and perception of the Mobility Station among users, their mobility patterns, current degree of multimodality, as well as actual and potential changes on mobility behavior and travel preferences due to the multimodal mobility service. Most users are young, male, and highly educated individuals with access to multiple mobility options. PT plays a central role for daily mobility together with the services they were identified to be customers of. The high share of users that use different mobility services at least once a month indicates some degree of multimodality. Actual and potential changes in mobility behavior towards multimodality were revealed. Some users declared to use other mobility services more often. They appreciate the availability of different mobility options and show interest in other services and intermodal connections indicating that there is still potential to increase multimodal behavior.","author":[{"dropping-particle":"","family":"Miramontes","given":"Montserrat","non-dropping-particle":"","parse-names":false,"suffix":""},{"dropping-particle":"","family":"Pfertner","given":"Maximilian","non-dropping-particle":"","parse-names":false,"suffix":""},{"dropping-particle":"","family":"Rayaprolu","given":"Hema Sharanya","non-dropping-particle":"","parse-names":false,"suffix":""},{"dropping-particle":"","family":"Schreiner","given":"Martin","non-dropping-particle":"","parse-names":false,"suffix":""},{"dropping-particle":"","family":"Wulfhorst","given":"Gebhard","non-dropping-particle":"","parse-names":false,"suffix":""}],"container-title":"Transportation","id":"ITEM-1","issue":"6","issued":{"date-parts":[["2017"]]},"page":"1325-1342","publisher":"Springer US","title":"Impacts of a multimodal mobility service on travel behavior and preferences: user insights from Munich’s first Mobility Station","type":"article-journal","volume":"44"},"uris":["http://www.mendeley.com/documents/?uuid=49568e9c-950e-4dd4-8145-319c7e808d0f"]}],"mendeley":{"formattedCitation":"[4]","plainTextFormattedCitation":"[4]","previouslyFormattedCitation":"[4]"},"properties":{"noteIndex":0},"schema":"https://github.com/citation-style-language/schema/raw/master/csl-citation.json"}</w:instrText>
      </w:r>
      <w:r w:rsidRPr="00101D2F">
        <w:rPr>
          <w:bCs/>
        </w:rPr>
        <w:fldChar w:fldCharType="separate"/>
      </w:r>
      <w:r w:rsidR="00F02ABA" w:rsidRPr="00F02ABA">
        <w:rPr>
          <w:bCs/>
          <w:noProof/>
        </w:rPr>
        <w:t>[4]</w:t>
      </w:r>
      <w:r w:rsidRPr="00101D2F">
        <w:fldChar w:fldCharType="end"/>
      </w:r>
      <w:r w:rsidRPr="00101D2F">
        <w:rPr>
          <w:bCs/>
        </w:rPr>
        <w:t xml:space="preserve"> and investigating planning practices </w:t>
      </w:r>
      <w:r w:rsidRPr="00101D2F">
        <w:rPr>
          <w:bCs/>
        </w:rPr>
        <w:fldChar w:fldCharType="begin" w:fldLock="1"/>
      </w:r>
      <w:r w:rsidR="00517676">
        <w:rPr>
          <w:bCs/>
        </w:rPr>
        <w:instrText>ADDIN CSL_CITATION {"citationItems":[{"id":"ITEM-1","itemData":{"DOI":"10.1016/j.trpro.2017.05.067","ISSN":"23521465","abstract":"The research interest in multi-modal passenger transportation planning is growing and dealing with transport infrastructure projects a big number of different challenges have to be considered. Urban transport planning includes scientific and technical knowledge to actions in urban space. In recent years a lot of smart technologies have been promoted for urban problems solving. However, the European Regulation No 1315/2013 takes account of the fact that infrastructure projects need a certain involvement of public and private stakeholders to ensure the promotion of sustainable transport solutions, such as enhanced accessibility by public transport, telematics applications, intermodal terminals/multimodal transport chains, low-carbon and other innovative transport solutions and environmental improvements and the enhancement of cooperation between the different stakeholders. So, including the transport sustainability issues (such as network efficiency, cohesion and environment) in planning process is the obligate requirement for strategic transport planning. The research presents an overview of the case study: planning decisions for the passenger network in Riga City in the frame of the Rail Baltic project - Riga central multimodal public transportation hub. Multi-modal transportation planning should have integrated institutions, networks, stations, user information, and fare payment systems; it is needed to consider all significant impacts, including long-term, indirect and non-market impacts such as equity and land use changes. One of the key-stone question in this case study - multi-modal transportation planning requires consideration of the factors that affect accessibility and whether they are currently considered in planning? The paper presents an integrated analysis in the area of planned transport node compiled from the individual partial studies and based on the desk research. Traffic on macro-level and transit mobility issues are the central aspect in this analysis.","author":[{"dropping-particle":"","family":"Yatskiv","given":"Irina","non-dropping-particle":"","parse-names":false,"suffix":""},{"dropping-particle":"","family":"Budilovich","given":"Evelina","non-dropping-particle":"","parse-names":false,"suffix":""}],"container-title":"Transportation Research Procedia","id":"ITEM-1","issued":{"date-parts":[["2017"]]},"page":"50-57","publisher":"Elsevier B.V.","title":"A comprehensive analysis of the planned multimodal public transportation HUB","type":"article-journal","volume":"24"},"uris":["http://www.mendeley.com/documents/?uuid=2b058883-9219-4e77-8fb0-3c52389ceae6"]}],"mendeley":{"formattedCitation":"[13]","plainTextFormattedCitation":"[13]","previouslyFormattedCitation":"[13]"},"properties":{"noteIndex":0},"schema":"https://github.com/citation-style-language/schema/raw/master/csl-citation.json"}</w:instrText>
      </w:r>
      <w:r w:rsidRPr="00101D2F">
        <w:rPr>
          <w:bCs/>
        </w:rPr>
        <w:fldChar w:fldCharType="separate"/>
      </w:r>
      <w:r w:rsidR="00F02ABA" w:rsidRPr="00F02ABA">
        <w:rPr>
          <w:bCs/>
          <w:noProof/>
        </w:rPr>
        <w:t>[13]</w:t>
      </w:r>
      <w:r w:rsidRPr="00101D2F">
        <w:fldChar w:fldCharType="end"/>
      </w:r>
      <w:r w:rsidRPr="00101D2F">
        <w:rPr>
          <w:bCs/>
        </w:rPr>
        <w:t xml:space="preserve">. Additionally, a more elaborate and comprehensive work is provided by </w:t>
      </w:r>
      <w:r w:rsidRPr="00101D2F">
        <w:rPr>
          <w:bCs/>
        </w:rPr>
        <w:fldChar w:fldCharType="begin" w:fldLock="1"/>
      </w:r>
      <w:r w:rsidR="00237509">
        <w:rPr>
          <w:bCs/>
        </w:rPr>
        <w:instrText>ADDIN CSL_CITATION {"citationItems":[{"id":"ITEM-1","itemData":{"author":[{"dropping-particle":"","family":"Miramontes","given":"Montserrat","non-dropping-particle":"","parse-names":false,"suffix":""}],"container-title":"Department of Civil Geo and Environmental Engineering","id":"ITEM-1","issue":"December 2018","issued":{"date-parts":[["2018"]]},"title":"Assessment of mobility stations Success factors and contributions to sustainable urban mobility","type":"article-journal","volume":"Dr.-Ing."},"uris":["http://www.mendeley.com/documents/?uuid=bcec74de-635c-4932-a89d-d657602fd7e0"]}],"mendeley":{"formattedCitation":"[3]","manualFormatting":"Miramontes ","plainTextFormattedCitation":"[3]","previouslyFormattedCitation":"[3]"},"properties":{"noteIndex":0},"schema":"https://github.com/citation-style-language/schema/raw/master/csl-citation.json"}</w:instrText>
      </w:r>
      <w:r w:rsidRPr="00101D2F">
        <w:rPr>
          <w:bCs/>
        </w:rPr>
        <w:fldChar w:fldCharType="separate"/>
      </w:r>
      <w:r w:rsidRPr="00101D2F">
        <w:rPr>
          <w:bCs/>
          <w:noProof/>
        </w:rPr>
        <w:t xml:space="preserve">Miramontes </w:t>
      </w:r>
      <w:r w:rsidRPr="00101D2F">
        <w:fldChar w:fldCharType="end"/>
      </w:r>
      <w:r w:rsidR="00237509">
        <w:fldChar w:fldCharType="begin" w:fldLock="1"/>
      </w:r>
      <w:r w:rsidR="00237509">
        <w:instrText>ADDIN CSL_CITATION {"citationItems":[{"id":"ITEM-1","itemData":{"author":[{"dropping-particle":"","family":"Miramontes","given":"Montserrat","non-dropping-particle":"","parse-names":false,"suffix":""}],"container-title":"Department of Civil Geo and Environmental Engineering","id":"ITEM-1","issue":"December 2018","issued":{"date-parts":[["2018"]]},"title":"Assessment of mobility stations Success factors and contributions to sustainable urban mobility","type":"article-journal","volume":"Dr.-Ing."},"uris":["http://www.mendeley.com/documents/?uuid=bcec74de-635c-4932-a89d-d657602fd7e0"]}],"mendeley":{"formattedCitation":"[3]","plainTextFormattedCitation":"[3]","previouslyFormattedCitation":"[3]"},"properties":{"noteIndex":0},"schema":"https://github.com/citation-style-language/schema/raw/master/csl-citation.json"}</w:instrText>
      </w:r>
      <w:r w:rsidR="00237509">
        <w:fldChar w:fldCharType="separate"/>
      </w:r>
      <w:r w:rsidR="00237509" w:rsidRPr="00237509">
        <w:rPr>
          <w:noProof/>
        </w:rPr>
        <w:t>[3]</w:t>
      </w:r>
      <w:r w:rsidR="00237509">
        <w:fldChar w:fldCharType="end"/>
      </w:r>
      <w:r w:rsidRPr="00101D2F">
        <w:rPr>
          <w:bCs/>
        </w:rPr>
        <w:t xml:space="preserve">. While these studies focus on providing a knowledge base for the characteristics and requirements of successful mobility hubs, </w:t>
      </w:r>
      <w:r w:rsidRPr="00101D2F">
        <w:rPr>
          <w:bCs/>
        </w:rPr>
        <w:lastRenderedPageBreak/>
        <w:t xml:space="preserve">little attention is devoted to the definition of the users themselves, the exception being </w:t>
      </w:r>
      <w:r w:rsidRPr="00101D2F">
        <w:rPr>
          <w:bCs/>
        </w:rPr>
        <w:fldChar w:fldCharType="begin" w:fldLock="1"/>
      </w:r>
      <w:r w:rsidR="00237509">
        <w:rPr>
          <w:bCs/>
        </w:rPr>
        <w:instrText>ADDIN CSL_CITATION {"citationItems":[{"id":"ITEM-1","itemData":{"DOI":"10.1007/s11116-017-9806-y","ISBN":"1111601798","ISSN":"15729435","abstract":"The City of Munich, in cooperation with the local public transport provider MVG, is testing a pilot project of a “Mobility Station”, which is a multimodal mobility hub connecting public transport (PT) and new shared mobility services. The project’s goal is to provide sustainable mobility options that allow citizens to be mobile without owning a car. To evaluate the acceptance of the Mobility Station, as well as short and long term effects on mobility behavior, we developed an online user survey in close cooperation with the stakeholders and experts in the field of shared mobility. The results provide insights on the awareness and perception of the Mobility Station among users, their mobility patterns, current degree of multimodality, as well as actual and potential changes on mobility behavior and travel preferences due to the multimodal mobility service. Most users are young, male, and highly educated individuals with access to multiple mobility options. PT plays a central role for daily mobility together with the services they were identified to be customers of. The high share of users that use different mobility services at least once a month indicates some degree of multimodality. Actual and potential changes in mobility behavior towards multimodality were revealed. Some users declared to use other mobility services more often. They appreciate the availability of different mobility options and show interest in other services and intermodal connections indicating that there is still potential to increase multimodal behavior.","author":[{"dropping-particle":"","family":"Miramontes","given":"Montserrat","non-dropping-particle":"","parse-names":false,"suffix":""},{"dropping-particle":"","family":"Pfertner","given":"Maximilian","non-dropping-particle":"","parse-names":false,"suffix":""},{"dropping-particle":"","family":"Rayaprolu","given":"Hema Sharanya","non-dropping-particle":"","parse-names":false,"suffix":""},{"dropping-particle":"","family":"Schreiner","given":"Martin","non-dropping-particle":"","parse-names":false,"suffix":""},{"dropping-particle":"","family":"Wulfhorst","given":"Gebhard","non-dropping-particle":"","parse-names":false,"suffix":""}],"container-title":"Transportation","id":"ITEM-1","issue":"6","issued":{"date-parts":[["2017"]]},"page":"1325-1342","publisher":"Springer US","title":"Impacts of a multimodal mobility service on travel behavior and preferences: user insights from Munich’s first Mobility Station","type":"article-journal","volume":"44"},"uris":["http://www.mendeley.com/documents/?uuid=49568e9c-950e-4dd4-8145-319c7e808d0f"]}],"mendeley":{"formattedCitation":"[4]","manualFormatting":"Miramontes et al. ","plainTextFormattedCitation":"[4]","previouslyFormattedCitation":"[4]"},"properties":{"noteIndex":0},"schema":"https://github.com/citation-style-language/schema/raw/master/csl-citation.json"}</w:instrText>
      </w:r>
      <w:r w:rsidRPr="00101D2F">
        <w:rPr>
          <w:bCs/>
        </w:rPr>
        <w:fldChar w:fldCharType="separate"/>
      </w:r>
      <w:r w:rsidRPr="00101D2F">
        <w:rPr>
          <w:bCs/>
          <w:noProof/>
        </w:rPr>
        <w:t xml:space="preserve">Miramontes et al. </w:t>
      </w:r>
      <w:r w:rsidRPr="00101D2F">
        <w:fldChar w:fldCharType="end"/>
      </w:r>
      <w:r w:rsidR="00237509">
        <w:fldChar w:fldCharType="begin" w:fldLock="1"/>
      </w:r>
      <w:r w:rsidR="00237509">
        <w:instrText>ADDIN CSL_CITATION {"citationItems":[{"id":"ITEM-1","itemData":{"DOI":"10.1007/s11116-017-9806-y","ISBN":"1111601798","ISSN":"15729435","abstract":"The City of Munich, in cooperation with the local public transport provider MVG, is testing a pilot project of a “Mobility Station”, which is a multimodal mobility hub connecting public transport (PT) and new shared mobility services. The project’s goal is to provide sustainable mobility options that allow citizens to be mobile without owning a car. To evaluate the acceptance of the Mobility Station, as well as short and long term effects on mobility behavior, we developed an online user survey in close cooperation with the stakeholders and experts in the field of shared mobility. The results provide insights on the awareness and perception of the Mobility Station among users, their mobility patterns, current degree of multimodality, as well as actual and potential changes on mobility behavior and travel preferences due to the multimodal mobility service. Most users are young, male, and highly educated individuals with access to multiple mobility options. PT plays a central role for daily mobility together with the services they were identified to be customers of. The high share of users that use different mobility services at least once a month indicates some degree of multimodality. Actual and potential changes in mobility behavior towards multimodality were revealed. Some users declared to use other mobility services more often. They appreciate the availability of different mobility options and show interest in other services and intermodal connections indicating that there is still potential to increase multimodal behavior.","author":[{"dropping-particle":"","family":"Miramontes","given":"Montserrat","non-dropping-particle":"","parse-names":false,"suffix":""},{"dropping-particle":"","family":"Pfertner","given":"Maximilian","non-dropping-particle":"","parse-names":false,"suffix":""},{"dropping-particle":"","family":"Rayaprolu","given":"Hema Sharanya","non-dropping-particle":"","parse-names":false,"suffix":""},{"dropping-particle":"","family":"Schreiner","given":"Martin","non-dropping-particle":"","parse-names":false,"suffix":""},{"dropping-particle":"","family":"Wulfhorst","given":"Gebhard","non-dropping-particle":"","parse-names":false,"suffix":""}],"container-title":"Transportation","id":"ITEM-1","issue":"6","issued":{"date-parts":[["2017"]]},"page":"1325-1342","publisher":"Springer US","title":"Impacts of a multimodal mobility service on travel behavior and preferences: user insights from Munich’s first Mobility Station","type":"article-journal","volume":"44"},"uris":["http://www.mendeley.com/documents/?uuid=49568e9c-950e-4dd4-8145-319c7e808d0f"]}],"mendeley":{"formattedCitation":"[4]","plainTextFormattedCitation":"[4]","previouslyFormattedCitation":"[4]"},"properties":{"noteIndex":0},"schema":"https://github.com/citation-style-language/schema/raw/master/csl-citation.json"}</w:instrText>
      </w:r>
      <w:r w:rsidR="00237509">
        <w:fldChar w:fldCharType="separate"/>
      </w:r>
      <w:r w:rsidR="00237509" w:rsidRPr="00237509">
        <w:rPr>
          <w:noProof/>
        </w:rPr>
        <w:t>[4]</w:t>
      </w:r>
      <w:r w:rsidR="00237509">
        <w:fldChar w:fldCharType="end"/>
      </w:r>
      <w:r w:rsidRPr="00101D2F">
        <w:rPr>
          <w:bCs/>
        </w:rPr>
        <w:t xml:space="preserve">. A large body of literature has shown that individuals self-select their residential location to fit their travel preferences </w:t>
      </w:r>
      <w:r w:rsidRPr="00101D2F">
        <w:rPr>
          <w:bCs/>
        </w:rPr>
        <w:fldChar w:fldCharType="begin" w:fldLock="1"/>
      </w:r>
      <w:r w:rsidR="004B1B2E">
        <w:rPr>
          <w:bCs/>
        </w:rPr>
        <w:instrText>ADDIN CSL_CITATION {"citationItems":[{"id":"ITEM-1","itemData":{"DOI":"10.1080/01944363.2011.593483","author":[{"dropping-particle":"","family":"Boarnet","given":"Marlon G","non-dropping-particle":"","parse-names":false,"suffix":""}],"id":"ITEM-1","issued":{"date-parts":[["2011"]]},"title":"A broader context for land use and travel behavior , and a research agenda","type":"article-journal","volume":"4363"},"uris":["http://www.mendeley.com/documents/?uuid=129752d1-9471-4feb-874c-a5c241eae0b8"]},{"id":"ITEM-2","itemData":{"DOI":"10.1080/01441640802539195","ISSN":"01441647","abstract":"Numerous studies have found that suburban residents drive more and walk less than residents in traditional neighbourhoods. What is less well understood is the extent to which the observed patterns of travel behaviour can be attributed to the residential built environment (BE) itself, as opposed to attitude-induced residential self-selection. To date, most studies addressing this self-selection issue fall into nine methodological categories: direct questioning, statistical control, instrumental variables, sample selection, propensity score, joint discrete choice models, structural equations models, mutually dependent discrete choice models and longitudinal designs. This paper reviews 38 empirical studies using these approaches. Virtually all of the studies reviewed found a statistically significant influence of the BE remaining after self-selection was accounted for. However, the practical importance of that influence was seldom assessed. Although time and resource limitations are recognized, we recommend usage of longitudinal structural equations modelling with control groups, a design which is strong with respect to all causality requisites.","author":[{"dropping-particle":"","family":"Cao","given":"Xinyu","non-dropping-particle":"","parse-names":false,"suffix":""},{"dropping-particle":"","family":"Mokhtarian","given":"Patricia L.","non-dropping-particle":"","parse-names":false,"suffix":""},{"dropping-particle":"","family":"Handy","given":"Susan L.","non-dropping-particle":"","parse-names":false,"suffix":""}],"container-title":"Transport Reviews","id":"ITEM-2","issue":"3","issued":{"date-parts":[["2009"]]},"page":"359-395","title":"Examining the impacts of residential self-selection on travel behaviour: A focus on empirical findings","type":"article","volume":"29"},"uris":["http://www.mendeley.com/documents/?uuid=92e1a8af-94b6-430c-8b3b-1564b25e4816"]}],"mendeley":{"formattedCitation":"[14], [15]","plainTextFormattedCitation":"[14], [15]","previouslyFormattedCitation":"[14], [15]"},"properties":{"noteIndex":0},"schema":"https://github.com/citation-style-language/schema/raw/master/csl-citation.json"}</w:instrText>
      </w:r>
      <w:r w:rsidRPr="00101D2F">
        <w:rPr>
          <w:bCs/>
        </w:rPr>
        <w:fldChar w:fldCharType="separate"/>
      </w:r>
      <w:r w:rsidR="00F02ABA" w:rsidRPr="00F02ABA">
        <w:rPr>
          <w:bCs/>
          <w:noProof/>
        </w:rPr>
        <w:t>[14], [15]</w:t>
      </w:r>
      <w:r w:rsidRPr="00101D2F">
        <w:fldChar w:fldCharType="end"/>
      </w:r>
      <w:r w:rsidRPr="00101D2F">
        <w:rPr>
          <w:bCs/>
        </w:rPr>
        <w:t>. Knowledge on the differences between the preferences of user groups is valuable, because it gives researchers a better understanding of the attractiveness of mobility hubs.</w:t>
      </w:r>
    </w:p>
    <w:p w14:paraId="13A12A04" w14:textId="77777777" w:rsidR="00101D2F" w:rsidRPr="00101D2F" w:rsidRDefault="00101D2F" w:rsidP="00101D2F">
      <w:pPr>
        <w:pStyle w:val="Plattetekst"/>
        <w:rPr>
          <w:bCs/>
        </w:rPr>
      </w:pPr>
      <w:r w:rsidRPr="00101D2F">
        <w:rPr>
          <w:bCs/>
        </w:rPr>
        <w:t>An ambition of the European Union is to promote multimodal mobility solutions such as mobility hubs. However, the integration of mobility hubs in residential areas requires urban planners to dedicate their commitment, considerable financial investments, and valuable urban space to a mobility concept that is still in its infancy. Those involved with such development projects encounter a multifaceted challenge with various uncertainties. This work aids in facing this challenge by providing knowledge about the target groups for mobility hubs. This knowledge allows urban planners to better predict the demand for housing in residential areas with mobility hubs and their commute transport mode choice.</w:t>
      </w:r>
    </w:p>
    <w:p w14:paraId="28D5A09D" w14:textId="7DE67005" w:rsidR="00101D2F" w:rsidRDefault="00101D2F" w:rsidP="00101D2F">
      <w:pPr>
        <w:pStyle w:val="Plattetekst"/>
        <w:rPr>
          <w:bCs/>
        </w:rPr>
      </w:pPr>
      <w:r w:rsidRPr="00101D2F">
        <w:rPr>
          <w:bCs/>
        </w:rPr>
        <w:t xml:space="preserve">The rest of this paper is structured as follows: Firstly, the relevant literature is reviewed, where mobility hubs are further defined and the concepts of residential choice and </w:t>
      </w:r>
      <w:r w:rsidR="00501EA0" w:rsidRPr="00501EA0">
        <w:rPr>
          <w:bCs/>
          <w:lang w:val="en-US"/>
        </w:rPr>
        <w:t>com</w:t>
      </w:r>
      <w:r w:rsidR="00501EA0">
        <w:rPr>
          <w:bCs/>
          <w:lang w:val="en-US"/>
        </w:rPr>
        <w:t>mute mode choice</w:t>
      </w:r>
      <w:r w:rsidRPr="00101D2F">
        <w:rPr>
          <w:bCs/>
        </w:rPr>
        <w:t xml:space="preserve"> are further explored. Secondly, the</w:t>
      </w:r>
      <w:r w:rsidR="009716E4" w:rsidRPr="009716E4">
        <w:rPr>
          <w:bCs/>
          <w:lang w:val="en-US"/>
        </w:rPr>
        <w:t xml:space="preserve"> </w:t>
      </w:r>
      <w:r w:rsidR="009716E4">
        <w:rPr>
          <w:bCs/>
          <w:lang w:val="en-US"/>
        </w:rPr>
        <w:t>methodology, including the</w:t>
      </w:r>
      <w:r w:rsidRPr="00101D2F">
        <w:rPr>
          <w:bCs/>
        </w:rPr>
        <w:t xml:space="preserve"> development process of the online</w:t>
      </w:r>
      <w:r w:rsidR="00CF6CBA" w:rsidRPr="00CF6CBA">
        <w:rPr>
          <w:bCs/>
          <w:lang w:val="en-US"/>
        </w:rPr>
        <w:t xml:space="preserve"> </w:t>
      </w:r>
      <w:r w:rsidR="00CF6CBA">
        <w:rPr>
          <w:bCs/>
          <w:lang w:val="en-US"/>
        </w:rPr>
        <w:t>joint RP-SP</w:t>
      </w:r>
      <w:r w:rsidRPr="00101D2F">
        <w:rPr>
          <w:bCs/>
        </w:rPr>
        <w:t xml:space="preserve"> survey</w:t>
      </w:r>
      <w:r w:rsidR="009716E4" w:rsidRPr="009716E4">
        <w:rPr>
          <w:bCs/>
          <w:lang w:val="en-US"/>
        </w:rPr>
        <w:t xml:space="preserve"> </w:t>
      </w:r>
      <w:r w:rsidR="009716E4">
        <w:rPr>
          <w:bCs/>
          <w:lang w:val="en-US"/>
        </w:rPr>
        <w:t>and the model descriptions,</w:t>
      </w:r>
      <w:r w:rsidRPr="00101D2F">
        <w:rPr>
          <w:bCs/>
        </w:rPr>
        <w:t xml:space="preserve"> is elaborated upon. Thirdly, the collected data is described with descriptive measures and a sensitivity analysis. Fourthly, the results</w:t>
      </w:r>
      <w:r w:rsidR="00CF6CBA" w:rsidRPr="00CF6CBA">
        <w:rPr>
          <w:bCs/>
          <w:lang w:val="en-US"/>
        </w:rPr>
        <w:t xml:space="preserve"> of the best fi</w:t>
      </w:r>
      <w:r w:rsidR="00CF6CBA">
        <w:rPr>
          <w:bCs/>
          <w:lang w:val="en-US"/>
        </w:rPr>
        <w:t>tting</w:t>
      </w:r>
      <w:r w:rsidRPr="00101D2F">
        <w:rPr>
          <w:bCs/>
        </w:rPr>
        <w:t xml:space="preserve"> are presented and discussed. Finally, the paper is concluded.</w:t>
      </w:r>
    </w:p>
    <w:p w14:paraId="267F739D" w14:textId="77777777" w:rsidR="00101D2F" w:rsidRDefault="00101D2F" w:rsidP="00101D2F">
      <w:pPr>
        <w:pStyle w:val="Kop1"/>
      </w:pPr>
      <w:r>
        <w:t>BACKGROUND AND STUDY CONTEXT</w:t>
      </w:r>
    </w:p>
    <w:p w14:paraId="028319F1" w14:textId="77777777" w:rsidR="00101D2F" w:rsidRPr="00101D2F" w:rsidRDefault="00101D2F" w:rsidP="00101D2F">
      <w:pPr>
        <w:pStyle w:val="Kop2"/>
      </w:pPr>
      <w:r>
        <w:t>Background</w:t>
      </w:r>
    </w:p>
    <w:p w14:paraId="7A86E619" w14:textId="03E80ECF" w:rsidR="00101D2F" w:rsidRPr="00101D2F" w:rsidRDefault="00101D2F" w:rsidP="00101D2F">
      <w:pPr>
        <w:pStyle w:val="Plattetekst"/>
        <w:rPr>
          <w:bCs/>
        </w:rPr>
      </w:pPr>
      <w:bookmarkStart w:id="0" w:name="_Hlk29557007"/>
      <w:r w:rsidRPr="00101D2F">
        <w:rPr>
          <w:bCs/>
        </w:rPr>
        <w:t xml:space="preserve">The functionality of mobility hubs originates from the concept of transit-oriented development (TOD). TOD is an urban development approach where residential, commercial, and business spaces are located close to public transport facilities to improve walkability, promote sustainable mobility and reduce the amount of space allocated to car use </w:t>
      </w:r>
      <w:r w:rsidRPr="00101D2F">
        <w:rPr>
          <w:bCs/>
        </w:rPr>
        <w:fldChar w:fldCharType="begin" w:fldLock="1"/>
      </w:r>
      <w:r w:rsidR="004B1B2E">
        <w:rPr>
          <w:bCs/>
        </w:rPr>
        <w:instrText>ADDIN CSL_CITATION {"citationItems":[{"id":"ITEM-1","itemData":{"DOI":"10.17226/23360","abstract":"The nation’s growth and the need to meet mobility, environmental, and energy objectives place demands on public transit systems. Current systems, some of which are old and in need of upgrading, must expand service area, increase service frequency, and improve efficiency to serve these demands. Research is necessary to solve operating problems, to adapt appropriate new technologies from other industries, and to introduce innovations into the transit industry. The Transit Cooperative Research Program (TCRP) serves as one of the principal means by which the transit industry can develop innovative near-term solutions to meet demands placed on it. The need for TCRP was originally identified in TRB Special Report 213—Research for Public Transit: New Directions, published in 1987 and based on a study sponsored by the Urban Mass Transportation Administration—now the Federal Transit Administration (FTA). A report by the American Public Transportation Association (APTA), Transportation 2000, also recognized the need for local, problem-solving research. TCRP, modeled after the longstanding and successful National Cooperative Highway Research Program, undertakes research and other technical activities in response to the needs of transit service providers. The scope of TCRP includes a variety of transit research fields including planning, service configuration, equipment, facilities, operations, human resources, maintenance, policy, and administrative practices. TCRP was established under FTA sponsorship in July 1992. Proposed by the U.S. Department of Transportation, TCRP was Project H-27 FY 2001 ISSN 1073-4872 ISBN 0-309-08795-3 Library of Congress Control Number 2004107489 . 2004 Transportation Research Board Price $45.00 NOTICE The project that is the subject of this report was a part of the Transit Cooperative Research Program conducted by the Transportation Research Board with the approval of the Governing Board of the National Research Council. Such approval reflects the Governing Board’s judgment that the project concerned is appropriate with respect to both the purposes and resources of the National Research Council. The members of the technical advisory panel selected to monitor this project and to review this report were chosen for recognized scholarly competence and with due consideration for the balance of disciplines appropriate to the project. TheID - 1538","author":[{"dropping-particle":"","family":"Cervero","given":"Robert","non-dropping-particle":"","parse-names":false,"suffix":""}],"container-title":"Transit-Oriented Development in the United States: Experiences, Challenges, and Prospects","id":"ITEM-1","issued":{"date-parts":[["2004"]]},"publisher":"Transportation Research Board, National Research Council","title":"Transit-oriented development in the United States: experiences, challenges, and prospects","type":"book"},"uris":["http://www.mendeley.com/documents/?uuid=f5a2ff9b-6d94-4fbd-947e-c185472844f9"]}],"mendeley":{"formattedCitation":"[16]","plainTextFormattedCitation":"[16]","previouslyFormattedCitation":"[16]"},"properties":{"noteIndex":0},"schema":"https://github.com/citation-style-language/schema/raw/master/csl-citation.json"}</w:instrText>
      </w:r>
      <w:r w:rsidRPr="00101D2F">
        <w:rPr>
          <w:bCs/>
        </w:rPr>
        <w:fldChar w:fldCharType="separate"/>
      </w:r>
      <w:r w:rsidR="00F02ABA" w:rsidRPr="00F02ABA">
        <w:rPr>
          <w:bCs/>
          <w:noProof/>
        </w:rPr>
        <w:t>[16]</w:t>
      </w:r>
      <w:r w:rsidRPr="00101D2F">
        <w:rPr>
          <w:bCs/>
        </w:rPr>
        <w:fldChar w:fldCharType="end"/>
      </w:r>
      <w:r w:rsidRPr="00101D2F">
        <w:rPr>
          <w:bCs/>
        </w:rPr>
        <w:t xml:space="preserve">. TOD-inspired policies have been established in American, Asian and Oceanian planning contexts to counteract the effects of urban sprawl and to facilitate urban intensification </w:t>
      </w:r>
      <w:r w:rsidRPr="00101D2F">
        <w:rPr>
          <w:bCs/>
        </w:rPr>
        <w:fldChar w:fldCharType="begin" w:fldLock="1"/>
      </w:r>
      <w:r w:rsidR="004B1B2E">
        <w:rPr>
          <w:bCs/>
        </w:rPr>
        <w:instrText>ADDIN CSL_CITATION {"citationItems":[{"id":"ITEM-1","itemData":{"DOI":"10.1177/0739456x05285119","ISBN":"9780080520278","ISSN":"0739-456X","author":[{"dropping-particle":"","family":"Jabareen","given":"Yosef Rafeq","non-dropping-particle":"","parse-names":false,"suffix":""}],"container-title":"Urban Design: Street and Square: Third Edition","id":"ITEM-1","issue":"3","issued":{"date-parts":[["2007"]]},"page":"189-207","title":"Sustainable urban form: Their typologies, models, and concepts","type":"article-journal"},"uris":["http://www.mendeley.com/documents/?uuid=bef76c7d-0d30-4544-998c-47b6ce80afb6"]}],"mendeley":{"formattedCitation":"[17]","plainTextFormattedCitation":"[17]","previouslyFormattedCitation":"[17]"},"properties":{"noteIndex":0},"schema":"https://github.com/citation-style-language/schema/raw/master/csl-citation.json"}</w:instrText>
      </w:r>
      <w:r w:rsidRPr="00101D2F">
        <w:rPr>
          <w:bCs/>
        </w:rPr>
        <w:fldChar w:fldCharType="separate"/>
      </w:r>
      <w:r w:rsidR="00F02ABA" w:rsidRPr="00F02ABA">
        <w:rPr>
          <w:bCs/>
          <w:noProof/>
        </w:rPr>
        <w:t>[17]</w:t>
      </w:r>
      <w:r w:rsidRPr="00101D2F">
        <w:rPr>
          <w:bCs/>
        </w:rPr>
        <w:fldChar w:fldCharType="end"/>
      </w:r>
      <w:r w:rsidRPr="00101D2F">
        <w:rPr>
          <w:bCs/>
        </w:rPr>
        <w:t xml:space="preserve">. It did not have the same revolutionary effect in Europe, where cities have a long history of integration of public transit in their transportation systems . Nonetheless, European scholars and planners have started to pay attention to TOD and the solutions that stem from the concept.  </w:t>
      </w:r>
    </w:p>
    <w:p w14:paraId="24364C17" w14:textId="18D51753" w:rsidR="00101D2F" w:rsidRPr="00101D2F" w:rsidRDefault="00101D2F" w:rsidP="00101D2F">
      <w:pPr>
        <w:pStyle w:val="Plattetekst"/>
        <w:rPr>
          <w:bCs/>
        </w:rPr>
      </w:pPr>
      <w:r w:rsidRPr="00101D2F">
        <w:rPr>
          <w:bCs/>
        </w:rPr>
        <w:t xml:space="preserve">One of these solutions is the mobility hub. emphasized the multimodal facilitation aspect by defining mobility hubs as </w:t>
      </w:r>
      <w:r w:rsidRPr="00101D2F">
        <w:rPr>
          <w:bCs/>
          <w:i/>
        </w:rPr>
        <w:t xml:space="preserve">“…multimodal transport nodes that facilitate intermodal transfers by providing different mobility options in close proximity” </w:t>
      </w:r>
      <w:r w:rsidR="00237509">
        <w:rPr>
          <w:bCs/>
        </w:rPr>
        <w:fldChar w:fldCharType="begin" w:fldLock="1"/>
      </w:r>
      <w:r w:rsidR="00237509">
        <w:rPr>
          <w:bCs/>
        </w:rPr>
        <w:instrText>ADDIN CSL_CITATION {"citationItems":[{"id":"ITEM-1","itemData":{"DOI":"10.1007/s11116-017-9806-y","ISBN":"1111601798","ISSN":"15729435","abstract":"The City of Munich, in cooperation with the local public transport provider MVG, is testing a pilot project of a “Mobility Station”, which is a multimodal mobility hub connecting public transport (PT) and new shared mobility services. The project’s goal is to provide sustainable mobility options that allow citizens to be mobile without owning a car. To evaluate the acceptance of the Mobility Station, as well as short and long term effects on mobility behavior, we developed an online user survey in close cooperation with the stakeholders and experts in the field of shared mobility. The results provide insights on the awareness and perception of the Mobility Station among users, their mobility patterns, current degree of multimodality, as well as actual and potential changes on mobility behavior and travel preferences due to the multimodal mobility service. Most users are young, male, and highly educated individuals with access to multiple mobility options. PT plays a central role for daily mobility together with the services they were identified to be customers of. The high share of users that use different mobility services at least once a month indicates some degree of multimodality. Actual and potential changes in mobility behavior towards multimodality were revealed. Some users declared to use other mobility services more often. They appreciate the availability of different mobility options and show interest in other services and intermodal connections indicating that there is still potential to increase multimodal behavior.","author":[{"dropping-particle":"","family":"Miramontes","given":"Montserrat","non-dropping-particle":"","parse-names":false,"suffix":""},{"dropping-particle":"","family":"Pfertner","given":"Maximilian","non-dropping-particle":"","parse-names":false,"suffix":""},{"dropping-particle":"","family":"Rayaprolu","given":"Hema Sharanya","non-dropping-particle":"","parse-names":false,"suffix":""},{"dropping-particle":"","family":"Schreiner","given":"Martin","non-dropping-particle":"","parse-names":false,"suffix":""},{"dropping-particle":"","family":"Wulfhorst","given":"Gebhard","non-dropping-particle":"","parse-names":false,"suffix":""}],"container-title":"Transportation","id":"ITEM-1","issue":"6","issued":{"date-parts":[["2017"]]},"page":"1325-1342","publisher":"Springer US","title":"Impacts of a multimodal mobility service on travel behavior and preferences: user insights from Munich’s first Mobility Station","type":"article-journal","volume":"44"},"uris":["http://www.mendeley.com/documents/?uuid=49568e9c-950e-4dd4-8145-319c7e808d0f"]}],"mendeley":{"formattedCitation":"[4]","plainTextFormattedCitation":"[4]","previouslyFormattedCitation":"[4]"},"properties":{"noteIndex":0},"schema":"https://github.com/citation-style-language/schema/raw/master/csl-citation.json"}</w:instrText>
      </w:r>
      <w:r w:rsidR="00237509">
        <w:rPr>
          <w:bCs/>
        </w:rPr>
        <w:fldChar w:fldCharType="separate"/>
      </w:r>
      <w:r w:rsidR="00237509" w:rsidRPr="00237509">
        <w:rPr>
          <w:bCs/>
          <w:noProof/>
        </w:rPr>
        <w:t>[4]</w:t>
      </w:r>
      <w:r w:rsidR="00237509">
        <w:rPr>
          <w:bCs/>
        </w:rPr>
        <w:fldChar w:fldCharType="end"/>
      </w:r>
      <w:r w:rsidRPr="00101D2F">
        <w:rPr>
          <w:bCs/>
        </w:rPr>
        <w:t xml:space="preserve">. However, they do not make a distinction between mobility hubs and similar mobility stations. </w:t>
      </w:r>
      <w:r w:rsidRPr="00101D2F">
        <w:rPr>
          <w:bCs/>
        </w:rPr>
        <w:fldChar w:fldCharType="begin" w:fldLock="1"/>
      </w:r>
      <w:r w:rsidR="00237509">
        <w:rPr>
          <w:bCs/>
        </w:rPr>
        <w:instrText>ADDIN CSL_CITATION {"citationItems":[{"id":"ITEM-1","itemData":{"author":[{"dropping-particle":"","family":"Miramontes","given":"Montserrat","non-dropping-particle":"","parse-names":false,"suffix":""}],"container-title":"Department of Civil Geo and Environmental Engineering","id":"ITEM-1","issue":"December 2018","issued":{"date-parts":[["2018"]]},"title":"Assessment of mobility stations Success factors and contributions to sustainable urban mobility","type":"article-journal","volume":"Dr.-Ing."},"uris":["http://www.mendeley.com/documents/?uuid=bcec74de-635c-4932-a89d-d657602fd7e0"]}],"mendeley":{"formattedCitation":"[3]","manualFormatting":"Miramontes ","plainTextFormattedCitation":"[3]","previouslyFormattedCitation":"[3]"},"properties":{"noteIndex":0},"schema":"https://github.com/citation-style-language/schema/raw/master/csl-citation.json"}</w:instrText>
      </w:r>
      <w:r w:rsidRPr="00101D2F">
        <w:rPr>
          <w:bCs/>
        </w:rPr>
        <w:fldChar w:fldCharType="separate"/>
      </w:r>
      <w:r w:rsidRPr="00101D2F">
        <w:rPr>
          <w:bCs/>
          <w:noProof/>
        </w:rPr>
        <w:t xml:space="preserve">Miramontes </w:t>
      </w:r>
      <w:r w:rsidRPr="00101D2F">
        <w:rPr>
          <w:bCs/>
        </w:rPr>
        <w:fldChar w:fldCharType="end"/>
      </w:r>
      <w:r w:rsidR="00237509">
        <w:rPr>
          <w:bCs/>
          <w:lang w:val="en-US"/>
        </w:rPr>
        <w:fldChar w:fldCharType="begin" w:fldLock="1"/>
      </w:r>
      <w:r w:rsidR="00237509">
        <w:rPr>
          <w:bCs/>
          <w:lang w:val="en-US"/>
        </w:rPr>
        <w:instrText>ADDIN CSL_CITATION {"citationItems":[{"id":"ITEM-1","itemData":{"author":[{"dropping-particle":"","family":"Miramontes","given":"Montserrat","non-dropping-particle":"","parse-names":false,"suffix":""}],"container-title":"Department of Civil Geo and Environmental Engineering","id":"ITEM-1","issue":"December 2018","issued":{"date-parts":[["2018"]]},"title":"Assessment of mobility stations Success factors and contributions to sustainable urban mobility","type":"article-journal","volume":"Dr.-Ing."},"uris":["http://www.mendeley.com/documents/?uuid=bcec74de-635c-4932-a89d-d657602fd7e0"]}],"mendeley":{"formattedCitation":"[3]","plainTextFormattedCitation":"[3]","previouslyFormattedCitation":"[3]"},"properties":{"noteIndex":0},"schema":"https://github.com/citation-style-language/schema/raw/master/csl-citation.json"}</w:instrText>
      </w:r>
      <w:r w:rsidR="00237509">
        <w:rPr>
          <w:bCs/>
          <w:lang w:val="en-US"/>
        </w:rPr>
        <w:fldChar w:fldCharType="separate"/>
      </w:r>
      <w:r w:rsidR="00237509" w:rsidRPr="00237509">
        <w:rPr>
          <w:bCs/>
          <w:noProof/>
          <w:lang w:val="en-US"/>
        </w:rPr>
        <w:t>[3]</w:t>
      </w:r>
      <w:r w:rsidR="00237509">
        <w:rPr>
          <w:bCs/>
          <w:lang w:val="en-US"/>
        </w:rPr>
        <w:fldChar w:fldCharType="end"/>
      </w:r>
      <w:r w:rsidRPr="00101D2F">
        <w:rPr>
          <w:bCs/>
        </w:rPr>
        <w:t xml:space="preserve"> noted that mobility hubs and mobility stations share the same core function of providing multimodal mobility, but that mobility hubs have a stronger focus on the integration of land use and transportation. </w:t>
      </w:r>
      <w:r w:rsidRPr="00101D2F">
        <w:rPr>
          <w:bCs/>
        </w:rPr>
        <w:fldChar w:fldCharType="begin" w:fldLock="1"/>
      </w:r>
      <w:r w:rsidR="004B1B2E">
        <w:rPr>
          <w:bCs/>
        </w:rPr>
        <w:instrText>ADDIN CSL_CITATION {"citationItems":[{"id":"ITEM-1","itemData":{"author":[{"dropping-particle":"","family":"Pfaffenbichler","given":"Paul","non-dropping-particle":"","parse-names":false,"suffix":""},{"dropping-particle":"","family":"Vorstandlechner","given":"Fabian","non-dropping-particle":"","parse-names":false,"suffix":""}],"id":"ITEM-1","issued":{"date-parts":[["2016"]]},"title":"Einfluss innovativer Konzepte und Mobilitätsdienstleistungen auf das Angebot und die Nutzung des öffentlichen Raums in urbanen Strukturen (IKARUS) - Endbericht","type":"article-journal"},"uris":["http://www.mendeley.com/documents/?uuid=88b605b5-c013-4681-aa71-18d71c2b745c"]}],"mendeley":{"formattedCitation":"[10]","manualFormatting":"Pfaffenbichler &amp; Vorstandlechner ","plainTextFormattedCitation":"[10]","previouslyFormattedCitation":"[10]"},"properties":{"noteIndex":0},"schema":"https://github.com/citation-style-language/schema/raw/master/csl-citation.json"}</w:instrText>
      </w:r>
      <w:r w:rsidRPr="00101D2F">
        <w:rPr>
          <w:bCs/>
        </w:rPr>
        <w:fldChar w:fldCharType="separate"/>
      </w:r>
      <w:r w:rsidRPr="00101D2F">
        <w:rPr>
          <w:bCs/>
          <w:noProof/>
        </w:rPr>
        <w:t xml:space="preserve">Pfaffenbichler &amp; Vorstandlechner </w:t>
      </w:r>
      <w:r w:rsidRPr="00101D2F">
        <w:rPr>
          <w:bCs/>
        </w:rPr>
        <w:fldChar w:fldCharType="end"/>
      </w:r>
      <w:r w:rsidR="00237509">
        <w:rPr>
          <w:bCs/>
        </w:rPr>
        <w:fldChar w:fldCharType="begin" w:fldLock="1"/>
      </w:r>
      <w:r w:rsidR="004B1B2E">
        <w:rPr>
          <w:bCs/>
        </w:rPr>
        <w:instrText>ADDIN CSL_CITATION {"citationItems":[{"id":"ITEM-1","itemData":{"author":[{"dropping-particle":"","family":"Pfaffenbichler","given":"Paul","non-dropping-particle":"","parse-names":false,"suffix":""},{"dropping-particle":"","family":"Vorstandlechner","given":"Fabian","non-dropping-particle":"","parse-names":false,"suffix":""}],"id":"ITEM-1","issued":{"date-parts":[["2016"]]},"title":"Einfluss innovativer Konzepte und Mobilitätsdienstleistungen auf das Angebot und die Nutzung des öffentlichen Raums in urbanen Strukturen (IKARUS) - Endbericht","type":"article-journal"},"uris":["http://www.mendeley.com/documents/?uuid=88b605b5-c013-4681-aa71-18d71c2b745c"]}],"mendeley":{"formattedCitation":"[10]","plainTextFormattedCitation":"[10]","previouslyFormattedCitation":"[10]"},"properties":{"noteIndex":0},"schema":"https://github.com/citation-style-language/schema/raw/master/csl-citation.json"}</w:instrText>
      </w:r>
      <w:r w:rsidR="00237509">
        <w:rPr>
          <w:bCs/>
        </w:rPr>
        <w:fldChar w:fldCharType="separate"/>
      </w:r>
      <w:r w:rsidR="00237509" w:rsidRPr="00237509">
        <w:rPr>
          <w:bCs/>
          <w:noProof/>
        </w:rPr>
        <w:t>[10]</w:t>
      </w:r>
      <w:r w:rsidR="00237509">
        <w:rPr>
          <w:bCs/>
        </w:rPr>
        <w:fldChar w:fldCharType="end"/>
      </w:r>
      <w:r w:rsidRPr="00101D2F">
        <w:rPr>
          <w:bCs/>
        </w:rPr>
        <w:t xml:space="preserve"> noted a further typology of four different types of hubs: 1) stations of national significance, 2) stations of regional significance, 3) stations of local significance, and 4) transfer points of urban public transit.. Hubs supporting neighborhoods with a primarily residential function would belong to either the third or the fourth category </w:t>
      </w:r>
      <w:r w:rsidRPr="00101D2F">
        <w:rPr>
          <w:bCs/>
        </w:rPr>
        <w:fldChar w:fldCharType="begin" w:fldLock="1"/>
      </w:r>
      <w:r w:rsidR="004B1B2E">
        <w:rPr>
          <w:bCs/>
        </w:rPr>
        <w:instrText>ADDIN CSL_CITATION {"citationItems":[{"id":"ITEM-1","itemData":{"author":[{"dropping-particle":"","family":"Pfaffenbichler","given":"Paul","non-dropping-particle":"","parse-names":false,"suffix":""},{"dropping-particle":"","family":"Vorstandlechner","given":"Fabian","non-dropping-particle":"","parse-names":false,"suffix":""}],"id":"ITEM-1","issued":{"date-parts":[["2016"]]},"title":"Einfluss innovativer Konzepte und Mobilitätsdienstleistungen auf das Angebot und die Nutzung des öffentlichen Raums in urbanen Strukturen (IKARUS) - Endbericht","type":"article-journal"},"uris":["http://www.mendeley.com/documents/?uuid=88b605b5-c013-4681-aa71-18d71c2b745c"]}],"mendeley":{"formattedCitation":"[10]","plainTextFormattedCitation":"[10]","previouslyFormattedCitation":"[10]"},"properties":{"noteIndex":0},"schema":"https://github.com/citation-style-language/schema/raw/master/csl-citation.json"}</w:instrText>
      </w:r>
      <w:r w:rsidRPr="00101D2F">
        <w:rPr>
          <w:bCs/>
        </w:rPr>
        <w:fldChar w:fldCharType="separate"/>
      </w:r>
      <w:r w:rsidR="00F02ABA" w:rsidRPr="00F02ABA">
        <w:rPr>
          <w:bCs/>
          <w:noProof/>
        </w:rPr>
        <w:t>[10]</w:t>
      </w:r>
      <w:r w:rsidRPr="00101D2F">
        <w:rPr>
          <w:bCs/>
        </w:rPr>
        <w:fldChar w:fldCharType="end"/>
      </w:r>
      <w:r w:rsidRPr="00101D2F">
        <w:rPr>
          <w:bCs/>
        </w:rPr>
        <w:t>.</w:t>
      </w:r>
    </w:p>
    <w:p w14:paraId="5211D443" w14:textId="2D0F667C" w:rsidR="00101D2F" w:rsidRPr="00101D2F" w:rsidRDefault="00101D2F" w:rsidP="00101D2F">
      <w:pPr>
        <w:pStyle w:val="Plattetekst"/>
        <w:rPr>
          <w:bCs/>
        </w:rPr>
      </w:pPr>
      <w:r w:rsidRPr="00101D2F">
        <w:rPr>
          <w:bCs/>
        </w:rPr>
        <w:t xml:space="preserve">Several studies focus on identifying user requirements </w:t>
      </w:r>
      <w:r w:rsidRPr="00101D2F">
        <w:rPr>
          <w:bCs/>
        </w:rPr>
        <w:fldChar w:fldCharType="begin" w:fldLock="1"/>
      </w:r>
      <w:r w:rsidR="004B1B2E">
        <w:rPr>
          <w:bCs/>
        </w:rPr>
        <w:instrText>ADDIN CSL_CITATION {"citationItems":[{"id":"ITEM-1","itemData":{"DOI":"10.3390/socsci8020065","ISSN":"20760760","abstract":"Technological innovation in the mobility and transport sphere is still strongly aimed at vehicle- or infrastructure-based systems. Actual user needs in regard to accessibility and usability of the links between different transportation modes are usually addressed by standardized planning processes. In a row of four consecutive Austrian research projects, every element in the chain of intermodal routes was addressed, starting from the user-centered features of public transport stops in both urban and rural transport systems, to the planning tasks involved in providing demand-driven public transport. The current iteration focuses on establishing a typology of intermodal mobility hubs, including a differentiated view of the potential users of a multimodal transport system and their respective needs at the station.","author":[{"dropping-particle":"","family":"Bell","given":"Daniel","non-dropping-particle":"","parse-names":false,"suffix":""}],"container-title":"Social Sciences","id":"ITEM-1","issue":"2","issued":{"date-parts":[["2019"]]},"title":"Intermodal mobility hubs and user needs","type":"article-journal","volume":"8"},"uris":["http://www.mendeley.com/documents/?uuid=1bce14d3-07f9-42fa-8d89-c709928e8859"]},{"id":"ITEM-2","itemData":{"DOI":"10.1016/j.trpro.2016.05.183","ISSN":"23521465","abstract":"Multimodal trips are increasing in metropolitan areas, making public transport less attractive. There is a need for integration in order to achieve effective seamless mobility. One dimension of integration is to reduce the disruption of transfer among modes and interchanges appear as the best solution when big number of travellers has to transfer. The City-HUB 7FP project1 has developed a three years research for deploying new interchanges and improving existing ones. It starts by identifying two groups of dimensions that define Interchange key features. The first dimension is related to Physical&amp;Size, including passenger demand, modes of transport, services and facilities and location in the city. The second dimension is related to Local Impacts such as developing of new activities -housing, offices, nearby shopping-, jobs creation and its connection with the local Development Plan. The combination of the elements of the two dimensions define the following key features: building design, stakeholders' involvement and the type of business model. The findings are based on interviews to practitioners undertaken in 26 selected interchanges in 9 European countries. According to these key features, the interchange should organize the space among three different zones: access-egress zone; facilities zone; and arrival-departure-transfer zone. The first one is where links to the local area and access to transport modes are focused. The last one caters for intermodal transfers. Travel information and intermodal services are spread across both zones as well as the facilities and retailing. Users' perceptions should be collected to improve interchange efficiency. To that end a travellers' attitudinal survey has been carried out in interchanges in 5 European cities. From the user point of view the most important factors identified in the surveys are safety and security, transfer conditions, emergency situation, information, design, services&amp;facilities, environmental quality and comfort of waiting time. All these elements define the interchange from two different perspectives: \"as a transport node\" and \"as a place\". The first one is related to the functionality as a node of the transport network; the second includes all the features for make the transfer experience more attractive and efficient. The project has identified a number of recommendations for developing urban transport interchanges. Some of them refers to users, other to operators and the third part deals …","author":[{"dropping-particle":"","family":"Monzón","given":"Andrés","non-dropping-particle":"","parse-names":false,"suffix":""},{"dropping-particle":"","family":"Hernández","given":"Sara","non-dropping-particle":"","parse-names":false,"suffix":""},{"dropping-particle":"","family":"Ciommo","given":"Floridea","non-dropping-particle":"Di","parse-names":false,"suffix":""}],"container-title":"Transportation Research Procedia","id":"ITEM-2","issued":{"date-parts":[["2016"]]},"page":"1124-1133","publisher":"Elsevier B.V.","title":"Efficient urban interchanges: The city-HUB model","type":"article-journal","volume":"14"},"uris":["http://www.mendeley.com/documents/?uuid=23df2cb5-6031-4624-baff-002f59ded3c4"]}],"mendeley":{"formattedCitation":"[11], [12]","plainTextFormattedCitation":"[11], [12]","previouslyFormattedCitation":"[11], [12]"},"properties":{"noteIndex":0},"schema":"https://github.com/citation-style-language/schema/raw/master/csl-citation.json"}</w:instrText>
      </w:r>
      <w:r w:rsidRPr="00101D2F">
        <w:rPr>
          <w:bCs/>
        </w:rPr>
        <w:fldChar w:fldCharType="separate"/>
      </w:r>
      <w:r w:rsidR="00F02ABA" w:rsidRPr="00F02ABA">
        <w:rPr>
          <w:bCs/>
          <w:noProof/>
        </w:rPr>
        <w:t>[11], [12]</w:t>
      </w:r>
      <w:r w:rsidRPr="00101D2F">
        <w:rPr>
          <w:bCs/>
        </w:rPr>
        <w:fldChar w:fldCharType="end"/>
      </w:r>
      <w:r w:rsidRPr="00101D2F">
        <w:rPr>
          <w:bCs/>
        </w:rPr>
        <w:t xml:space="preserve">. With a principal component analysis, </w:t>
      </w:r>
      <w:r w:rsidRPr="00101D2F">
        <w:rPr>
          <w:bCs/>
        </w:rPr>
        <w:fldChar w:fldCharType="begin" w:fldLock="1"/>
      </w:r>
      <w:r w:rsidR="004B1B2E">
        <w:rPr>
          <w:bCs/>
        </w:rPr>
        <w:instrText>ADDIN CSL_CITATION {"citationItems":[{"id":"ITEM-1","itemData":{"DOI":"10.1016/j.trpro.2016.05.183","ISSN":"23521465","abstract":"Multimodal trips are increasing in metropolitan areas, making public transport less attractive. There is a need for integration in order to achieve effective seamless mobility. One dimension of integration is to reduce the disruption of transfer among modes and interchanges appear as the best solution when big number of travellers has to transfer. The City-HUB 7FP project1 has developed a three years research for deploying new interchanges and improving existing ones. It starts by identifying two groups of dimensions that define Interchange key features. The first dimension is related to Physical&amp;Size, including passenger demand, modes of transport, services and facilities and location in the city. The second dimension is related to Local Impacts such as developing of new activities -housing, offices, nearby shopping-, jobs creation and its connection with the local Development Plan. The combination of the elements of the two dimensions define the following key features: building design, stakeholders' involvement and the type of business model. The findings are based on interviews to practitioners undertaken in 26 selected interchanges in 9 European countries. According to these key features, the interchange should organize the space among three different zones: access-egress zone; facilities zone; and arrival-departure-transfer zone. The first one is where links to the local area and access to transport modes are focused. The last one caters for intermodal transfers. Travel information and intermodal services are spread across both zones as well as the facilities and retailing. Users' perceptions should be collected to improve interchange efficiency. To that end a travellers' attitudinal survey has been carried out in interchanges in 5 European cities. From the user point of view the most important factors identified in the surveys are safety and security, transfer conditions, emergency situation, information, design, services&amp;facilities, environmental quality and comfort of waiting time. All these elements define the interchange from two different perspectives: \"as a transport node\" and \"as a place\". The first one is related to the functionality as a node of the transport network; the second includes all the features for make the transfer experience more attractive and efficient. The project has identified a number of recommendations for developing urban transport interchanges. Some of them refers to users, other to operators and the third part deals …","author":[{"dropping-particle":"","family":"Monzón","given":"Andrés","non-dropping-particle":"","parse-names":false,"suffix":""},{"dropping-particle":"","family":"Hernández","given":"Sara","non-dropping-particle":"","parse-names":false,"suffix":""},{"dropping-particle":"","family":"Ciommo","given":"Floridea","non-dropping-particle":"Di","parse-names":false,"suffix":""}],"container-title":"Transportation Research Procedia","id":"ITEM-1","issued":{"date-parts":[["2016"]]},"page":"1124-1133","publisher":"Elsevier B.V.","title":"Efficient urban interchanges: The city-HUB model","type":"article-journal","volume":"14"},"uris":["http://www.mendeley.com/documents/?uuid=23df2cb5-6031-4624-baff-002f59ded3c4"]}],"mendeley":{"formattedCitation":"[12]","manualFormatting":"Monzón et al. ","plainTextFormattedCitation":"[12]","previouslyFormattedCitation":"[12]"},"properties":{"noteIndex":0},"schema":"https://github.com/citation-style-language/schema/raw/master/csl-citation.json"}</w:instrText>
      </w:r>
      <w:r w:rsidRPr="00101D2F">
        <w:rPr>
          <w:bCs/>
        </w:rPr>
        <w:fldChar w:fldCharType="separate"/>
      </w:r>
      <w:r w:rsidRPr="00101D2F">
        <w:rPr>
          <w:bCs/>
          <w:noProof/>
        </w:rPr>
        <w:t>Monzón</w:t>
      </w:r>
      <w:r w:rsidR="001C7897">
        <w:rPr>
          <w:bCs/>
          <w:noProof/>
          <w:lang w:val="nl-NL"/>
        </w:rPr>
        <w:t xml:space="preserve"> </w:t>
      </w:r>
      <w:r w:rsidRPr="00101D2F">
        <w:rPr>
          <w:bCs/>
          <w:noProof/>
        </w:rPr>
        <w:t xml:space="preserve">et al. </w:t>
      </w:r>
      <w:r w:rsidRPr="00101D2F">
        <w:rPr>
          <w:bCs/>
        </w:rPr>
        <w:fldChar w:fldCharType="end"/>
      </w:r>
      <w:r w:rsidR="001C7897">
        <w:rPr>
          <w:bCs/>
        </w:rPr>
        <w:fldChar w:fldCharType="begin" w:fldLock="1"/>
      </w:r>
      <w:r w:rsidR="004B1B2E">
        <w:rPr>
          <w:bCs/>
        </w:rPr>
        <w:instrText>ADDIN CSL_CITATION {"citationItems":[{"id":"ITEM-1","itemData":{"DOI":"10.1016/j.trpro.2016.05.183","ISSN":"23521465","abstract":"Multimodal trips are increasing in metropolitan areas, making public transport less attractive. There is a need for integration in order to achieve effective seamless mobility. One dimension of integration is to reduce the disruption of transfer among modes and interchanges appear as the best solution when big number of travellers has to transfer. The City-HUB 7FP project1 has developed a three years research for deploying new interchanges and improving existing ones. It starts by identifying two groups of dimensions that define Interchange key features. The first dimension is related to Physical&amp;Size, including passenger demand, modes of transport, services and facilities and location in the city. The second dimension is related to Local Impacts such as developing of new activities -housing, offices, nearby shopping-, jobs creation and its connection with the local Development Plan. The combination of the elements of the two dimensions define the following key features: building design, stakeholders' involvement and the type of business model. The findings are based on interviews to practitioners undertaken in 26 selected interchanges in 9 European countries. According to these key features, the interchange should organize the space among three different zones: access-egress zone; facilities zone; and arrival-departure-transfer zone. The first one is where links to the local area and access to transport modes are focused. The last one caters for intermodal transfers. Travel information and intermodal services are spread across both zones as well as the facilities and retailing. Users' perceptions should be collected to improve interchange efficiency. To that end a travellers' attitudinal survey has been carried out in interchanges in 5 European cities. From the user point of view the most important factors identified in the surveys are safety and security, transfer conditions, emergency situation, information, design, services&amp;facilities, environmental quality and comfort of waiting time. All these elements define the interchange from two different perspectives: \"as a transport node\" and \"as a place\". The first one is related to the functionality as a node of the transport network; the second includes all the features for make the transfer experience more attractive and efficient. The project has identified a number of recommendations for developing urban transport interchanges. Some of them refers to users, other to operators and the third part deals …","author":[{"dropping-particle":"","family":"Monzón","given":"Andrés","non-dropping-particle":"","parse-names":false,"suffix":""},{"dropping-particle":"","family":"Hernández","given":"Sara","non-dropping-particle":"","parse-names":false,"suffix":""},{"dropping-particle":"","family":"Ciommo","given":"Floridea","non-dropping-particle":"Di","parse-names":false,"suffix":""}],"container-title":"Transportation Research Procedia","id":"ITEM-1","issued":{"date-parts":[["2016"]]},"page":"1124-1133","publisher":"Elsevier B.V.","title":"Efficient urban interchanges: The city-HUB model","type":"article-journal","volume":"14"},"uris":["http://www.mendeley.com/documents/?uuid=23df2cb5-6031-4624-baff-002f59ded3c4"]}],"mendeley":{"formattedCitation":"[12]","plainTextFormattedCitation":"[12]","previouslyFormattedCitation":"[12]"},"properties":{"noteIndex":0},"schema":"https://github.com/citation-style-language/schema/raw/master/csl-citation.json"}</w:instrText>
      </w:r>
      <w:r w:rsidR="001C7897">
        <w:rPr>
          <w:bCs/>
        </w:rPr>
        <w:fldChar w:fldCharType="separate"/>
      </w:r>
      <w:r w:rsidR="001C7897" w:rsidRPr="001C7897">
        <w:rPr>
          <w:bCs/>
          <w:noProof/>
        </w:rPr>
        <w:t>[12]</w:t>
      </w:r>
      <w:r w:rsidR="001C7897">
        <w:rPr>
          <w:bCs/>
        </w:rPr>
        <w:fldChar w:fldCharType="end"/>
      </w:r>
      <w:r w:rsidRPr="00101D2F">
        <w:rPr>
          <w:bCs/>
        </w:rPr>
        <w:t xml:space="preserve"> identified information, transfer conditions, safety &amp; security, emergency situations, design &amp; image, environmental quality, services and facilities, and comfort of waiting time to be essential factors in a user’s assessment of a hub’s quality. Based on a focus group study </w:t>
      </w:r>
      <w:r w:rsidRPr="00101D2F">
        <w:rPr>
          <w:bCs/>
        </w:rPr>
        <w:fldChar w:fldCharType="begin" w:fldLock="1"/>
      </w:r>
      <w:r w:rsidR="00237509">
        <w:rPr>
          <w:bCs/>
        </w:rPr>
        <w:instrText>ADDIN CSL_CITATION {"citationItems":[{"id":"ITEM-1","itemData":{"DOI":"10.3390/socsci8020065","ISSN":"20760760","abstract":"Technological innovation in the mobility and transport sphere is still strongly aimed at vehicle- or infrastructure-based systems. Actual user needs in regard to accessibility and usability of the links between different transportation modes are usually addressed by standardized planning processes. In a row of four consecutive Austrian research projects, every element in the chain of intermodal routes was addressed, starting from the user-centered features of public transport stops in both urban and rural transport systems, to the planning tasks involved in providing demand-driven public transport. The current iteration focuses on establishing a typology of intermodal mobility hubs, including a differentiated view of the potential users of a multimodal transport system and their respective needs at the station.","author":[{"dropping-particle":"","family":"Bell","given":"Daniel","non-dropping-particle":"","parse-names":false,"suffix":""}],"container-title":"Social Sciences","id":"ITEM-1","issue":"2","issued":{"date-parts":[["2019"]]},"title":"Intermodal mobility hubs and user needs","type":"article-journal","volume":"8"},"uris":["http://www.mendeley.com/documents/?uuid=1bce14d3-07f9-42fa-8d89-c709928e8859"]}],"mendeley":{"formattedCitation":"[11]","manualFormatting":"Bell ","plainTextFormattedCitation":"[11]","previouslyFormattedCitation":"[11]"},"properties":{"noteIndex":0},"schema":"https://github.com/citation-style-language/schema/raw/master/csl-citation.json"}</w:instrText>
      </w:r>
      <w:r w:rsidRPr="00101D2F">
        <w:rPr>
          <w:bCs/>
        </w:rPr>
        <w:fldChar w:fldCharType="separate"/>
      </w:r>
      <w:r w:rsidRPr="00101D2F">
        <w:rPr>
          <w:bCs/>
          <w:noProof/>
        </w:rPr>
        <w:t xml:space="preserve">Bell </w:t>
      </w:r>
      <w:r w:rsidRPr="00101D2F">
        <w:rPr>
          <w:bCs/>
        </w:rPr>
        <w:fldChar w:fldCharType="end"/>
      </w:r>
      <w:r w:rsidR="00237509">
        <w:rPr>
          <w:bCs/>
        </w:rPr>
        <w:fldChar w:fldCharType="begin" w:fldLock="1"/>
      </w:r>
      <w:r w:rsidR="001C7897">
        <w:rPr>
          <w:bCs/>
        </w:rPr>
        <w:instrText>ADDIN CSL_CITATION {"citationItems":[{"id":"ITEM-1","itemData":{"DOI":"10.3390/socsci8020065","ISSN":"20760760","abstract":"Technological innovation in the mobility and transport sphere is still strongly aimed at vehicle- or infrastructure-based systems. Actual user needs in regard to accessibility and usability of the links between different transportation modes are usually addressed by standardized planning processes. In a row of four consecutive Austrian research projects, every element in the chain of intermodal routes was addressed, starting from the user-centered features of public transport stops in both urban and rural transport systems, to the planning tasks involved in providing demand-driven public transport. The current iteration focuses on establishing a typology of intermodal mobility hubs, including a differentiated view of the potential users of a multimodal transport system and their respective needs at the station.","author":[{"dropping-particle":"","family":"Bell","given":"Daniel","non-dropping-particle":"","parse-names":false,"suffix":""}],"container-title":"Social Sciences","id":"ITEM-1","issue":"2","issued":{"date-parts":[["2019"]]},"title":"Intermodal mobility hubs and user needs","type":"article-journal","volume":"8"},"uris":["http://www.mendeley.com/documents/?uuid=1bce14d3-07f9-42fa-8d89-c709928e8859"]}],"mendeley":{"formattedCitation":"[11]","plainTextFormattedCitation":"[11]","previouslyFormattedCitation":"[11]"},"properties":{"noteIndex":0},"schema":"https://github.com/citation-style-language/schema/raw/master/csl-citation.json"}</w:instrText>
      </w:r>
      <w:r w:rsidR="00237509">
        <w:rPr>
          <w:bCs/>
        </w:rPr>
        <w:fldChar w:fldCharType="separate"/>
      </w:r>
      <w:r w:rsidR="00237509" w:rsidRPr="00237509">
        <w:rPr>
          <w:bCs/>
          <w:noProof/>
        </w:rPr>
        <w:t>[11]</w:t>
      </w:r>
      <w:r w:rsidR="00237509">
        <w:rPr>
          <w:bCs/>
        </w:rPr>
        <w:fldChar w:fldCharType="end"/>
      </w:r>
      <w:r w:rsidRPr="00101D2F">
        <w:rPr>
          <w:bCs/>
        </w:rPr>
        <w:t xml:space="preserve"> argued that, for users to accept mobility hubs, mobility hubs should, in the very least, provide enough information and be well-located, comfortable, and accessible. Beyond these basic requirements, user demands are heterogeneous and depend on the individual and the purpose of the trip </w:t>
      </w:r>
      <w:r w:rsidRPr="00101D2F">
        <w:rPr>
          <w:bCs/>
        </w:rPr>
        <w:fldChar w:fldCharType="begin" w:fldLock="1"/>
      </w:r>
      <w:r w:rsidR="00517676">
        <w:rPr>
          <w:bCs/>
        </w:rPr>
        <w:instrText>ADDIN CSL_CITATION {"citationItems":[{"id":"ITEM-1","itemData":{"DOI":"10.3390/socsci8020065","ISSN":"20760760","abstract":"Technological innovation in the mobility and transport sphere is still strongly aimed at vehicle- or infrastructure-based systems. Actual user needs in regard to accessibility and usability of the links between different transportation modes are usually addressed by standardized planning processes. In a row of four consecutive Austrian research projects, every element in the chain of intermodal routes was addressed, starting from the user-centered features of public transport stops in both urban and rural transport systems, to the planning tasks involved in providing demand-driven public transport. The current iteration focuses on establishing a typology of intermodal mobility hubs, including a differentiated view of the potential users of a multimodal transport system and their respective needs at the station.","author":[{"dropping-particle":"","family":"Bell","given":"Daniel","non-dropping-particle":"","parse-names":false,"suffix":""}],"container-title":"Social Sciences","id":"ITEM-1","issue":"2","issued":{"date-parts":[["2019"]]},"title":"Intermodal mobility hubs and user needs","type":"article-journal","volume":"8"},"uris":["http://www.mendeley.com/documents/?uuid=1bce14d3-07f9-42fa-8d89-c709928e8859"]}],"mendeley":{"formattedCitation":"[11]","plainTextFormattedCitation":"[11]","previouslyFormattedCitation":"[11]"},"properties":{"noteIndex":0},"schema":"https://github.com/citation-style-language/schema/raw/master/csl-citation.json"}</w:instrText>
      </w:r>
      <w:r w:rsidRPr="00101D2F">
        <w:rPr>
          <w:bCs/>
        </w:rPr>
        <w:fldChar w:fldCharType="separate"/>
      </w:r>
      <w:r w:rsidR="00F02ABA" w:rsidRPr="00F02ABA">
        <w:rPr>
          <w:bCs/>
          <w:noProof/>
        </w:rPr>
        <w:t>[11]</w:t>
      </w:r>
      <w:r w:rsidRPr="00101D2F">
        <w:rPr>
          <w:bCs/>
        </w:rPr>
        <w:fldChar w:fldCharType="end"/>
      </w:r>
      <w:r w:rsidRPr="00101D2F">
        <w:rPr>
          <w:bCs/>
        </w:rPr>
        <w:t xml:space="preserve">. </w:t>
      </w:r>
    </w:p>
    <w:p w14:paraId="1108FA3D" w14:textId="22D1886A" w:rsidR="00101D2F" w:rsidRPr="00101D2F" w:rsidRDefault="00101D2F" w:rsidP="00101D2F">
      <w:pPr>
        <w:pStyle w:val="Plattetekst"/>
        <w:rPr>
          <w:bCs/>
        </w:rPr>
      </w:pPr>
      <w:r w:rsidRPr="00101D2F">
        <w:rPr>
          <w:bCs/>
        </w:rPr>
        <w:t xml:space="preserve">Since travel preferences differ based on socio-economic characteristics </w:t>
      </w:r>
      <w:r w:rsidRPr="00101D2F">
        <w:rPr>
          <w:bCs/>
        </w:rPr>
        <w:fldChar w:fldCharType="begin" w:fldLock="1"/>
      </w:r>
      <w:r w:rsidR="00517676">
        <w:rPr>
          <w:bCs/>
        </w:rPr>
        <w:instrText>ADDIN CSL_CITATION {"citationItems":[{"id":"ITEM-1","itemData":{"DOI":"10.1080/17450101.2017.1331017","ISSN":"1745-0101","author":[{"dropping-particle":"","family":"Green","given":"Judith","non-dropping-particle":"","parse-names":false,"suffix":""},{"dropping-particle":"","family":"Steinbach","given":"Rebecca","non-dropping-particle":"","parse-names":false,"suffix":""},{"dropping-particle":"","family":"Garnett","given":"Emma","non-dropping-particle":"","parse-names":false,"suffix":""},{"dropping-particle":"","family":"Christie","given":"Nicola","non-dropping-particle":"","parse-names":false,"suffix":""}],"container-title":"Mobilities","id":"ITEM-1","issued":{"date-parts":[["2018"]]},"page":"1-15","publisher":"Routledge","title":"Automobility reconfigured ? Ironic seductions and mundane freedoms in 16 – 21 year olds ’ accounts of car driving and ownership","type":"article-journal","volume":"0101"},"uris":["http://www.mendeley.com/documents/?uuid=78be2b44-3b04-4124-887c-8f442cad7253"]},{"id":"ITEM-2","itemData":{"DOI":"10.2760/172631","ISBN":"9789279666681","author":[{"dropping-particle":"","family":"Focas","given":"Caralampo","non-dropping-particle":"","parse-names":false,"suffix":""},{"dropping-particle":"","family":"Christidis","given":"Panayotis","non-dropping-particle":"","parse-names":false,"suffix":""}],"id":"ITEM-2","issued":{"date-parts":[["2017"]]},"number-of-pages":"1-28","title":"What drives car use in Europe?","type":"report"},"uris":["http://www.mendeley.com/documents/?uuid=54050089-2613-4a78-9624-5d50ed7c8977"]}],"mendeley":{"formattedCitation":"[8], [18]","plainTextFormattedCitation":"[8], [18]","previouslyFormattedCitation":"[8], [18]"},"properties":{"noteIndex":0},"schema":"https://github.com/citation-style-language/schema/raw/master/csl-citation.json"}</w:instrText>
      </w:r>
      <w:r w:rsidRPr="00101D2F">
        <w:rPr>
          <w:bCs/>
        </w:rPr>
        <w:fldChar w:fldCharType="separate"/>
      </w:r>
      <w:r w:rsidR="00F02ABA" w:rsidRPr="00F02ABA">
        <w:rPr>
          <w:bCs/>
          <w:noProof/>
        </w:rPr>
        <w:t>[8], [18]</w:t>
      </w:r>
      <w:r w:rsidRPr="00101D2F">
        <w:rPr>
          <w:bCs/>
        </w:rPr>
        <w:fldChar w:fldCharType="end"/>
      </w:r>
      <w:r w:rsidRPr="00101D2F">
        <w:rPr>
          <w:bCs/>
        </w:rPr>
        <w:t xml:space="preserve"> and on lifestyle preferences </w:t>
      </w:r>
      <w:r w:rsidRPr="00101D2F">
        <w:rPr>
          <w:bCs/>
        </w:rPr>
        <w:fldChar w:fldCharType="begin" w:fldLock="1"/>
      </w:r>
      <w:r w:rsidR="00517676">
        <w:rPr>
          <w:bCs/>
        </w:rPr>
        <w:instrText>ADDIN CSL_CITATION {"citationItems":[{"id":"ITEM-1","itemData":{"DOI":"10.1007/s11116-007-9112-1","ISBN":"1111600791","ISSN":"00494488","abstract":"This contribution presents theoretical considerations concerning the connections between life situation, lifestyle, choice of residential location and travel behaviour, as well as empirical results of structural equation models. The analyses are based on data resulting from a survey in seven study areas in the region of Cologne. The results indicate that lifestyles influence mode choice, although slightly, even when life situation is controlled for. The influence of life situation on mode choice exceeds the influence of lifestyle. The influence that lifestyle, and in part also life situation, has on mode choice is primarily mediated by specific location attitudes and location decisions that influence mode choice, respectively. Here objective spatial conditions as well as subjective location attitudes are important.","author":[{"dropping-particle":"","family":"Scheiner","given":"Joachim","non-dropping-particle":"","parse-names":false,"suffix":""},{"dropping-particle":"","family":"Holz-Rau","given":"Christian","non-dropping-particle":"","parse-names":false,"suffix":""}],"container-title":"Transportation","id":"ITEM-1","issue":"4","issued":{"date-parts":[["2007"]]},"page":"487-511","title":"Travel mode choice: Affected by objective or subjective determinants?","type":"article-journal","volume":"34"},"uris":["http://www.mendeley.com/documents/?uuid=126f7a30-adf3-400c-a7cf-4b8b289e9869"]}],"mendeley":{"formattedCitation":"[19]","plainTextFormattedCitation":"[19]","previouslyFormattedCitation":"[19]"},"properties":{"noteIndex":0},"schema":"https://github.com/citation-style-language/schema/raw/master/csl-citation.json"}</w:instrText>
      </w:r>
      <w:r w:rsidRPr="00101D2F">
        <w:rPr>
          <w:bCs/>
        </w:rPr>
        <w:fldChar w:fldCharType="separate"/>
      </w:r>
      <w:r w:rsidR="00F02ABA" w:rsidRPr="00F02ABA">
        <w:rPr>
          <w:bCs/>
          <w:noProof/>
        </w:rPr>
        <w:t>[19]</w:t>
      </w:r>
      <w:r w:rsidRPr="00101D2F">
        <w:rPr>
          <w:bCs/>
        </w:rPr>
        <w:fldChar w:fldCharType="end"/>
      </w:r>
      <w:r w:rsidRPr="00101D2F">
        <w:rPr>
          <w:bCs/>
        </w:rPr>
        <w:t xml:space="preserve">, neighborhoods with mobility hubs are likely to attract some while deterring others. More specifically, mobility hubs are designed to facilitate a multimodal mobility lifestyle, which has been associated with the lifestyle preferences of ‘millennials’, individuals born in the tail end of the twentieth century </w:t>
      </w:r>
      <w:r w:rsidRPr="00101D2F">
        <w:rPr>
          <w:bCs/>
        </w:rPr>
        <w:fldChar w:fldCharType="begin" w:fldLock="1"/>
      </w:r>
      <w:r w:rsidR="00517676">
        <w:rPr>
          <w:bCs/>
        </w:rPr>
        <w:instrText>ADDIN CSL_CITATION {"citationItems":[{"id":"ITEM-1","itemData":{"DOI":"10.1016/j.jtrangeo.2012.04.018","ISSN":"0966-6923","author":[{"dropping-particle":"","family":"Kuhnimhof","given":"Tobias","non-dropping-particle":"","parse-names":false,"suffix":""},{"dropping-particle":"","family":"Buehler","given":"Ralph","non-dropping-particle":"","parse-names":false,"suffix":""},{"dropping-particle":"","family":"Wirtz","given":"Matthias","non-dropping-particle":"","parse-names":false,"suffix":""},{"dropping-particle":"","family":"Kalinowska","given":"Dominika","non-dropping-particle":"","parse-names":false,"suffix":""}],"container-title":"Journal of Transport Geography","id":"ITEM-1","issued":{"date-parts":[["2012"]]},"page":"443-450","publisher":"Elsevier Ltd","title":"Travel trends among young adults in Germany : increasing multimodality and declining car use for men","type":"article-journal","volume":"24"},"uris":["http://www.mendeley.com/documents/?uuid=aede7b7b-ddc9-4f42-9f0d-08e565eb20fe"]}],"mendeley":{"formattedCitation":"[20]","plainTextFormattedCitation":"[20]","previouslyFormattedCitation":"[20]"},"properties":{"noteIndex":0},"schema":"https://github.com/citation-style-language/schema/raw/master/csl-citation.json"}</w:instrText>
      </w:r>
      <w:r w:rsidRPr="00101D2F">
        <w:rPr>
          <w:bCs/>
        </w:rPr>
        <w:fldChar w:fldCharType="separate"/>
      </w:r>
      <w:r w:rsidR="00F02ABA" w:rsidRPr="00F02ABA">
        <w:rPr>
          <w:bCs/>
          <w:noProof/>
        </w:rPr>
        <w:t>[20]</w:t>
      </w:r>
      <w:r w:rsidRPr="00101D2F">
        <w:rPr>
          <w:bCs/>
        </w:rPr>
        <w:fldChar w:fldCharType="end"/>
      </w:r>
      <w:r w:rsidRPr="00101D2F">
        <w:rPr>
          <w:bCs/>
        </w:rPr>
        <w:t xml:space="preserve">. Expectations are that the ‘millennial’ age group will take particular interest in neighborhoods with mobility hubs. However, residential choice does not only hinge on travel preferences. In fact, as mentioned before, accommodation of the preferred travel modes is relatively low on the priority list of house seekers.  </w:t>
      </w:r>
    </w:p>
    <w:p w14:paraId="2074BF38" w14:textId="2435559A" w:rsidR="00101D2F" w:rsidRPr="00101D2F" w:rsidRDefault="00101D2F" w:rsidP="00101D2F">
      <w:pPr>
        <w:pStyle w:val="Plattetekst"/>
        <w:rPr>
          <w:bCs/>
        </w:rPr>
      </w:pPr>
      <w:r w:rsidRPr="00101D2F">
        <w:rPr>
          <w:bCs/>
        </w:rPr>
        <w:t xml:space="preserve">Research on residential location choice has accumulated an excellent knowledge base on what factors influence the utility of anyone location </w:t>
      </w:r>
      <w:r w:rsidRPr="00101D2F">
        <w:rPr>
          <w:bCs/>
        </w:rPr>
        <w:fldChar w:fldCharType="begin" w:fldLock="1"/>
      </w:r>
      <w:r w:rsidR="00517676">
        <w:rPr>
          <w:bCs/>
        </w:rPr>
        <w:instrText>ADDIN CSL_CITATION {"citationItems":[{"id":"ITEM-1","itemData":{"DOI":"10.5198/jtlu.v7i2.740","ISSN":"19387849","abstract":"Geospatial data available to researchers has increased tremendously over the last several decades, opening up opportunities to define residential locationinmultipleways.?ishas ledtoamyriad of variables todefine “location” inresidential locationchoicemodels. Inthispaper, we propose a common classification for location variables and categorize findings from a wide range of studies. We find similar preferences but different measurement methods andmarket segments for locations across different study regions. Recent studies consider the residential unit as choice alternative,making it possible to include a detailed description of the built environment. However, these studies are still limited in number and the inclusion of socioeconomic environment is more common. Transport land-use models can benefit from the inclusion of points of interest, such as schools, network distances, and the distance to previous locations. For the results of location choice models to be transferable to different disciplines, and avoidmulti-collinearity, it is necessary to present differentmodel specifications, including variables of interest in different disciplines","author":[{"dropping-particle":"","family":"Schirmer","given":"Patrick M.","non-dropping-particle":"","parse-names":false,"suffix":""},{"dropping-particle":"","family":"Eggermond","given":"Michael A.B.","non-dropping-particle":"van","parse-names":false,"suffix":""},{"dropping-particle":"","family":"Axhausen","given":"Kay W.","non-dropping-particle":"","parse-names":false,"suffix":""}],"container-title":"Journal of Transport and Land Use","id":"ITEM-1","issue":"2","issued":{"date-parts":[["2014"]]},"page":"3-21","title":"The role of location in residential location choice models: A review of literature","type":"article-journal","volume":"7"},"uris":["http://www.mendeley.com/documents/?uuid=b1f73105-4218-41be-bb9d-386621ffde7a"]}],"mendeley":{"formattedCitation":"[21]","plainTextFormattedCitation":"[21]","previouslyFormattedCitation":"[21]"},"properties":{"noteIndex":0},"schema":"https://github.com/citation-style-language/schema/raw/master/csl-citation.json"}</w:instrText>
      </w:r>
      <w:r w:rsidRPr="00101D2F">
        <w:rPr>
          <w:bCs/>
        </w:rPr>
        <w:fldChar w:fldCharType="separate"/>
      </w:r>
      <w:r w:rsidR="00F02ABA" w:rsidRPr="00F02ABA">
        <w:rPr>
          <w:bCs/>
          <w:noProof/>
        </w:rPr>
        <w:t>[21]</w:t>
      </w:r>
      <w:r w:rsidRPr="00101D2F">
        <w:rPr>
          <w:bCs/>
        </w:rPr>
        <w:fldChar w:fldCharType="end"/>
      </w:r>
      <w:r w:rsidRPr="00101D2F">
        <w:rPr>
          <w:bCs/>
        </w:rPr>
        <w:t>. The distance to the work location has been consistently found as an essential locational factor and usually has a negative influence on the residential location choice</w:t>
      </w:r>
      <w:r w:rsidR="001F09EE" w:rsidRPr="001F09EE">
        <w:rPr>
          <w:bCs/>
          <w:lang w:val="en-US"/>
        </w:rPr>
        <w:t xml:space="preserve"> </w:t>
      </w:r>
      <w:r w:rsidR="006D4B1C">
        <w:rPr>
          <w:bCs/>
          <w:lang w:val="en-US"/>
        </w:rPr>
        <w:fldChar w:fldCharType="begin" w:fldLock="1"/>
      </w:r>
      <w:r w:rsidR="004B1B2E">
        <w:rPr>
          <w:bCs/>
          <w:lang w:val="en-US"/>
        </w:rPr>
        <w:instrText>ADDIN CSL_CITATION {"citationItems":[{"id":"ITEM-1","itemData":{"DOI":"10.1007/978-3-662-07809-9_9","abstract":"This paper argues the case, that self-selection effects are pervasive in spatial and transport-related decision making. This argument is not new, but the recent interest in appropriate models of change and of daily behaviour under constraints brings it to forefront of interest again. Using descriptive examples and two choice models (set of mobility tools of a household and housing location choice) the paper demonstrates these effects empirically. While the statistically proper solution is the development of self-selection models, which make the decisions about the constraints endogenous to the system, this strategy is difficult in this context due to the long time-horizons/long histories of the relevant decisions. In this paper the constraints were described with variables reflecting those previous decisions. In the model of the mobility tool choice: housing location (type of location, distance to nearest public transport stop; housing costs; distances to work and shopping); in the model of residential choice: distance to previous residential location, type of previous location, distances to work and education). All are significant and have the expected signs.","author":[{"dropping-particle":"","family":"Axhausen","given":"Kay W.","non-dropping-particle":"","parse-names":false,"suffix":""},{"dropping-particle":"","family":"König","given":"Arnd","non-dropping-particle":"","parse-names":false,"suffix":""},{"dropping-particle":"","family":"Scott","given":"Darren M.","non-dropping-particle":"","parse-names":false,"suffix":""},{"dropping-particle":"","family":"Jürgens","given":"Claudia","non-dropping-particle":"","parse-names":false,"suffix":""}],"container-title":"Human Behaviour and Traffic Networks","id":"ITEM-1","issued":{"date-parts":[["2004"]]},"title":"Locations, commitments and activity spaces","type":"chapter"},"uris":["http://www.mendeley.com/documents/?uuid=dcd0d280-0e62-4a67-ab64-381090a7f8ce"]},{"id":"ITEM-2","itemData":{"DOI":"10.1016/j.cities.2013.06.005","ISSN":"02642751","abstract":"This study investigates the residential location choice of knowledge-workers at the intra-metropolitan level by applying discrete choice models. The models represent housing choices of 833 knowledge-workers in high-technology and financial services and analyze the relative importance of lifestyle and cultural amenities in addition to classic location factors. Hence, the model bridges the gap between the recent lifestyle-oriented and the classical utility-oriented conceptualizations of the residential choice of knowledge-workers. The most important factors are municipal socioeconomic level, housing affordability and commuting time, while substantial secondary factors are cultural and educational land-use and culture-oriented lifestyle. © 2013 Elsevier Ltd.","author":[{"dropping-particle":"","family":"Frenkel","given":"Amnon","non-dropping-particle":"","parse-names":false,"suffix":""},{"dropping-particle":"","family":"Bendit","given":"Edward","non-dropping-particle":"","parse-names":false,"suffix":""},{"dropping-particle":"","family":"Kaplan","given":"Sigal","non-dropping-particle":"","parse-names":false,"suffix":""}],"container-title":"Cities","id":"ITEM-2","issued":{"date-parts":[["2013"]]},"page":"33-41","publisher":"Elsevier Ltd","title":"Residential location choice of knowledge-workers: The role of amenities, workplace and lifestyle","type":"article-journal","volume":"35"},"uris":["http://www.mendeley.com/documents/?uuid=5384ea8d-918c-4ece-8b9c-c1aa65c52fb9"]},{"id":"ITEM-3","itemData":{"DOI":"10.3929/ethz-a-010782581","ISBN":"8610828378018","abstract":"In the context of a land use – transport simulation for the Greater Zurich area that is currently being developed at ETH Zurich, multinomial logit models of residential location choice havebeen estimated. The estimations were based on two datasets: a household survey conducted in 2005 and real estate offers collected from the Internet in 2004 and 2005. Drawing on these data sources, a number of different variable combinations were tested in order to obtain models with satisfactory explanatory power. In addition, estimation results for specific household types werecompared. A core set of variables was used as a starting point to explore the significance of variouscharacteristics of household, dwelling and location. This core set was then tentatively extended by adding further variables. Variables that proved significant comprised mostly location-related attributes like various densities or travel time to city centre but also characteristics of municipalities like the rate of vacant rental units or the tax index and housing unit’s features such as price and size. Interaction terms with sociodemographic attributes of the decision-making households were introduced to improve the explanatory power of the models. More detailed results were obtained by estimating separate models for different household types. Those types were formed regarding sociodemographic and socioeconomic features. For choice set selection, random sampling was applied. This approach might later be extended to include stratified sampling strategies making use of similarities between chosen and non-chosen alternatives. For carrying out the sampling procedures a custom made Java programmewas developed. The models resulting from the estimation process are presented and evaluated in the paper athand.","author":[{"dropping-particle":"","family":"Bürgle","given":"Michaela","non-dropping-particle":"","parse-names":false,"suffix":""}],"container-title":"Swiss Transport Research Conference","id":"ITEM-3","issued":{"date-parts":[["2006"]]},"page":"12-19","title":"Residential location choice model for the Greater Zurich area","type":"article-journal"},"uris":["http://www.mendeley.com/documents/?uuid=285de8cb-cf79-4f44-8a6d-885c4d4bdb9a"]}],"mendeley":{"formattedCitation":"[22]–[24]","plainTextFormattedCitation":"[22]–[24]","previouslyFormattedCitation":"[22]–[24]"},"properties":{"noteIndex":0},"schema":"https://github.com/citation-style-language/schema/raw/master/csl-citation.json"}</w:instrText>
      </w:r>
      <w:r w:rsidR="006D4B1C">
        <w:rPr>
          <w:bCs/>
          <w:lang w:val="en-US"/>
        </w:rPr>
        <w:fldChar w:fldCharType="separate"/>
      </w:r>
      <w:r w:rsidR="00F02ABA" w:rsidRPr="00F02ABA">
        <w:rPr>
          <w:bCs/>
          <w:noProof/>
          <w:lang w:val="en-US"/>
        </w:rPr>
        <w:t>[22]–[24]</w:t>
      </w:r>
      <w:r w:rsidR="006D4B1C">
        <w:rPr>
          <w:bCs/>
          <w:lang w:val="en-US"/>
        </w:rPr>
        <w:fldChar w:fldCharType="end"/>
      </w:r>
      <w:r w:rsidRPr="00101D2F">
        <w:rPr>
          <w:bCs/>
          <w:lang w:val="de-DE"/>
        </w:rPr>
        <w:t xml:space="preserve">. </w:t>
      </w:r>
      <w:r w:rsidRPr="00101D2F">
        <w:rPr>
          <w:bCs/>
        </w:rPr>
        <w:t xml:space="preserve">Capturing the influence of the distance to the workplace becomes more complex in multiple worker households. Researchers have dealt with this complexity by considering the angle between the workplaces with the residential location as center point </w:t>
      </w:r>
      <w:r w:rsidRPr="00101D2F">
        <w:rPr>
          <w:bCs/>
        </w:rPr>
        <w:fldChar w:fldCharType="begin" w:fldLock="1"/>
      </w:r>
      <w:r w:rsidR="00517676">
        <w:rPr>
          <w:bCs/>
        </w:rPr>
        <w:instrText>ADDIN CSL_CITATION {"citationItems":[{"id":"ITEM-1","itemData":{"DOI":"10.1080/23249935.2015.1073405","ISSN":"23249943","abstract":"© 2015 Hong Kong Society for Transportation Studies Limited. This paper investigates the relationship between modal accessibility and the home–work spatial configuration of two-commuter households in an urban area. The home–work spatial configuration is captured by: (a) total commuting distance of the two commuters (from home to work) and (b) the angle between the two work locations (as measured from the common home location). The household travel survey data of 2011 of the National Capital Region is used for the empirical investigation. The empirical investigation reveals that higher modal accessibility increases the angle and reduces the total commuting distance. This investigation also reveals that certain two-commuter households are not able to optimise their home location in terms of widening the angles and reducing total distances. A correlation between total commuting distance and angle between work locations is observed such that angle decreases as the distance between home location and the Central Business District (CBD) increases. We infer that two-commuter households located far from the CBD live in predominantly residential areas that lack employment centres. As such, land use policies should guide development in areas far from the CBD towards mixed land uses. These findings are useful for urban transportation and land use planning since the proportion of two-commuter households is increasing in many urban areas.","author":[{"dropping-particle":"","family":"Akbari","given":"Saidal","non-dropping-particle":"","parse-names":false,"suffix":""},{"dropping-particle":"","family":"Habib","given":"Khandker Nurul","non-dropping-particle":"","parse-names":false,"suffix":""}],"container-title":"Transportmetrica A: Transport Science","id":"ITEM-1","issue":"10","issued":{"date-parts":[["2015"]]},"page":"897-917","title":"An econometric investigation on the relationship between modal accessibility and the home–work spatial configuration of two-commuter households","type":"article-journal","volume":"11"},"uris":["http://www.mendeley.com/documents/?uuid=355ffc9f-9cc1-448d-8bb2-2c7c39f77e2e"]}],"mendeley":{"formattedCitation":"[25]","plainTextFormattedCitation":"[25]","previouslyFormattedCitation":"[25]"},"properties":{"noteIndex":0},"schema":"https://github.com/citation-style-language/schema/raw/master/csl-citation.json"}</w:instrText>
      </w:r>
      <w:r w:rsidRPr="00101D2F">
        <w:rPr>
          <w:bCs/>
        </w:rPr>
        <w:fldChar w:fldCharType="separate"/>
      </w:r>
      <w:r w:rsidR="00F02ABA" w:rsidRPr="00F02ABA">
        <w:rPr>
          <w:bCs/>
          <w:noProof/>
        </w:rPr>
        <w:t>[25]</w:t>
      </w:r>
      <w:r w:rsidRPr="00101D2F">
        <w:rPr>
          <w:bCs/>
        </w:rPr>
        <w:fldChar w:fldCharType="end"/>
      </w:r>
      <w:r w:rsidRPr="00101D2F">
        <w:rPr>
          <w:bCs/>
        </w:rPr>
        <w:t xml:space="preserve"> and by analyzing the commuting dynamics within the household </w:t>
      </w:r>
      <w:r w:rsidRPr="00101D2F">
        <w:rPr>
          <w:bCs/>
        </w:rPr>
        <w:fldChar w:fldCharType="begin" w:fldLock="1"/>
      </w:r>
      <w:r w:rsidR="00517676">
        <w:rPr>
          <w:bCs/>
        </w:rPr>
        <w:instrText>ADDIN CSL_CITATION {"citationItems":[{"id":"ITEM-1","itemData":{"DOI":"10.1016/j.trd.2018.10.015","ISSN":"13619209","abstract":"Residential self-selection has been acknowledged as a key issue underlining the link between the built environment and travel behavior. Existing studies often implicitly assume that residential choice is a decision of an individual and the influence of intra-household interactions is not considered. In reality, residential choice is a decision often made at the household-level involving more than one household members. Similarly, car ownership is usually a household-level decision incorporating views of different household members. In both cases, the travel related attitudes of more than one household members may play a role in the decision making. In other words, there is an issue concerning residential self-selection (similarly car ownership self-selection): whose self-selection? This paper makes an attempt to probe into this question by examining the self-selection issues concerning residential location choice and car ownership decision from the perspective of households, by incorporating the travel attitudes and travel behaviors of two household heads into an integrated self-selection framework. Data are derived from a household sample survey involving two-day activity-travel diaries conducted in 2016 in Beijing, China. Multivariate modeling results show that household members play different roles in household decisions with travel implications: in general husbands’ travel attitudes have relatively more influence in residential choice and car ownership decision than wives’. Nevertheless, wives’ travel attitudes have more power than husbands’ in explaining the commuting distances of both husbands and wives. Some distinct features of the residential and car ownership self-selections in the Chinese context are also identified and discussed in this paper.","author":[{"dropping-particle":"","family":"Guan","given":"Xiaodong","non-dropping-particle":"","parse-names":false,"suffix":""},{"dropping-particle":"","family":"Wang","given":"Donggen","non-dropping-particle":"","parse-names":false,"suffix":""}],"container-title":"Transportation Research Part D: Transport and Environment","id":"ITEM-1","issue":"November 2018","issued":{"date-parts":[["2019"]]},"page":"16-32","publisher":"Elsevier","title":"Residential self-selection in the built environment-travel behavior connection: Whose self-selection?","type":"article-journal","volume":"67"},"uris":["http://www.mendeley.com/documents/?uuid=98ace396-889a-4abf-ab91-70e8b337381f"]}],"mendeley":{"formattedCitation":"[26]","plainTextFormattedCitation":"[26]","previouslyFormattedCitation":"[26]"},"properties":{"noteIndex":0},"schema":"https://github.com/citation-style-language/schema/raw/master/csl-citation.json"}</w:instrText>
      </w:r>
      <w:r w:rsidRPr="00101D2F">
        <w:rPr>
          <w:bCs/>
        </w:rPr>
        <w:fldChar w:fldCharType="separate"/>
      </w:r>
      <w:r w:rsidR="00F02ABA" w:rsidRPr="00F02ABA">
        <w:rPr>
          <w:bCs/>
          <w:noProof/>
        </w:rPr>
        <w:t>[26]</w:t>
      </w:r>
      <w:r w:rsidRPr="00101D2F">
        <w:rPr>
          <w:bCs/>
        </w:rPr>
        <w:fldChar w:fldCharType="end"/>
      </w:r>
      <w:r w:rsidRPr="00101D2F">
        <w:rPr>
          <w:bCs/>
        </w:rPr>
        <w:t xml:space="preserve">. Continuing on the theme of accessibility, the proximity of the central business district (CBD) is regularly found to have a significant effect on utility, although its direction can differ </w:t>
      </w:r>
      <w:r w:rsidRPr="00101D2F">
        <w:rPr>
          <w:bCs/>
        </w:rPr>
        <w:fldChar w:fldCharType="begin" w:fldLock="1"/>
      </w:r>
      <w:r w:rsidR="00517676">
        <w:rPr>
          <w:bCs/>
        </w:rPr>
        <w:instrText>ADDIN CSL_CITATION {"citationItems":[{"id":"ITEM-1","itemData":{"DOI":"10.1007/s11116-018-9964-6","ISSN":"15729435","abstract":"© 2018, Springer Science+Business Media, LLC, part of Springer Nature. Accessibility is essential in land-use transport interaction frameworks. For residential location choices in particular, it has always been important at the theoretical level. At the empirical level, the place of accessibility is questioned in some works, considering other more important location characteristics, like the social environment and the neighbourhood amenities. However, this result can be caused by the measurement of accessibility. In view of the wealth of approaches, this paper examines whether different accessibility measures can lead to divergent results. Using a residential location choice model for the Lyon urban area in France, we test various accessibility indicators and we compare the results. We conclude that accessibility is an indispensable variable. Without it, the model gives inconsistent results. Complex accessibility measures give better results but simple measures are also relevant for residential location choices modelling. The choice highly depends on the objectives of the application especially if the model is to be used for simulation.","author":[{"dropping-particle":"","family":"Baraklianos","given":"Ioannis","non-dropping-particle":"","parse-names":false,"suffix":""},{"dropping-particle":"","family":"Bouzouina","given":"Louafi","non-dropping-particle":"","parse-names":false,"suffix":""},{"dropping-particle":"","family":"Bonnel","given":"Patrick","non-dropping-particle":"","parse-names":false,"suffix":""},{"dropping-particle":"","family":"Aissaoui","given":"Hind","non-dropping-particle":"","parse-names":false,"suffix":""}],"container-title":"Transportation","id":"ITEM-1","issued":{"date-parts":[["2018"]]},"title":"Does the accessibility measure influence the results of residential location choice modelling?","type":"article-journal"},"uris":["http://www.mendeley.com/documents/?uuid=a44a4d0c-ad0a-4882-ae98-2be5886d5566"]}],"mendeley":{"formattedCitation":"[27]","plainTextFormattedCitation":"[27]","previouslyFormattedCitation":"[27]"},"properties":{"noteIndex":0},"schema":"https://github.com/citation-style-language/schema/raw/master/csl-citation.json"}</w:instrText>
      </w:r>
      <w:r w:rsidRPr="00101D2F">
        <w:rPr>
          <w:bCs/>
        </w:rPr>
        <w:fldChar w:fldCharType="separate"/>
      </w:r>
      <w:r w:rsidR="00F02ABA" w:rsidRPr="00F02ABA">
        <w:rPr>
          <w:bCs/>
          <w:noProof/>
        </w:rPr>
        <w:t>[27]</w:t>
      </w:r>
      <w:r w:rsidRPr="00101D2F">
        <w:rPr>
          <w:bCs/>
        </w:rPr>
        <w:fldChar w:fldCharType="end"/>
      </w:r>
      <w:r w:rsidRPr="00101D2F">
        <w:rPr>
          <w:bCs/>
        </w:rPr>
        <w:t xml:space="preserve">. Evidence suggests a CBD-related directional bias in movers. The majority of moves was found to occur in a line from the CBD, meaning they either move towards or away from the city center, rather than a lateral move </w:t>
      </w:r>
      <w:r w:rsidRPr="00101D2F">
        <w:rPr>
          <w:bCs/>
        </w:rPr>
        <w:fldChar w:fldCharType="begin" w:fldLock="1"/>
      </w:r>
      <w:r w:rsidR="00517676">
        <w:rPr>
          <w:bCs/>
        </w:rPr>
        <w:instrText>ADDIN CSL_CITATION {"citationItems":[{"id":"ITEM-1","itemData":{"DOI":"10.1016/j.tbs.2019.09.001","ISSN":"2214367X","author":[{"dropping-particle":"","family":"Kamruzzaman","given":"Md.","non-dropping-particle":"","parse-names":false,"suffix":""},{"dropping-particle":"","family":"Vos","given":"Jonas","non-dropping-particle":"De","parse-names":false,"suffix":""},{"dropping-particle":"","family":"Currie","given":"Graham","non-dropping-particle":"","parse-names":false,"suffix":""},{"dropping-particle":"","family":"Giles-Corti","given":"Billie","non-dropping-particle":"","parse-names":false,"suffix":""},{"dropping-particle":"","family":"Turrell","given":"Gavin","non-dropping-particle":"","parse-names":false,"suffix":""}],"container-title":"Travel Behaviour and Society","id":"ITEM-1","issue":"December 2018","issued":{"date-parts":[["2020"]]},"page":"15-28","publisher":"Elsevier","title":"Spatial biases in residential mobility: Implications for travel behaviour research","type":"article-journal","volume":"18"},"uris":["http://www.mendeley.com/documents/?uuid=bc2ad818-8f8e-4e67-89be-2c9eb98f8073"]}],"mendeley":{"formattedCitation":"[28]","plainTextFormattedCitation":"[28]","previouslyFormattedCitation":"[28]"},"properties":{"noteIndex":0},"schema":"https://github.com/citation-style-language/schema/raw/master/csl-citation.json"}</w:instrText>
      </w:r>
      <w:r w:rsidRPr="00101D2F">
        <w:rPr>
          <w:bCs/>
        </w:rPr>
        <w:fldChar w:fldCharType="separate"/>
      </w:r>
      <w:r w:rsidR="00F02ABA" w:rsidRPr="00F02ABA">
        <w:rPr>
          <w:bCs/>
          <w:noProof/>
        </w:rPr>
        <w:t>[28]</w:t>
      </w:r>
      <w:r w:rsidRPr="00101D2F">
        <w:rPr>
          <w:bCs/>
        </w:rPr>
        <w:fldChar w:fldCharType="end"/>
      </w:r>
      <w:r w:rsidRPr="00101D2F">
        <w:rPr>
          <w:bCs/>
        </w:rPr>
        <w:t xml:space="preserve">. The housing costs are also an often recurring negative factor in residential location choice </w:t>
      </w:r>
      <w:r w:rsidRPr="00101D2F">
        <w:rPr>
          <w:bCs/>
        </w:rPr>
        <w:fldChar w:fldCharType="begin" w:fldLock="1"/>
      </w:r>
      <w:r w:rsidR="004B1B2E">
        <w:rPr>
          <w:bCs/>
        </w:rPr>
        <w:instrText>ADDIN CSL_CITATION {"citationItems":[{"id":"ITEM-1","itemData":{"DOI":"10.3929/ethz-a-010782581","ISBN":"8610828378018","abstract":"In the context of a land use – transport simulation for the Greater Zurich area that is currently being developed at ETH Zurich, multinomial logit models of residential location choice havebeen estimated. The estimations were based on two datasets: a household survey conducted in 2005 and real estate offers collected from the Internet in 2004 and 2005. Drawing on these data sources, a number of different variable combinations were tested in order to obtain models with satisfactory explanatory power. In addition, estimation results for specific household types werecompared. A core set of variables was used as a starting point to explore the significance of variouscharacteristics of household, dwelling and location. This core set was then tentatively extended by adding further variables. Variables that proved significant comprised mostly location-related attributes like various densities or travel time to city centre but also characteristics of municipalities like the rate of vacant rental units or the tax index and housing unit’s features such as price and size. Interaction terms with sociodemographic attributes of the decision-making households were introduced to improve the explanatory power of the models. More detailed results were obtained by estimating separate models for different household types. Those types were formed regarding sociodemographic and socioeconomic features. For choice set selection, random sampling was applied. This approach might later be extended to include stratified sampling strategies making use of similarities between chosen and non-chosen alternatives. For carrying out the sampling procedures a custom made Java programmewas developed. The models resulting from the estimation process are presented and evaluated in the paper athand.","author":[{"dropping-particle":"","family":"Bürgle","given":"Michaela","non-dropping-particle":"","parse-names":false,"suffix":""}],"container-title":"Swiss Transport Research Conference","id":"ITEM-1","issued":{"date-parts":[["2006"]]},"page":"12-19","title":"Residential location choice model for the Greater Zurich area","type":"article-journal"},"uris":["http://www.mendeley.com/documents/?uuid=285de8cb-cf79-4f44-8a6d-885c4d4bdb9a"]},{"id":"ITEM-2","itemData":{"abstract":"Accessibility has long been identified as the central influence in urban theory of residential location, with Alonso (1964) and others formalizing the trade-off between housing and commuting costs in the monocentric model. During the past three decades, however, the assumptions of monocentricity, single-worker households, and exogenous workplace location underlying the monocentric and related urban models are increasingly at odds with empirical observation. Suburban employment centers have overtaken central business districts in importance, a dramatic rise in female labor force participation has made dual-earner households more prevalent than single-worker households, and non-work trips now outnumber home-based work trips. What are the implications of these trends for urban transportation and land use, and how should urban models be modified to account for them? This paper examines the interactions within single and dual-worker households between workplace location, residential mobility, housing tenure, and location choice. We hypothesize that homeownership and the presence of a second worker both add constraints on household choices which should lead to a combination of lower mobility rates and longer commutes.","author":[{"dropping-particle":"","family":"Waddell","given":"Paul","non-dropping-particle":"","parse-names":false,"suffix":""}],"container-title":"Lincoln Land Institute TRED Conference","id":"ITEM-2","issue":"October","issued":{"date-parts":[["1996"]]},"page":"1-19","publisher":"Lincoln Land Institute TRED Conference","title":"Accessibility and residential location: The interaction of workplace, residential mobility, tenure, and location choices","type":"article-journal"},"uris":["http://www.mendeley.com/documents/?uuid=9ae06c75-02eb-47f9-892d-5f86dba2e3fb"]}],"mendeley":{"formattedCitation":"[24], [29]","plainTextFormattedCitation":"[24], [29]","previouslyFormattedCitation":"[24], [29]"},"properties":{"noteIndex":0},"schema":"https://github.com/citation-style-language/schema/raw/master/csl-citation.json"}</w:instrText>
      </w:r>
      <w:r w:rsidRPr="00101D2F">
        <w:rPr>
          <w:bCs/>
        </w:rPr>
        <w:fldChar w:fldCharType="separate"/>
      </w:r>
      <w:r w:rsidR="00F02ABA" w:rsidRPr="00F02ABA">
        <w:rPr>
          <w:bCs/>
          <w:noProof/>
        </w:rPr>
        <w:t>[24], [29]</w:t>
      </w:r>
      <w:r w:rsidRPr="00101D2F">
        <w:rPr>
          <w:bCs/>
        </w:rPr>
        <w:fldChar w:fldCharType="end"/>
      </w:r>
      <w:r w:rsidRPr="00101D2F">
        <w:rPr>
          <w:bCs/>
        </w:rPr>
        <w:t xml:space="preserve">. Research has found that income and housing costs are positively correlated, which suggests that, while the cost of housing in itself negatively affects the utility, households with a higher income are biased towards more high-end housing options </w:t>
      </w:r>
      <w:r w:rsidRPr="00101D2F">
        <w:rPr>
          <w:bCs/>
        </w:rPr>
        <w:fldChar w:fldCharType="begin" w:fldLock="1"/>
      </w:r>
      <w:r w:rsidR="00517676">
        <w:rPr>
          <w:bCs/>
        </w:rPr>
        <w:instrText>ADDIN CSL_CITATION {"citationItems":[{"id":"ITEM-1","itemData":{"DOI":"10.1016/j.jocm.2013.12.004","ISBN":"2075946086","ISSN":"17555345","abstract":"The implementation of a theoretically sound, two-stage discrete-choice modelling paradigm incorporating probabilistic choice sets is impractical when the number of alternatives is large, which is a typical case in most spatial choice contexts. In the context of residential location choice, Kaplan et al. (2009), (2011), (2012) (KBS) developed a semi-compensatory choice model incorporating data of individuals searching for dwellings observed using a customised real estate agency website. This secondary data is used to compute the probability of considering a choice set that takes the form of an ordered probit model. In this paper, we illustrate that the simplicity of the KBS model arises because of an unrealistic assumption that individuals' choice sets only contain alternatives that derive from their observed combination of thresholds. Relaxing this assumption, we introduce a new probabilistic choice set formation model that allows the power set to include all potential choice sets derived from variations in thresholds' combinations. In addition to extending the KBS model, our proposed model asymptotically approaches the classical Manski model, if a suitable structure is used to categorise alternatives. In order to illustrate the biases inherent in the original KBS approach, we compare it with our proposed model and the MNL model using a Monte Carlo experiment. The results of this experiment show that the KBS model causes biases in predicted market share if individuals are free to choose from any potential choice sets derived from combinations of thresholds. © 2014 Elsevier Ltd.","author":[{"dropping-particle":"","family":"Zolfaghari","given":"Alireza","non-dropping-particle":"","parse-names":false,"suffix":""},{"dropping-particle":"","family":"Sivakumar","given":"Aruna","non-dropping-particle":"","parse-names":false,"suffix":""},{"dropping-particle":"","family":"Polak","given":"John","non-dropping-particle":"","parse-names":false,"suffix":""}],"container-title":"Journal of Choice Modelling","id":"ITEM-1","issue":"1","issued":{"date-parts":[["2013"]]},"page":"3-13","publisher":"Elsevier","title":"Simplified probabilistic choice set formation models in a residential location choice context","type":"article-journal","volume":"9"},"uris":["http://www.mendeley.com/documents/?uuid=0ff3384e-b52c-4eec-923f-b3af75654789"]}],"mendeley":{"formattedCitation":"[30]","plainTextFormattedCitation":"[30]","previouslyFormattedCitation":"[30]"},"properties":{"noteIndex":0},"schema":"https://github.com/citation-style-language/schema/raw/master/csl-citation.json"}</w:instrText>
      </w:r>
      <w:r w:rsidRPr="00101D2F">
        <w:rPr>
          <w:bCs/>
        </w:rPr>
        <w:fldChar w:fldCharType="separate"/>
      </w:r>
      <w:r w:rsidR="00F02ABA" w:rsidRPr="00F02ABA">
        <w:rPr>
          <w:bCs/>
          <w:noProof/>
        </w:rPr>
        <w:t>[30]</w:t>
      </w:r>
      <w:r w:rsidRPr="00101D2F">
        <w:rPr>
          <w:bCs/>
        </w:rPr>
        <w:fldChar w:fldCharType="end"/>
      </w:r>
      <w:r w:rsidRPr="00101D2F">
        <w:rPr>
          <w:bCs/>
        </w:rPr>
        <w:t>.</w:t>
      </w:r>
    </w:p>
    <w:p w14:paraId="39D87EA4" w14:textId="5EEF57B9" w:rsidR="00101D2F" w:rsidRPr="00101D2F" w:rsidRDefault="00101D2F" w:rsidP="00101D2F">
      <w:pPr>
        <w:pStyle w:val="Plattetekst"/>
        <w:rPr>
          <w:bCs/>
        </w:rPr>
      </w:pPr>
      <w:r w:rsidRPr="00101D2F">
        <w:rPr>
          <w:bCs/>
        </w:rPr>
        <w:t xml:space="preserve">Within the body of knowledge on travel behavior, a notable proportion is dedicated to mode choice. Like with research on residential choice, studies on modal choice have garnered a collection of recurring factors </w:t>
      </w:r>
      <w:r w:rsidRPr="00101D2F">
        <w:rPr>
          <w:bCs/>
        </w:rPr>
        <w:fldChar w:fldCharType="begin" w:fldLock="1"/>
      </w:r>
      <w:r w:rsidR="00517676">
        <w:rPr>
          <w:bCs/>
        </w:rPr>
        <w:instrText>ADDIN CSL_CITATION {"citationItems":[{"id":"ITEM-1","itemData":{"DOI":"10.1016/j.tra.2013.01.009","ISSN":"09658564","abstract":"Modal choice is determined by a whole range of factors that are interrelated to a larger or smaller extent. It is often the result of a very compound choice process that can take place consciously or unconsciously and that includes objective as well as subjective determinants. Despite its significance in our daily life, there is no uniform way to define and analyze the concept of modal choice. The aim of this review is to fill this gap by elaborating a common modal choice definition and by providing a comprehensive review on the concept of modal choice through linking it to Kaufmann's motility concept. By doing so, this review will not only contribute to an improved knowledge on different modal choice determinants and their interdependencies, but can also assist to the understanding and modeling of modal choice decisions. The review can therefore help increasing the effectiveness of policy measures taken by environmental, urban and transport policy makers. © 2013 Elsevier Ltd.","author":[{"dropping-particle":"","family":"Witte","given":"Astrid","non-dropping-particle":"De","parse-names":false,"suffix":""},{"dropping-particle":"","family":"Hollevoet","given":"Joachim","non-dropping-particle":"","parse-names":false,"suffix":""},{"dropping-particle":"","family":"Dobruszkes","given":"Frédéric","non-dropping-particle":"","parse-names":false,"suffix":""},{"dropping-particle":"","family":"Hubert","given":"Michel","non-dropping-particle":"","parse-names":false,"suffix":""},{"dropping-particle":"","family":"Macharis","given":"Cathy","non-dropping-particle":"","parse-names":false,"suffix":""}],"container-title":"Transportation Research Part A: Policy and Practice","id":"ITEM-1","issued":{"date-parts":[["2013"]]},"page":"329-341","title":"Linking modal choice to motility: A comprehensive review","type":"article-journal","volume":"49"},"uris":["http://www.mendeley.com/documents/?uuid=4f28ec35-795f-4e47-bf23-a80e0eb4a587"]}],"mendeley":{"formattedCitation":"[31]","plainTextFormattedCitation":"[31]","previouslyFormattedCitation":"[31]"},"properties":{"noteIndex":0},"schema":"https://github.com/citation-style-language/schema/raw/master/csl-citation.json"}</w:instrText>
      </w:r>
      <w:r w:rsidRPr="00101D2F">
        <w:rPr>
          <w:bCs/>
        </w:rPr>
        <w:fldChar w:fldCharType="separate"/>
      </w:r>
      <w:r w:rsidR="00F02ABA" w:rsidRPr="00F02ABA">
        <w:rPr>
          <w:bCs/>
          <w:noProof/>
        </w:rPr>
        <w:t>[31]</w:t>
      </w:r>
      <w:r w:rsidRPr="00101D2F">
        <w:rPr>
          <w:bCs/>
        </w:rPr>
        <w:fldChar w:fldCharType="end"/>
      </w:r>
      <w:r w:rsidRPr="00101D2F">
        <w:rPr>
          <w:bCs/>
        </w:rPr>
        <w:t xml:space="preserve">. Research often finds income, age and gender, education level to have a significant effect on mode choice </w:t>
      </w:r>
      <w:r w:rsidRPr="00101D2F">
        <w:rPr>
          <w:bCs/>
        </w:rPr>
        <w:fldChar w:fldCharType="begin" w:fldLock="1"/>
      </w:r>
      <w:r w:rsidR="00517676">
        <w:rPr>
          <w:bCs/>
        </w:rPr>
        <w:instrText>ADDIN CSL_CITATION {"citationItems":[{"id":"ITEM-1","itemData":{"DOI":"10.1016/j.tranpol.2018.12.007","ISSN":"1879310X","abstract":"Developing sustainable transportation systems in a city can be substantially assisted by promoting environmentally friendly transportation modes such as walking, cycling, and public transit rather than private cars. Strategies for promoting these desirable transportation modes can be effectively identified based on a sound understanding of how citizens choose a travel mode. In this study, we sought to enhance this understanding by exploring factors associated with commute mode choice utilizing data from a general social survey in Seoul, South Korea. Based on the data, parametric and non-parametric statistical models based on classification tree and multilevel logistic regression approaches, respectively, were developed as a way to capture influential factors associated with the mode choice decision. The models illustrate that commuters’ socio-demographic characteristics such as income, occupation, gender, and residence duration tend to significantly influence mode choice. In addition, they showed that respondents’ attitudes and behaviors, including the amount of time spent on the internet and self-assessed social status, can be strongly associated with mode choice. This study is also meaningful in that it demonstrates the potential applicability of general social survey data for investigating travel behavior considering various factors that are rarely included in general transportation surveys.","author":[{"dropping-particle":"","family":"Ko","given":"Joonho","non-dropping-particle":"","parse-names":false,"suffix":""},{"dropping-particle":"","family":"Lee","given":"Sugie","non-dropping-particle":"","parse-names":false,"suffix":""},{"dropping-particle":"","family":"Byun","given":"Miree","non-dropping-particle":"","parse-names":false,"suffix":""}],"container-title":"Transport Policy","id":"ITEM-1","issue":"November 2018","issued":{"date-parts":[["2019"]]},"page":"36-46","publisher":"Elsevier Ltd","title":"Exploring factors associated with commute mode choice: An application of city-level general social survey data","type":"article-journal","volume":"75"},"uris":["http://www.mendeley.com/documents/?uuid=959b1b2c-f89f-4727-96df-021c30b9241e"]},{"id":"ITEM-2","itemData":{"DOI":"10.1111/j.1468-2257.2004.00251.x","ISSN":"00174815","abstract":"This paper documents the investigation of the impact of metropolitan structure on the commute behavior of urban residents in the Netherlands. Not only has the impact of monocentrism versus polycentrism been analyzed, but the influence of metropolitan density and size has also been considered, together with the ratio of employment to population and the growth of the population and employment. Furthermore, data are used at a variety of levels of analysis ranging from the individual worker to the metropolitan region rather than being drawn from aggregate level statistics alone. Multilevel regression modeling is applied to take account of the inter-dependencies among these levels of aggregation. With regard to mode choice, the results indicate that the probability of driving an auto to work is lower in employment-rich metropolitan regions, and rises as the number of jobs per resident has grown strongly. Furthermore, women in most polycentric regions are less likely to commute as an auto driver. All else being equal, commute distances and times for auto drivers are longer in most polycentric regions than in monocentric urban areas. In addition, commute time as an auto driver rises with metropolitan size, whereas commute distance depends on employment density and the growth of the number of jobs per resident. The investigation shows that metropolitan structure, although significantly influencing commute patterns, explains only a small part of the variation of individuals' commute behavior. © 2004 Gatton College of Business and Economics, University of Kentucky.","author":[{"dropping-particle":"","family":"Schwanen","given":"Tim","non-dropping-particle":"","parse-names":false,"suffix":""},{"dropping-particle":"","family":"Dieleman","given":"Frans M.","non-dropping-particle":"","parse-names":false,"suffix":""},{"dropping-particle":"","family":"Dijst","given":"Martin","non-dropping-particle":"","parse-names":false,"suffix":""}],"container-title":"Growth and Change","id":"ITEM-2","issue":"3","issued":{"date-parts":[["2004"]]},"page":"304-333","title":"The impact of metropolitan structure on commute behavior in the Netherlands: A multilevel approach","type":"article-journal","volume":"35"},"uris":["http://www.mendeley.com/documents/?uuid=94762a70-e8ce-48b9-90fa-93fbb08c692b"]},{"id":"ITEM-3","itemData":{"DOI":"10.1016/j.trd.2018.10.015","ISSN":"13619209","abstract":"Residential self-selection has been acknowledged as a key issue underlining the link between the built environment and travel behavior. Existing studies often implicitly assume that residential choice is a decision of an individual and the influence of intra-household interactions is not considered. In reality, residential choice is a decision often made at the household-level involving more than one household members. Similarly, car ownership is usually a household-level decision incorporating views of different household members. In both cases, the travel related attitudes of more than one household members may play a role in the decision making. In other words, there is an issue concerning residential self-selection (similarly car ownership self-selection): whose self-selection? This paper makes an attempt to probe into this question by examining the self-selection issues concerning residential location choice and car ownership decision from the perspective of households, by incorporating the travel attitudes and travel behaviors of two household heads into an integrated self-selection framework. Data are derived from a household sample survey involving two-day activity-travel diaries conducted in 2016 in Beijing, China. Multivariate modeling results show that household members play different roles in household decisions with travel implications: in general husbands’ travel attitudes have relatively more influence in residential choice and car ownership decision than wives’. Nevertheless, wives’ travel attitudes have more power than husbands’ in explaining the commuting distances of both husbands and wives. Some distinct features of the residential and car ownership self-selections in the Chinese context are also identified and discussed in this paper.","author":[{"dropping-particle":"","family":"Guan","given":"Xiaodong","non-dropping-particle":"","parse-names":false,"suffix":""},{"dropping-particle":"","family":"Wang","given":"Donggen","non-dropping-particle":"","parse-names":false,"suffix":""}],"container-title":"Transportation Research Part D: Transport and Environment","id":"ITEM-3","issue":"November 2018","issued":{"date-parts":[["2019"]]},"page":"16-32","publisher":"Elsevier","title":"Residential self-selection in the built environment-travel behavior connection: Whose self-selection?","type":"article-journal","volume":"67"},"uris":["http://www.mendeley.com/documents/?uuid=98ace396-889a-4abf-ab91-70e8b337381f"]}],"mendeley":{"formattedCitation":"[26], [32], [33]","plainTextFormattedCitation":"[26], [32], [33]","previouslyFormattedCitation":"[26], [32], [33]"},"properties":{"noteIndex":0},"schema":"https://github.com/citation-style-language/schema/raw/master/csl-citation.json"}</w:instrText>
      </w:r>
      <w:r w:rsidRPr="00101D2F">
        <w:rPr>
          <w:bCs/>
        </w:rPr>
        <w:fldChar w:fldCharType="separate"/>
      </w:r>
      <w:r w:rsidR="00F02ABA" w:rsidRPr="00F02ABA">
        <w:rPr>
          <w:bCs/>
          <w:noProof/>
        </w:rPr>
        <w:t>[26], [32], [33]</w:t>
      </w:r>
      <w:r w:rsidRPr="00101D2F">
        <w:rPr>
          <w:bCs/>
        </w:rPr>
        <w:fldChar w:fldCharType="end"/>
      </w:r>
      <w:r w:rsidRPr="00101D2F">
        <w:rPr>
          <w:bCs/>
        </w:rPr>
        <w:t xml:space="preserve">. In the case of gender, however, evidence shows that differences are becoming decreasingly pronounced </w:t>
      </w:r>
      <w:r w:rsidRPr="00101D2F">
        <w:rPr>
          <w:bCs/>
        </w:rPr>
        <w:fldChar w:fldCharType="begin" w:fldLock="1"/>
      </w:r>
      <w:r w:rsidR="004B1B2E">
        <w:rPr>
          <w:bCs/>
        </w:rPr>
        <w:instrText>ADDIN CSL_CITATION {"citationItems":[{"id":"ITEM-1","itemData":{"DOI":"10.1177/1087724x09335608","ISSN":"1087-724X","abstract":"The average U.S. male historically commutes further and longer than\\nhis female counterpart. Yet pivotal changes at home, as younger women\\nespecially increase their influence on household location and work\\ndecisions, and in the labor market, and as women's participation\\nrates and profiles approach men's, strongly suggest that gender's\\ninfluence on travel might be changing as well. Furthermore, the independent\\nand interactive influence of other demographic factors, not least\\nage and race, remain unclear. This study analyzes national microdata\\ncovering the past 20 years to examine both issues. We find sources\\nof both convergence and divergence in travel behaviors by sex. The\\ngender gap in commute length of older workers is growing, even while\\nthat of younger workers steadily closes. At the same time, racial\\ndifferences in mode choice and commute times are becoming less pronouncedâ€”both\\nby race and by gender. Thus, gendered elements of travel demand are\\nindeed evolving, if not in predictable directions.","author":[{"dropping-particle":"","family":"Crane","given":"Randall","non-dropping-particle":"","parse-names":false,"suffix":""},{"dropping-particle":"","family":"Takahashi","given":"Lois","non-dropping-particle":"","parse-names":false,"suffix":""}],"container-title":"Public Works Management &amp; Policy","id":"ITEM-1","issue":"4","issued":{"date-parts":[["2009"]]},"page":"328-337","title":"Sex changes everything","type":"article-journal","volume":"13"},"uris":["http://www.mendeley.com/documents/?uuid=a0febc54-f7b3-4e98-bfa5-f3a1fa02f8c6"]}],"mendeley":{"formattedCitation":"[34]","plainTextFormattedCitation":"[34]","previouslyFormattedCitation":"[34]"},"properties":{"noteIndex":0},"schema":"https://github.com/citation-style-language/schema/raw/master/csl-citation.json"}</w:instrText>
      </w:r>
      <w:r w:rsidRPr="00101D2F">
        <w:rPr>
          <w:bCs/>
        </w:rPr>
        <w:fldChar w:fldCharType="separate"/>
      </w:r>
      <w:r w:rsidR="00F02ABA" w:rsidRPr="00F02ABA">
        <w:rPr>
          <w:bCs/>
          <w:noProof/>
        </w:rPr>
        <w:t>[34]</w:t>
      </w:r>
      <w:r w:rsidRPr="00101D2F">
        <w:rPr>
          <w:bCs/>
        </w:rPr>
        <w:fldChar w:fldCharType="end"/>
      </w:r>
      <w:r w:rsidRPr="00101D2F">
        <w:rPr>
          <w:bCs/>
        </w:rPr>
        <w:t xml:space="preserve">.  </w:t>
      </w:r>
    </w:p>
    <w:p w14:paraId="417F355E" w14:textId="04E8170A" w:rsidR="00101D2F" w:rsidRPr="00101D2F" w:rsidRDefault="00101D2F" w:rsidP="00101D2F">
      <w:pPr>
        <w:pStyle w:val="Plattetekst"/>
        <w:rPr>
          <w:bCs/>
        </w:rPr>
      </w:pPr>
      <w:r w:rsidRPr="00101D2F">
        <w:rPr>
          <w:bCs/>
        </w:rPr>
        <w:t xml:space="preserve">It is commonly accepted that residential location choice and travel preferences are related and that this relationship is nonrandom </w:t>
      </w:r>
      <w:r w:rsidRPr="00101D2F">
        <w:rPr>
          <w:bCs/>
        </w:rPr>
        <w:fldChar w:fldCharType="begin" w:fldLock="1"/>
      </w:r>
      <w:r w:rsidR="004B1B2E">
        <w:rPr>
          <w:bCs/>
        </w:rPr>
        <w:instrText>ADDIN CSL_CITATION {"citationItems":[{"id":"ITEM-1","itemData":{"DOI":"10.1080/01441640802539195","ISSN":"01441647","abstract":"Numerous studies have found that suburban residents drive more and walk less than residents in traditional neighbourhoods. What is less well understood is the extent to which the observed patterns of travel behaviour can be attributed to the residential built environment (BE) itself, as opposed to attitude-induced residential self-selection. To date, most studies addressing this self-selection issue fall into nine methodological categories: direct questioning, statistical control, instrumental variables, sample selection, propensity score, joint discrete choice models, structural equations models, mutually dependent discrete choice models and longitudinal designs. This paper reviews 38 empirical studies using these approaches. Virtually all of the studies reviewed found a statistically significant influence of the BE remaining after self-selection was accounted for. However, the practical importance of that influence was seldom assessed. Although time and resource limitations are recognized, we recommend usage of longitudinal structural equations modelling with control groups, a design which is strong with respect to all causality requisites.","author":[{"dropping-particle":"","family":"Cao","given":"Xinyu","non-dropping-particle":"","parse-names":false,"suffix":""},{"dropping-particle":"","family":"Mokhtarian","given":"Patricia L.","non-dropping-particle":"","parse-names":false,"suffix":""},{"dropping-particle":"","family":"Handy","given":"Susan L.","non-dropping-particle":"","parse-names":false,"suffix":""}],"container-title":"Transport Reviews","id":"ITEM-1","issue":"3","issued":{"date-parts":[["2009"]]},"page":"359-395","title":"Examining the impacts of residential self-selection on travel behaviour: A focus on empirical findings","type":"article","volume":"29"},"uris":["http://www.mendeley.com/documents/?uuid=92e1a8af-94b6-430c-8b3b-1564b25e4816"]},{"id":"ITEM-2","itemData":{"DOI":"10.1080/01944363.2011.593483","author":[{"dropping-particle":"","family":"Boarnet","given":"Marlon G","non-dropping-particle":"","parse-names":false,"suffix":""}],"id":"ITEM-2","issued":{"date-parts":[["2011"]]},"title":"A broader context for land use and travel behavior , and a research agenda","type":"article-journal","volume":"4363"},"uris":["http://www.mendeley.com/documents/?uuid=129752d1-9471-4feb-874c-a5c241eae0b8"]}],"mendeley":{"formattedCitation":"[14], [15]","plainTextFormattedCitation":"[14], [15]","previouslyFormattedCitation":"[14], [15]"},"properties":{"noteIndex":0},"schema":"https://github.com/citation-style-language/schema/raw/master/csl-citation.json"}</w:instrText>
      </w:r>
      <w:r w:rsidRPr="00101D2F">
        <w:rPr>
          <w:bCs/>
        </w:rPr>
        <w:fldChar w:fldCharType="separate"/>
      </w:r>
      <w:r w:rsidR="00F02ABA" w:rsidRPr="00F02ABA">
        <w:rPr>
          <w:bCs/>
          <w:noProof/>
        </w:rPr>
        <w:t>[14], [15]</w:t>
      </w:r>
      <w:r w:rsidRPr="00101D2F">
        <w:rPr>
          <w:bCs/>
        </w:rPr>
        <w:fldChar w:fldCharType="end"/>
      </w:r>
      <w:r w:rsidRPr="00101D2F">
        <w:rPr>
          <w:bCs/>
        </w:rPr>
        <w:t xml:space="preserve">. Households actively consider the availability and facilitation of transportation modes in the selection of their residential location and seek to match their choice with the travel preferences of the individual household </w:t>
      </w:r>
      <w:r w:rsidRPr="00101D2F">
        <w:rPr>
          <w:bCs/>
        </w:rPr>
        <w:lastRenderedPageBreak/>
        <w:t xml:space="preserve">members. This phenomenon is known as residential self-selection (RSS). Because of its nonrandom nature, RSS is a source of bias in the effects of the built environment on travel behavior, which is why transportation research often needs to consider the impact of RSS on these effects. Studies capture RSS effects through direct questioning, statistical control, propensity score models and simultaneous models, such as joint discrete choices and structural equation models </w:t>
      </w:r>
      <w:r w:rsidRPr="00101D2F">
        <w:rPr>
          <w:bCs/>
        </w:rPr>
        <w:fldChar w:fldCharType="begin" w:fldLock="1"/>
      </w:r>
      <w:r w:rsidR="00517676">
        <w:rPr>
          <w:bCs/>
        </w:rPr>
        <w:instrText>ADDIN CSL_CITATION {"citationItems":[{"id":"ITEM-1","itemData":{"DOI":"10.1080/01441640802539195","ISSN":"01441647","abstract":"Numerous studies have found that suburban residents drive more and walk less than residents in traditional neighbourhoods. What is less well understood is the extent to which the observed patterns of travel behaviour can be attributed to the residential built environment (BE) itself, as opposed to attitude-induced residential self-selection. To date, most studies addressing this self-selection issue fall into nine methodological categories: direct questioning, statistical control, instrumental variables, sample selection, propensity score, joint discrete choice models, structural equations models, mutually dependent discrete choice models and longitudinal designs. This paper reviews 38 empirical studies using these approaches. Virtually all of the studies reviewed found a statistically significant influence of the BE remaining after self-selection was accounted for. However, the practical importance of that influence was seldom assessed. Although time and resource limitations are recognized, we recommend usage of longitudinal structural equations modelling with control groups, a design which is strong with respect to all causality requisites.","author":[{"dropping-particle":"","family":"Cao","given":"Xinyu","non-dropping-particle":"","parse-names":false,"suffix":""},{"dropping-particle":"","family":"Mokhtarian","given":"Patricia L.","non-dropping-particle":"","parse-names":false,"suffix":""},{"dropping-particle":"","family":"Handy","given":"Susan L.","non-dropping-particle":"","parse-names":false,"suffix":""}],"container-title":"Transport Reviews","id":"ITEM-1","issue":"3","issued":{"date-parts":[["2009"]]},"page":"359-395","title":"Examining the impacts of residential self-selection on travel behaviour: A focus on empirical findings","type":"article","volume":"29"},"uris":["http://www.mendeley.com/documents/?uuid=92e1a8af-94b6-430c-8b3b-1564b25e4816"]}],"mendeley":{"formattedCitation":"[15]","plainTextFormattedCitation":"[15]","previouslyFormattedCitation":"[15]"},"properties":{"noteIndex":0},"schema":"https://github.com/citation-style-language/schema/raw/master/csl-citation.json"}</w:instrText>
      </w:r>
      <w:r w:rsidRPr="00101D2F">
        <w:rPr>
          <w:bCs/>
        </w:rPr>
        <w:fldChar w:fldCharType="separate"/>
      </w:r>
      <w:r w:rsidR="00F02ABA" w:rsidRPr="00F02ABA">
        <w:rPr>
          <w:bCs/>
          <w:noProof/>
        </w:rPr>
        <w:t>[15]</w:t>
      </w:r>
      <w:r w:rsidRPr="00101D2F">
        <w:rPr>
          <w:bCs/>
        </w:rPr>
        <w:fldChar w:fldCharType="end"/>
      </w:r>
      <w:r w:rsidRPr="00101D2F">
        <w:rPr>
          <w:bCs/>
        </w:rPr>
        <w:t xml:space="preserve">. They generally find that travel attitudes only have a weak effect on residential location choice. Other factors not related to travel play a stronger role in the residential choice </w:t>
      </w:r>
      <w:r w:rsidRPr="00101D2F">
        <w:rPr>
          <w:bCs/>
        </w:rPr>
        <w:fldChar w:fldCharType="begin" w:fldLock="1"/>
      </w:r>
      <w:r w:rsidR="00517676">
        <w:rPr>
          <w:bCs/>
        </w:rPr>
        <w:instrText>ADDIN CSL_CITATION {"citationItems":[{"id":"ITEM-1","itemData":{"DOI":"10.1068/b3039","ISSN":"02658135","abstract":"Although households' general preference for low-density residential environments is well documented in the literature, little research in geography and urban planning has explicitly investigated how many and which households experience a state of mismatch in terms of land-use patterns between their preferred residential neighborhood type and the type of neighborhood where they currently reside. Using data from 1358 commuters living in three communities in the San Francisco Bay Area, in this study we find that nearly a quarter of the residents live in a neighborhood type that does not match their land-use related preferences. The results of an investigation of the determinants of such dissonance are consistent with existing knowledge about residential preferences. It is shown that single suburban dwellers and large households and families in the city are more likely to be mismatched, or experience higher levels of mismatch in terms of neighborhood type. Further, the extent of mismatch is clearly related to automobile orientation, as well as to lifestyles and personality traits. The results suggest that policies aiming to attract a diverse market to neotraditional, high-density neighborhoods may not be as effective as decisionmakers and planners hope. If a broad range of households is artificially attracted to such new developments (for example, through providing financial advantages or other policy incentives), this might on average result in lower levels of residential satisfaction, higher residential mobility, lower sense of community, and enduring auto dependency. On the other hand, it is encouraging to see that there is also a substantial proportion of suburban dwellers preferring high-density environments. Relaxation of land-use laws in existing suburban communities might be successful in reducing residential neighborhood type dissonance for these types of suburban dwellers, but perhaps at the cost of increasing dissonance for the suburbanites preferring lower densities. It would be valuable to investigate whether there is a mix of densities and uses that would optimally satisfy both types of preferences.","author":[{"dropping-particle":"","family":"Schwanen","given":"Tim","non-dropping-particle":"","parse-names":false,"suffix":""},{"dropping-particle":"","family":"Mokhtarian","given":"Patricia L.","non-dropping-particle":"","parse-names":false,"suffix":""}],"container-title":"Environment and Planning B: Planning and Design","id":"ITEM-1","issue":"5","issued":{"date-parts":[["2004"]]},"page":"759-784","title":"The extent and determinants of dissonance between actual and preferred residential neighborhood type","type":"article-journal","volume":"31"},"uris":["http://www.mendeley.com/documents/?uuid=356a9c25-2920-4dc3-a5fe-c687b8ebf081"]},{"id":"ITEM-2","itemData":{"DOI":"10.1016/j.jtrangeo.2011.11.005","ISSN":"09666923","abstract":"Recent empirical studies have shown that attitudes and lifestyles are important determinants of travel behavior and modal choice. Less obvious and documented is that these 'soft variables' also influence other, non-travel related aspects such as residential choice. The result is that preferred residential neighborhoods not always match with the actual residential neighborhood. This residential dissonance (or mismatch) also has its influence on travel behavior since the preferred travel modes of dissonant residents may not be ideally available in their actual neighborhood. The main aim of this paper is to investigate the effect of residential dissonance on travel mode choice in Flanders, Belgium. Residential dissonance clearly affects the ability of people in realizing their preferred travel behavior, albeit in different ways for urban and rural residents. © 2011 Elsevier Ltd.","author":[{"dropping-particle":"","family":"Vos","given":"Jonas","non-dropping-particle":"De","parse-names":false,"suffix":""},{"dropping-particle":"","family":"Derudder","given":"Ben","non-dropping-particle":"","parse-names":false,"suffix":""},{"dropping-particle":"","family":"Acker","given":"Veronique","non-dropping-particle":"Van","parse-names":false,"suffix":""},{"dropping-particle":"","family":"Witlox","given":"Frank","non-dropping-particle":"","parse-names":false,"suffix":""}],"container-title":"Journal of Transport Geography","id":"ITEM-2","issued":{"date-parts":[["2012"]]},"page":"1-9","publisher":"Elsevier Ltd","title":"Reducing car use: Changing attitudes or relocating? The influence of residential dissonance on travel behavior","type":"article-journal","volume":"22"},"uris":["http://www.mendeley.com/documents/?uuid=e589a434-1992-4e92-b18b-b79701345cec"]},{"id":"ITEM-3","itemData":{"DOI":"10.1016/j.jtrangeo.2017.01.009","ISSN":"09666923","abstract":"In studies of the effect of built environment on travel behaviour, residential self-selection is an increasingly important issue. Self-selection implies that households locate in places that provide them with conducive conditions for their preferred way of travelling. In these studies, it is assumed that attitudes toward different travel modes are an important factor in location choice, and that households are unconstrained in choosing their preferred residential location. This paper challenges these assumptions, by distinguishing between the more passive travel attitude and travel considerations as a deliberate reason to locate in a certain place. Based on a survey among 355 recently relocated households in Dutch TOD locations, we find that the association between travel attitude and residential environment is weak, and that the association between travel attitude and travel as a factor in location choice is moderate at best. Multivariate models show that both travel attitude and travel being a reason for location choice influence travel mode use, suggesting that travel attitude is insufficient to fully reflect self-selection processes. In comparison to other travel modes, train travel is most influenced by the fact whether residents deliberately chose to live in an environment conducive to using this mode.","author":[{"dropping-particle":"","family":"Ettema","given":"Dick","non-dropping-particle":"","parse-names":false,"suffix":""},{"dropping-particle":"","family":"Nieuwenhuis","given":"Roy","non-dropping-particle":"","parse-names":false,"suffix":""}],"container-title":"Journal of Transport Geography","id":"ITEM-3","issued":{"date-parts":[["2017"]]},"page":"146-155","publisher":"Elsevier Ltd","title":"Residential self-selection and travel behaviour: What are the effects of attitudes, reasons for location choice and the built environment?","type":"article-journal","volume":"59"},"uris":["http://www.mendeley.com/documents/?uuid=f836d66b-ae5d-43f6-9f7e-d69f9e755aa5"]},{"id":"ITEM-4","itemData":{"DOI":"10.1080/01441640802539195","ISSN":"01441647","abstract":"Numerous studies have found that suburban residents drive more and walk less than residents in traditional neighbourhoods. What is less well understood is the extent to which the observed patterns of travel behaviour can be attributed to the residential built environment (BE) itself, as opposed to attitude-induced residential self-selection. To date, most studies addressing this self-selection issue fall into nine methodological categories: direct questioning, statistical control, instrumental variables, sample selection, propensity score, joint discrete choice models, structural equations models, mutually dependent discrete choice models and longitudinal designs. This paper reviews 38 empirical studies using these approaches. Virtually all of the studies reviewed found a statistically significant influence of the BE remaining after self-selection was accounted for. However, the practical importance of that influence was seldom assessed. Although time and resource limitations are recognized, we recommend usage of longitudinal structural equations modelling with control groups, a design which is strong with respect to all causality requisites.","author":[{"dropping-particle":"","family":"Cao","given":"Xinyu","non-dropping-particle":"","parse-names":false,"suffix":""},{"dropping-particle":"","family":"Mokhtarian","given":"Patricia L.","non-dropping-particle":"","parse-names":false,"suffix":""},{"dropping-particle":"","family":"Handy","given":"Susan L.","non-dropping-particle":"","parse-names":false,"suffix":""}],"container-title":"Transport Reviews","id":"ITEM-4","issue":"3","issued":{"date-parts":[["2009"]]},"page":"359-395","title":"Examining the impacts of residential self-selection on travel behaviour: A focus on empirical findings","type":"article","volume":"29"},"uris":["http://www.mendeley.com/documents/?uuid=92e1a8af-94b6-430c-8b3b-1564b25e4816"]}],"mendeley":{"formattedCitation":"[15], [35]–[37]","plainTextFormattedCitation":"[15], [35]–[37]","previouslyFormattedCitation":"[15], [35]–[37]"},"properties":{"noteIndex":0},"schema":"https://github.com/citation-style-language/schema/raw/master/csl-citation.json"}</w:instrText>
      </w:r>
      <w:r w:rsidRPr="00101D2F">
        <w:rPr>
          <w:bCs/>
        </w:rPr>
        <w:fldChar w:fldCharType="separate"/>
      </w:r>
      <w:r w:rsidR="00F02ABA" w:rsidRPr="00F02ABA">
        <w:rPr>
          <w:bCs/>
          <w:noProof/>
          <w:lang w:val="en-US"/>
        </w:rPr>
        <w:t>[15], [35]–[37]</w:t>
      </w:r>
      <w:r w:rsidRPr="00101D2F">
        <w:rPr>
          <w:bCs/>
        </w:rPr>
        <w:fldChar w:fldCharType="end"/>
      </w:r>
      <w:r w:rsidRPr="00F02ABA">
        <w:rPr>
          <w:bCs/>
          <w:lang w:val="en-US"/>
        </w:rPr>
        <w:t xml:space="preserve">. </w:t>
      </w:r>
      <w:r w:rsidRPr="00101D2F">
        <w:rPr>
          <w:bCs/>
        </w:rPr>
        <w:t xml:space="preserve">Although the effects of RSS are generally well-understood, self-selection is still subject to ongoing research because questions remain on the magnitude of the causal mechanisms, regional differences and self-selection effects among immigrants </w:t>
      </w:r>
      <w:r w:rsidRPr="00101D2F">
        <w:rPr>
          <w:bCs/>
        </w:rPr>
        <w:fldChar w:fldCharType="begin" w:fldLock="1"/>
      </w:r>
      <w:r w:rsidR="00517676">
        <w:rPr>
          <w:bCs/>
        </w:rPr>
        <w:instrText>ADDIN CSL_CITATION {"citationItems":[{"id":"ITEM-1","itemData":{"DOI":"https://doi.org/10.5198/jtlu.v7i3.713","ISSN":"19387849","author":[{"dropping-particle":"","family":"Wee","given":"Bert","non-dropping-particle":"van","parse-names":false,"suffix":""},{"dropping-particle":"","family":"Boarnet","given":"Marlon","non-dropping-particle":"","parse-names":false,"suffix":""}],"container-title":"Journal of Transport and Land Use","id":"ITEM-1","issue":"3","issued":{"date-parts":[["2014"]]},"page":"81-86","title":"Reaction to the paper Tempest in a Teapot: The exaggerated problem of transport-related residential self-selection as a source of error in empirical studies","type":"article-journal","volume":"7"},"uris":["http://www.mendeley.com/documents/?uuid=b0eaaa76-cbee-4a48-80bf-d606a38198ef"]}],"mendeley":{"formattedCitation":"[38]","plainTextFormattedCitation":"[38]","previouslyFormattedCitation":"[38]"},"properties":{"noteIndex":0},"schema":"https://github.com/citation-style-language/schema/raw/master/csl-citation.json"}</w:instrText>
      </w:r>
      <w:r w:rsidRPr="00101D2F">
        <w:rPr>
          <w:bCs/>
        </w:rPr>
        <w:fldChar w:fldCharType="separate"/>
      </w:r>
      <w:r w:rsidR="00F02ABA" w:rsidRPr="00F02ABA">
        <w:rPr>
          <w:bCs/>
          <w:noProof/>
        </w:rPr>
        <w:t>[38]</w:t>
      </w:r>
      <w:r w:rsidRPr="00101D2F">
        <w:rPr>
          <w:bCs/>
        </w:rPr>
        <w:fldChar w:fldCharType="end"/>
      </w:r>
      <w:r w:rsidRPr="00101D2F">
        <w:rPr>
          <w:bCs/>
        </w:rPr>
        <w:t xml:space="preserve">. </w:t>
      </w:r>
      <w:r w:rsidRPr="00101D2F">
        <w:rPr>
          <w:bCs/>
        </w:rPr>
        <w:fldChar w:fldCharType="begin" w:fldLock="1"/>
      </w:r>
      <w:r w:rsidR="001C7897">
        <w:rPr>
          <w:bCs/>
        </w:rPr>
        <w:instrText>ADDIN CSL_CITATION {"citationItems":[{"id":"ITEM-1","itemData":{"DOI":"10.1080/01441640902752961","ISSN":"01441647","abstract":"In the last decade the importance of attitude-related residential self-selection has frequently been recognized. In addition people can theoretically self-select them with respect to other location choices, such as job locations, with respect to travel behaviour, or with respect to the exposure to transport externalities such as noise and congestion. In this paper, we argue that insights into self-selection processes might significantly improve our knowledge on location choices, travel behaviour and transport externalities. We elaborate on options for self-selection and briefly formulate methodologies for research into self-selection.","author":[{"dropping-particle":"","family":"Wee","given":"Bert","non-dropping-particle":"van","parse-names":false,"suffix":""}],"container-title":"Transport Reviews","id":"ITEM-1","issue":"3","issued":{"date-parts":[["2009"]]},"page":"279-292","title":"Self-selection: A key to a better understanding of location choices, travel behaviour and transport externalities?","type":"article-journal","volume":"29"},"uris":["http://www.mendeley.com/documents/?uuid=7852816a-e084-438f-9eb6-42c798427dae"]}],"mendeley":{"formattedCitation":"[39]","manualFormatting":"Van Wee","plainTextFormattedCitation":"[39]","previouslyFormattedCitation":"[39]"},"properties":{"noteIndex":0},"schema":"https://github.com/citation-style-language/schema/raw/master/csl-citation.json"}</w:instrText>
      </w:r>
      <w:r w:rsidRPr="00101D2F">
        <w:rPr>
          <w:bCs/>
        </w:rPr>
        <w:fldChar w:fldCharType="separate"/>
      </w:r>
      <w:r w:rsidRPr="00101D2F">
        <w:rPr>
          <w:bCs/>
          <w:noProof/>
        </w:rPr>
        <w:t>Van Wee</w:t>
      </w:r>
      <w:r w:rsidRPr="00101D2F">
        <w:rPr>
          <w:bCs/>
        </w:rPr>
        <w:fldChar w:fldCharType="end"/>
      </w:r>
      <w:r w:rsidR="001C7897" w:rsidRPr="001C7897">
        <w:rPr>
          <w:bCs/>
          <w:lang w:val="nl-NL"/>
        </w:rPr>
        <w:t xml:space="preserve"> </w:t>
      </w:r>
      <w:r w:rsidR="001C7897">
        <w:rPr>
          <w:bCs/>
          <w:lang w:val="en-US"/>
        </w:rPr>
        <w:fldChar w:fldCharType="begin" w:fldLock="1"/>
      </w:r>
      <w:r w:rsidR="001C7897" w:rsidRPr="001C7897">
        <w:rPr>
          <w:bCs/>
          <w:lang w:val="nl-NL"/>
        </w:rPr>
        <w:instrText>ADDIN CSL_CITATION {"citationItems":[{"id":"ITEM-1","itemData":{"DOI":"10.1080/01441640902752961","ISSN":"01441647","abstract":"In the last decade the importance of attitude-related residential self-selection has frequently been recognized. In addition people can theoretically self-select them with respect to other location choices, such as job locations, with respect to travel behaviour, or with respect to the exposure to transport externalities such as noise and congestion. In this paper, we argue that insights into self-selection processes might significantly improve our knowledge on location choices, travel behaviour and transport externalities. We elaborate on options for self-selection and briefly formulate methodologies for research into self-selection.","author":[{"dropping-particle":"","family":"Wee","given":"Bert","non-dropping-particle":"van","parse-names":false,"suffix":""}],"container-title":"Transport Reviews","id":"ITEM-1","issue":"3","issued":{"date-parts":[["2009"]]},"page":"279-292","title":"Self-selection: A key to a better understanding of location choices, travel behaviour and transport externalities?","type":"article-journal","volume":"29"},"uris":["http://www.mendeley.com/documents/?uuid=7852816a-e084-438f-9eb6-42c798427dae"]}],"mendeley":{"formattedCitation":"[39]","plainTextFormattedCitation":"[39]","previouslyFormattedCitation":"[39]"},"properties":{"noteIndex":0},"schema":"https://github.com/citation-style-language/schema/raw/master/csl-citation.json"}</w:instrText>
      </w:r>
      <w:r w:rsidR="001C7897">
        <w:rPr>
          <w:bCs/>
          <w:lang w:val="en-US"/>
        </w:rPr>
        <w:fldChar w:fldCharType="separate"/>
      </w:r>
      <w:r w:rsidR="001C7897" w:rsidRPr="001C7897">
        <w:rPr>
          <w:bCs/>
          <w:noProof/>
          <w:lang w:val="nl-NL"/>
        </w:rPr>
        <w:t>[39]</w:t>
      </w:r>
      <w:r w:rsidR="001C7897">
        <w:rPr>
          <w:bCs/>
          <w:lang w:val="en-US"/>
        </w:rPr>
        <w:fldChar w:fldCharType="end"/>
      </w:r>
      <w:r w:rsidRPr="00101D2F">
        <w:rPr>
          <w:bCs/>
        </w:rPr>
        <w:t xml:space="preserve"> argues that consideration of self-selection should not be considered to the residential dimension only, but that also the work location and locations of other activities are important. </w:t>
      </w:r>
    </w:p>
    <w:p w14:paraId="482F1E2E" w14:textId="7A469878" w:rsidR="00101D2F" w:rsidRDefault="00101D2F" w:rsidP="00101D2F">
      <w:pPr>
        <w:pStyle w:val="Plattetekst"/>
        <w:rPr>
          <w:bCs/>
        </w:rPr>
      </w:pPr>
      <w:r w:rsidRPr="00101D2F">
        <w:rPr>
          <w:bCs/>
        </w:rPr>
        <w:t xml:space="preserve">A number of studies address the effects of RSS by simultaneously estimating residential choice and mode choice. </w:t>
      </w:r>
      <w:r w:rsidRPr="00101D2F">
        <w:rPr>
          <w:bCs/>
        </w:rPr>
        <w:fldChar w:fldCharType="begin" w:fldLock="1"/>
      </w:r>
      <w:r w:rsidR="001C7897">
        <w:rPr>
          <w:bCs/>
        </w:rPr>
        <w:instrText>ADDIN CSL_CITATION {"citationItems":[{"id":"ITEM-1","itemData":{"DOI":"10.1007/s11116-018-9927-y","ISBN":"0123456789","ISSN":"1572-9435","author":[{"dropping-particle":"","family":"Guo","given":"Jia","non-dropping-particle":"","parse-names":false,"suffix":""},{"dropping-particle":"","family":"Feng","given":"Tao","non-dropping-particle":"","parse-names":false,"suffix":""},{"dropping-particle":"","family":"Timmermans","given":"Harry J P","non-dropping-particle":"","parse-names":false,"suffix":""}],"container-title":"Transportation","id":"ITEM-1","issue":"0123456789","issued":{"date-parts":[["2018"]]},"publisher":"Springer US","title":"Modeling co ‑ dependent choice of workplace , residence and commuting mode using an error component mixed logit model","type":"article-journal"},"uris":["http://www.mendeley.com/documents/?uuid=974a02f3-f641-4ade-8bca-a1b0606b0eee"]}],"mendeley":{"formattedCitation":"[40]","manualFormatting":"Guo, Feng, and Timmermans ","plainTextFormattedCitation":"[40]","previouslyFormattedCitation":"[40]"},"properties":{"noteIndex":0},"schema":"https://github.com/citation-style-language/schema/raw/master/csl-citation.json"}</w:instrText>
      </w:r>
      <w:r w:rsidRPr="00101D2F">
        <w:rPr>
          <w:bCs/>
        </w:rPr>
        <w:fldChar w:fldCharType="separate"/>
      </w:r>
      <w:r w:rsidRPr="00101D2F">
        <w:rPr>
          <w:bCs/>
          <w:noProof/>
        </w:rPr>
        <w:t xml:space="preserve">Guo, Feng, and Timmermans </w:t>
      </w:r>
      <w:r w:rsidRPr="00101D2F">
        <w:rPr>
          <w:bCs/>
        </w:rPr>
        <w:fldChar w:fldCharType="end"/>
      </w:r>
      <w:r w:rsidR="001C7897">
        <w:rPr>
          <w:bCs/>
        </w:rPr>
        <w:fldChar w:fldCharType="begin" w:fldLock="1"/>
      </w:r>
      <w:r w:rsidR="001C7897">
        <w:rPr>
          <w:bCs/>
        </w:rPr>
        <w:instrText>ADDIN CSL_CITATION {"citationItems":[{"id":"ITEM-1","itemData":{"DOI":"10.1007/s11116-018-9927-y","ISBN":"0123456789","ISSN":"1572-9435","author":[{"dropping-particle":"","family":"Guo","given":"Jia","non-dropping-particle":"","parse-names":false,"suffix":""},{"dropping-particle":"","family":"Feng","given":"Tao","non-dropping-particle":"","parse-names":false,"suffix":""},{"dropping-particle":"","family":"Timmermans","given":"Harry J P","non-dropping-particle":"","parse-names":false,"suffix":""}],"container-title":"Transportation","id":"ITEM-1","issue":"0123456789","issued":{"date-parts":[["2018"]]},"publisher":"Springer US","title":"Modeling co ‑ dependent choice of workplace , residence and commuting mode using an error component mixed logit model","type":"article-journal"},"uris":["http://www.mendeley.com/documents/?uuid=974a02f3-f641-4ade-8bca-a1b0606b0eee"]}],"mendeley":{"formattedCitation":"[40]","plainTextFormattedCitation":"[40]","previouslyFormattedCitation":"[40]"},"properties":{"noteIndex":0},"schema":"https://github.com/citation-style-language/schema/raw/master/csl-citation.json"}</w:instrText>
      </w:r>
      <w:r w:rsidR="001C7897">
        <w:rPr>
          <w:bCs/>
        </w:rPr>
        <w:fldChar w:fldCharType="separate"/>
      </w:r>
      <w:r w:rsidR="001C7897" w:rsidRPr="001C7897">
        <w:rPr>
          <w:bCs/>
          <w:noProof/>
        </w:rPr>
        <w:t>[40]</w:t>
      </w:r>
      <w:r w:rsidR="001C7897">
        <w:rPr>
          <w:bCs/>
        </w:rPr>
        <w:fldChar w:fldCharType="end"/>
      </w:r>
      <w:r w:rsidRPr="00101D2F">
        <w:rPr>
          <w:bCs/>
        </w:rPr>
        <w:t xml:space="preserve"> apply an error component mixed logit model for the simultaneous estimation of the residential location, the work location, and the commuting mode and find significant interdependencies between the three different life domains. </w:t>
      </w:r>
      <w:r w:rsidRPr="00101D2F">
        <w:rPr>
          <w:bCs/>
        </w:rPr>
        <w:fldChar w:fldCharType="begin" w:fldLock="1"/>
      </w:r>
      <w:r w:rsidR="001C7897">
        <w:rPr>
          <w:bCs/>
        </w:rPr>
        <w:instrText>ADDIN CSL_CITATION {"citationItems":[{"id":"ITEM-1","itemData":{"DOI":"10.1016/j.tra.2019.06.016","ISSN":"0965-8564","author":[{"dropping-particle":"","family":"Ardeshiri","given":"Ali","non-dropping-particle":"","parse-names":false,"suffix":""},{"dropping-particle":"","family":"Vij","given":"Akshay","non-dropping-particle":"","parse-names":false,"suffix":""}],"container-title":"Transportation Research Part A","id":"ITEM-1","issue":"September 2018","issued":{"date-parts":[["2019"]]},"page":"342-359","publisher":"Elsevier","title":"Lifestyles , residential location , and transport mode use : A hierarchical latent class choice model","type":"article-journal","volume":"126"},"uris":["http://www.mendeley.com/documents/?uuid=ba8bcc35-83ac-482b-b581-d37c67fbf763"]}],"mendeley":{"formattedCitation":"[41]","manualFormatting":"Ardeshiri &amp; Vij ","plainTextFormattedCitation":"[41]","previouslyFormattedCitation":"[41]"},"properties":{"noteIndex":0},"schema":"https://github.com/citation-style-language/schema/raw/master/csl-citation.json"}</w:instrText>
      </w:r>
      <w:r w:rsidRPr="00101D2F">
        <w:rPr>
          <w:bCs/>
        </w:rPr>
        <w:fldChar w:fldCharType="separate"/>
      </w:r>
      <w:r w:rsidRPr="00101D2F">
        <w:rPr>
          <w:bCs/>
          <w:noProof/>
        </w:rPr>
        <w:t xml:space="preserve">Ardeshiri &amp; Vij </w:t>
      </w:r>
      <w:r w:rsidRPr="00101D2F">
        <w:rPr>
          <w:bCs/>
        </w:rPr>
        <w:fldChar w:fldCharType="end"/>
      </w:r>
      <w:r w:rsidR="001C7897">
        <w:rPr>
          <w:bCs/>
        </w:rPr>
        <w:fldChar w:fldCharType="begin" w:fldLock="1"/>
      </w:r>
      <w:r w:rsidR="001C7897">
        <w:rPr>
          <w:bCs/>
        </w:rPr>
        <w:instrText>ADDIN CSL_CITATION {"citationItems":[{"id":"ITEM-1","itemData":{"DOI":"10.1016/j.tra.2019.06.016","ISSN":"0965-8564","author":[{"dropping-particle":"","family":"Ardeshiri","given":"Ali","non-dropping-particle":"","parse-names":false,"suffix":""},{"dropping-particle":"","family":"Vij","given":"Akshay","non-dropping-particle":"","parse-names":false,"suffix":""}],"container-title":"Transportation Research Part A","id":"ITEM-1","issue":"September 2018","issued":{"date-parts":[["2019"]]},"page":"342-359","publisher":"Elsevier","title":"Lifestyles , residential location , and transport mode use : A hierarchical latent class choice model","type":"article-journal","volume":"126"},"uris":["http://www.mendeley.com/documents/?uuid=ba8bcc35-83ac-482b-b581-d37c67fbf763"]}],"mendeley":{"formattedCitation":"[41]","plainTextFormattedCitation":"[41]","previouslyFormattedCitation":"[41]"},"properties":{"noteIndex":0},"schema":"https://github.com/citation-style-language/schema/raw/master/csl-citation.json"}</w:instrText>
      </w:r>
      <w:r w:rsidR="001C7897">
        <w:rPr>
          <w:bCs/>
        </w:rPr>
        <w:fldChar w:fldCharType="separate"/>
      </w:r>
      <w:r w:rsidR="001C7897" w:rsidRPr="001C7897">
        <w:rPr>
          <w:bCs/>
          <w:noProof/>
        </w:rPr>
        <w:t>[41]</w:t>
      </w:r>
      <w:r w:rsidR="001C7897">
        <w:rPr>
          <w:bCs/>
        </w:rPr>
        <w:fldChar w:fldCharType="end"/>
      </w:r>
      <w:r w:rsidRPr="00101D2F">
        <w:rPr>
          <w:bCs/>
        </w:rPr>
        <w:t xml:space="preserve"> adopt a hierarchical latent class model to simultaneously capture the influence of household and modality lifestyles on household-level residential choice and individual level modal choice in California. They define separate latent classes for the household’s utility of a residential location and for the individual’s utility of a transportation mode and then relate these through correlation. They find strong evidence for a relation of suburban residential choice and a car-oriented lifestyle. They also note that for high level income migrant households and median level income white households are likely to be either car-oriented or to have a strong preference for the bicycle.</w:t>
      </w:r>
    </w:p>
    <w:p w14:paraId="52A5AC0B" w14:textId="4D92364C" w:rsidR="004E33F6" w:rsidRPr="00101D2F" w:rsidRDefault="004E33F6" w:rsidP="004E33F6">
      <w:pPr>
        <w:pStyle w:val="Kop2"/>
        <w:rPr>
          <w:lang w:val="nl-NL"/>
        </w:rPr>
      </w:pPr>
      <w:r w:rsidRPr="00D42BF4">
        <w:t>Study context</w:t>
      </w:r>
    </w:p>
    <w:bookmarkEnd w:id="0"/>
    <w:p w14:paraId="38C5F9F6" w14:textId="67455D74" w:rsidR="004E33F6" w:rsidRPr="004E33F6" w:rsidRDefault="00842673" w:rsidP="004E33F6">
      <w:pPr>
        <w:pStyle w:val="Plattetekst"/>
        <w:rPr>
          <w:bCs/>
        </w:rPr>
      </w:pPr>
      <w:r w:rsidRPr="00C43782">
        <w:rPr>
          <w:bCs/>
          <w:noProof/>
          <w:lang w:val="en-GB" w:eastAsia="en-GB"/>
        </w:rPr>
        <w:drawing>
          <wp:anchor distT="45720" distB="45720" distL="114300" distR="114300" simplePos="0" relativeHeight="251723264" behindDoc="0" locked="0" layoutInCell="1" allowOverlap="1" wp14:anchorId="1DD11CFA" wp14:editId="158D93DC">
            <wp:simplePos x="0" y="0"/>
            <wp:positionH relativeFrom="margin">
              <wp:align>right</wp:align>
            </wp:positionH>
            <wp:positionV relativeFrom="paragraph">
              <wp:posOffset>1861820</wp:posOffset>
            </wp:positionV>
            <wp:extent cx="6391275" cy="2019300"/>
            <wp:effectExtent l="0" t="0" r="9525" b="0"/>
            <wp:wrapSquare wrapText="bothSides"/>
            <wp:docPr id="6" name="Tekstvak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391275" cy="2019300"/>
                    </a:xfrm>
                    <a:prstGeom prst="rect">
                      <a:avLst/>
                    </a:prstGeom>
                    <a:solidFill>
                      <a:srgbClr val="FFFFFF"/>
                    </a:solidFill>
                    <a:ln w="9525">
                      <a:noFill/>
                      <a:miter lim="800%"/>
                      <a:headEnd/>
                      <a:tailEnd/>
                    </a:ln>
                  </wp:spPr>
                  <wp:txbx>
                    <wne:txbxContent>
                      <w:tbl>
                        <w:tblPr>
                          <w:tblW w:w="99.0%" w:type="pct"/>
                          <w:tblLook w:firstRow="1" w:lastRow="0" w:firstColumn="1" w:lastColumn="0" w:noHBand="0" w:noVBand="1"/>
                        </w:tblPr>
                        <w:tblGrid>
                          <w:gridCol w:w="5114"/>
                          <w:gridCol w:w="483"/>
                          <w:gridCol w:w="676"/>
                          <w:gridCol w:w="1544"/>
                          <w:gridCol w:w="1834"/>
                        </w:tblGrid>
                        <w:tr w:rsidR="00A92FC2" w:rsidRPr="00AE5C52" w14:paraId="726CE202" w14:textId="77777777" w:rsidTr="00CF6CBA">
                          <w:trPr>
                            <w:trHeight w:val="288"/>
                          </w:trPr>
                          <w:tc>
                            <w:tcPr>
                              <w:tcW w:w="100.0%" w:type="pct"/>
                              <w:gridSpan w:val="5"/>
                              <w:tcBorders>
                                <w:top w:val="double" w:sz="4" w:space="0" w:color="auto"/>
                                <w:start w:val="double" w:sz="4" w:space="0" w:color="auto"/>
                                <w:end w:val="double" w:sz="4" w:space="0" w:color="auto"/>
                              </w:tcBorders>
                              <w:noWrap/>
                              <w:vAlign w:val="center"/>
                            </w:tcPr>
                            <w:p w14:paraId="760329F0" w14:textId="317608D4" w:rsidR="00A92FC2" w:rsidRPr="002B6A4B" w:rsidRDefault="00A92FC2" w:rsidP="00CF6CBA">
                              <w:pPr>
                                <w:pStyle w:val="Voetnoottekst"/>
                                <w:jc w:val="center"/>
                                <w:rPr>
                                  <w:lang w:val="en-US"/>
                                </w:rPr>
                              </w:pPr>
                              <w:r w:rsidRPr="002B6A4B">
                                <w:rPr>
                                  <w:lang w:val="en-US"/>
                                </w:rPr>
                                <w:t>TABLE 3.1: S</w:t>
                              </w:r>
                              <w:r>
                                <w:rPr>
                                  <w:lang w:val="en-US"/>
                                </w:rPr>
                                <w:t>TATED PREFERENCE</w:t>
                              </w:r>
                              <w:r w:rsidRPr="002B6A4B">
                                <w:rPr>
                                  <w:lang w:val="en-US"/>
                                </w:rPr>
                                <w:t xml:space="preserve"> ATTRIBUTE LEVELS</w:t>
                              </w:r>
                            </w:p>
                          </w:tc>
                        </w:tr>
                        <w:tr w:rsidR="00A92FC2" w:rsidRPr="00AE5C52" w14:paraId="34790682" w14:textId="77777777" w:rsidTr="00A92DA0">
                          <w:trPr>
                            <w:trHeight w:val="170"/>
                          </w:trPr>
                          <w:tc>
                            <w:tcPr>
                              <w:tcW w:w="53.0%" w:type="pct"/>
                              <w:tcBorders>
                                <w:top w:val="double" w:sz="4" w:space="0" w:color="auto"/>
                                <w:start w:val="double" w:sz="4" w:space="0" w:color="auto"/>
                                <w:bottom w:val="single" w:sz="4" w:space="0" w:color="auto"/>
                                <w:end w:val="double" w:sz="4" w:space="0" w:color="auto"/>
                              </w:tcBorders>
                              <w:noWrap/>
                              <w:hideMark/>
                            </w:tcPr>
                            <w:p w14:paraId="56275073" w14:textId="77777777" w:rsidR="00A92FC2" w:rsidRPr="002B6A4B" w:rsidRDefault="00A92FC2" w:rsidP="002B6A4B">
                              <w:pPr>
                                <w:snapToGrid w:val="0"/>
                                <w:spacing w:line="13.80pt" w:lineRule="auto"/>
                                <w:contextualSpacing/>
                                <w:rPr>
                                  <w:rFonts w:eastAsia="Times New Roman"/>
                                  <w:b/>
                                  <w:color w:val="000000"/>
                                  <w:lang w:eastAsia="zh-CN"/>
                                </w:rPr>
                              </w:pPr>
                              <w:r w:rsidRPr="002B6A4B">
                                <w:rPr>
                                  <w:rFonts w:eastAsia="Times New Roman"/>
                                  <w:b/>
                                  <w:color w:val="000000"/>
                                  <w:lang w:eastAsia="zh-CN"/>
                                </w:rPr>
                                <w:t>Attribute</w:t>
                              </w:r>
                            </w:p>
                          </w:tc>
                          <w:tc>
                            <w:tcPr>
                              <w:tcW w:w="12.0%" w:type="pct"/>
                              <w:gridSpan w:val="2"/>
                              <w:tcBorders>
                                <w:top w:val="double" w:sz="4" w:space="0" w:color="auto"/>
                                <w:start w:val="double" w:sz="4" w:space="0" w:color="auto"/>
                                <w:bottom w:val="single" w:sz="4" w:space="0" w:color="auto"/>
                                <w:end w:val="double" w:sz="4" w:space="0" w:color="auto"/>
                              </w:tcBorders>
                              <w:noWrap/>
                              <w:hideMark/>
                            </w:tcPr>
                            <w:p w14:paraId="3D463102" w14:textId="77777777" w:rsidR="00A92FC2" w:rsidRPr="002B6A4B" w:rsidRDefault="00A92FC2" w:rsidP="002B6A4B">
                              <w:pPr>
                                <w:snapToGrid w:val="0"/>
                                <w:spacing w:line="13.80pt" w:lineRule="auto"/>
                                <w:contextualSpacing/>
                                <w:rPr>
                                  <w:rFonts w:eastAsia="Times New Roman"/>
                                  <w:b/>
                                  <w:color w:val="000000"/>
                                  <w:lang w:eastAsia="zh-CN"/>
                                </w:rPr>
                              </w:pPr>
                              <w:r w:rsidRPr="002B6A4B">
                                <w:rPr>
                                  <w:rFonts w:eastAsia="Times New Roman"/>
                                  <w:b/>
                                  <w:color w:val="000000"/>
                                  <w:lang w:eastAsia="zh-CN"/>
                                </w:rPr>
                                <w:t>Level 1</w:t>
                              </w:r>
                            </w:p>
                          </w:tc>
                          <w:tc>
                            <w:tcPr>
                              <w:tcW w:w="16.0%" w:type="pct"/>
                              <w:tcBorders>
                                <w:top w:val="double" w:sz="4" w:space="0" w:color="auto"/>
                                <w:start w:val="double" w:sz="4" w:space="0" w:color="auto"/>
                                <w:bottom w:val="single" w:sz="4" w:space="0" w:color="auto"/>
                                <w:end w:val="double" w:sz="4" w:space="0" w:color="auto"/>
                              </w:tcBorders>
                              <w:noWrap/>
                              <w:hideMark/>
                            </w:tcPr>
                            <w:p w14:paraId="48D2DC6A" w14:textId="77777777" w:rsidR="00A92FC2" w:rsidRPr="002B6A4B" w:rsidRDefault="00A92FC2" w:rsidP="002B6A4B">
                              <w:pPr>
                                <w:snapToGrid w:val="0"/>
                                <w:spacing w:line="13.80pt" w:lineRule="auto"/>
                                <w:contextualSpacing/>
                                <w:rPr>
                                  <w:rFonts w:eastAsia="Times New Roman"/>
                                  <w:b/>
                                  <w:color w:val="000000"/>
                                  <w:lang w:eastAsia="zh-CN"/>
                                </w:rPr>
                              </w:pPr>
                              <w:r w:rsidRPr="002B6A4B">
                                <w:rPr>
                                  <w:rFonts w:eastAsia="Times New Roman"/>
                                  <w:b/>
                                  <w:color w:val="000000"/>
                                  <w:lang w:eastAsia="zh-CN"/>
                                </w:rPr>
                                <w:t>Level 2</w:t>
                              </w:r>
                            </w:p>
                          </w:tc>
                          <w:tc>
                            <w:tcPr>
                              <w:tcW w:w="19.0%" w:type="pct"/>
                              <w:tcBorders>
                                <w:top w:val="double" w:sz="4" w:space="0" w:color="auto"/>
                                <w:start w:val="double" w:sz="4" w:space="0" w:color="auto"/>
                                <w:bottom w:val="single" w:sz="4" w:space="0" w:color="auto"/>
                                <w:end w:val="double" w:sz="4" w:space="0" w:color="auto"/>
                              </w:tcBorders>
                              <w:noWrap/>
                              <w:hideMark/>
                            </w:tcPr>
                            <w:p w14:paraId="5C5E9B4F" w14:textId="77777777" w:rsidR="00A92FC2" w:rsidRPr="002B6A4B" w:rsidRDefault="00A92FC2" w:rsidP="002B6A4B">
                              <w:pPr>
                                <w:snapToGrid w:val="0"/>
                                <w:spacing w:line="13.80pt" w:lineRule="auto"/>
                                <w:contextualSpacing/>
                                <w:rPr>
                                  <w:rFonts w:eastAsia="Times New Roman"/>
                                  <w:b/>
                                  <w:color w:val="000000"/>
                                  <w:lang w:eastAsia="zh-CN"/>
                                </w:rPr>
                              </w:pPr>
                              <w:r w:rsidRPr="002B6A4B">
                                <w:rPr>
                                  <w:rFonts w:eastAsia="Times New Roman"/>
                                  <w:b/>
                                  <w:color w:val="000000"/>
                                  <w:lang w:eastAsia="zh-CN"/>
                                </w:rPr>
                                <w:t>Level 3</w:t>
                              </w:r>
                            </w:p>
                          </w:tc>
                        </w:tr>
                        <w:tr w:rsidR="00A92FC2" w:rsidRPr="00AE5C52" w14:paraId="53FC2E0F" w14:textId="77777777" w:rsidTr="00A92DA0">
                          <w:trPr>
                            <w:trHeight w:val="170"/>
                          </w:trPr>
                          <w:tc>
                            <w:tcPr>
                              <w:tcW w:w="53.0%" w:type="pct"/>
                              <w:tcBorders>
                                <w:top w:val="single" w:sz="4" w:space="0" w:color="auto"/>
                                <w:start w:val="double" w:sz="4" w:space="0" w:color="auto"/>
                                <w:bottom w:val="single" w:sz="4" w:space="0" w:color="BFBFBF" w:themeColor="background1" w:themeShade="BF"/>
                                <w:end w:val="double" w:sz="4" w:space="0" w:color="auto"/>
                              </w:tcBorders>
                              <w:noWrap/>
                              <w:hideMark/>
                            </w:tcPr>
                            <w:p w14:paraId="21FB76C8" w14:textId="32077051" w:rsidR="00A92FC2" w:rsidRPr="00CF6CBA" w:rsidRDefault="00A92FC2" w:rsidP="002B6A4B">
                              <w:pPr>
                                <w:snapToGrid w:val="0"/>
                                <w:spacing w:line="13.80pt" w:lineRule="auto"/>
                                <w:contextualSpacing/>
                                <w:rPr>
                                  <w:rFonts w:eastAsia="Times New Roman"/>
                                  <w:i/>
                                  <w:color w:val="000000"/>
                                  <w:lang w:eastAsia="zh-CN"/>
                                </w:rPr>
                              </w:pPr>
                              <w:r w:rsidRPr="00CF6CBA">
                                <w:rPr>
                                  <w:rFonts w:eastAsia="Times New Roman"/>
                                  <w:color w:val="000000"/>
                                  <w:lang w:eastAsia="zh-CN"/>
                                </w:rPr>
                                <w:t>Travel distance to CBD</w:t>
                              </w:r>
                              <w:r>
                                <w:rPr>
                                  <w:rFonts w:eastAsia="Times New Roman"/>
                                  <w:color w:val="000000"/>
                                  <w:lang w:eastAsia="zh-CN"/>
                                </w:rPr>
                                <w:t xml:space="preserve"> </w:t>
                              </w:r>
                              <w:r>
                                <w:rPr>
                                  <w:rFonts w:eastAsia="Times New Roman"/>
                                  <w:i/>
                                  <w:color w:val="000000"/>
                                  <w:lang w:eastAsia="zh-CN"/>
                                </w:rPr>
                                <w:t>(km)</w:t>
                              </w:r>
                            </w:p>
                          </w:tc>
                          <w:tc>
                            <w:tcPr>
                              <w:tcW w:w="12.0%" w:type="pct"/>
                              <w:gridSpan w:val="2"/>
                              <w:tcBorders>
                                <w:top w:val="single" w:sz="4" w:space="0" w:color="auto"/>
                                <w:start w:val="double" w:sz="4" w:space="0" w:color="auto"/>
                                <w:bottom w:val="single" w:sz="4" w:space="0" w:color="BFBFBF" w:themeColor="background1" w:themeShade="BF"/>
                                <w:end w:val="double" w:sz="4" w:space="0" w:color="auto"/>
                              </w:tcBorders>
                              <w:noWrap/>
                              <w:hideMark/>
                            </w:tcPr>
                            <w:p w14:paraId="47088A0F" w14:textId="5D38B2F4" w:rsidR="00A92FC2" w:rsidRPr="002B6A4B" w:rsidRDefault="00A92FC2" w:rsidP="002B6A4B">
                              <w:pPr>
                                <w:snapToGrid w:val="0"/>
                                <w:spacing w:line="13.80pt" w:lineRule="auto"/>
                                <w:contextualSpacing/>
                                <w:rPr>
                                  <w:rFonts w:eastAsia="Times New Roman"/>
                                  <w:color w:val="000000"/>
                                  <w:lang w:eastAsia="zh-CN"/>
                                </w:rPr>
                              </w:pPr>
                              <w:r w:rsidRPr="002B6A4B">
                                <w:rPr>
                                  <w:rFonts w:eastAsia="Times New Roman"/>
                                  <w:color w:val="000000"/>
                                  <w:lang w:eastAsia="zh-CN"/>
                                </w:rPr>
                                <w:t>1.5</w:t>
                              </w:r>
                            </w:p>
                          </w:tc>
                          <w:tc>
                            <w:tcPr>
                              <w:tcW w:w="16.0%" w:type="pct"/>
                              <w:tcBorders>
                                <w:top w:val="single" w:sz="4" w:space="0" w:color="auto"/>
                                <w:start w:val="double" w:sz="4" w:space="0" w:color="auto"/>
                                <w:bottom w:val="single" w:sz="4" w:space="0" w:color="BFBFBF" w:themeColor="background1" w:themeShade="BF"/>
                                <w:end w:val="double" w:sz="4" w:space="0" w:color="auto"/>
                              </w:tcBorders>
                              <w:noWrap/>
                              <w:hideMark/>
                            </w:tcPr>
                            <w:p w14:paraId="2DA52C27" w14:textId="20AFF0AE" w:rsidR="00A92FC2" w:rsidRPr="002B6A4B" w:rsidRDefault="00A92FC2" w:rsidP="002B6A4B">
                              <w:pPr>
                                <w:snapToGrid w:val="0"/>
                                <w:spacing w:line="13.80pt" w:lineRule="auto"/>
                                <w:contextualSpacing/>
                                <w:rPr>
                                  <w:rFonts w:eastAsia="Times New Roman"/>
                                  <w:color w:val="000000"/>
                                  <w:lang w:eastAsia="zh-CN"/>
                                </w:rPr>
                              </w:pPr>
                              <w:r w:rsidRPr="002B6A4B">
                                <w:rPr>
                                  <w:rFonts w:eastAsia="Times New Roman"/>
                                  <w:color w:val="000000"/>
                                  <w:lang w:eastAsia="zh-CN"/>
                                </w:rPr>
                                <w:t>3</w:t>
                              </w:r>
                            </w:p>
                          </w:tc>
                          <w:tc>
                            <w:tcPr>
                              <w:tcW w:w="19.0%" w:type="pct"/>
                              <w:tcBorders>
                                <w:top w:val="single" w:sz="4" w:space="0" w:color="auto"/>
                                <w:start w:val="double" w:sz="4" w:space="0" w:color="auto"/>
                                <w:bottom w:val="single" w:sz="4" w:space="0" w:color="BFBFBF" w:themeColor="background1" w:themeShade="BF"/>
                                <w:end w:val="double" w:sz="4" w:space="0" w:color="auto"/>
                              </w:tcBorders>
                              <w:noWrap/>
                              <w:hideMark/>
                            </w:tcPr>
                            <w:p w14:paraId="349BB1AE" w14:textId="303A7C23" w:rsidR="00A92FC2" w:rsidRPr="002B6A4B" w:rsidRDefault="00A92FC2" w:rsidP="002B6A4B">
                              <w:pPr>
                                <w:snapToGrid w:val="0"/>
                                <w:spacing w:line="13.80pt" w:lineRule="auto"/>
                                <w:contextualSpacing/>
                                <w:rPr>
                                  <w:rFonts w:eastAsia="Times New Roman"/>
                                  <w:color w:val="000000"/>
                                  <w:lang w:eastAsia="zh-CN"/>
                                </w:rPr>
                              </w:pPr>
                              <w:r w:rsidRPr="002B6A4B">
                                <w:rPr>
                                  <w:rFonts w:eastAsia="Times New Roman"/>
                                  <w:color w:val="000000"/>
                                  <w:lang w:eastAsia="zh-CN"/>
                                </w:rPr>
                                <w:t>6</w:t>
                              </w:r>
                            </w:p>
                          </w:tc>
                        </w:tr>
                        <w:tr w:rsidR="00A92FC2" w:rsidRPr="00AE5C52" w14:paraId="5A6B6E15" w14:textId="77777777" w:rsidTr="00A92DA0">
                          <w:trPr>
                            <w:trHeight w:val="170"/>
                          </w:trPr>
                          <w:tc>
                            <w:tcPr>
                              <w:tcW w:w="53.0%" w:type="pct"/>
                              <w:tcBorders>
                                <w:top w:val="single" w:sz="4" w:space="0" w:color="BFBFBF" w:themeColor="background1" w:themeShade="BF"/>
                                <w:start w:val="double" w:sz="4" w:space="0" w:color="auto"/>
                                <w:bottom w:val="single" w:sz="4" w:space="0" w:color="BFBFBF" w:themeColor="background1" w:themeShade="BF"/>
                                <w:end w:val="double" w:sz="4" w:space="0" w:color="auto"/>
                              </w:tcBorders>
                              <w:noWrap/>
                              <w:hideMark/>
                            </w:tcPr>
                            <w:p w14:paraId="0C7FEB17" w14:textId="5911C91A" w:rsidR="00A92FC2" w:rsidRPr="00CF6CBA" w:rsidRDefault="00A92FC2" w:rsidP="002B6A4B">
                              <w:pPr>
                                <w:snapToGrid w:val="0"/>
                                <w:spacing w:line="13.80pt" w:lineRule="auto"/>
                                <w:contextualSpacing/>
                                <w:rPr>
                                  <w:rFonts w:eastAsia="Times New Roman"/>
                                  <w:i/>
                                  <w:color w:val="000000"/>
                                  <w:lang w:eastAsia="zh-CN"/>
                                </w:rPr>
                              </w:pPr>
                              <w:r w:rsidRPr="00CF6CBA">
                                <w:rPr>
                                  <w:rFonts w:eastAsia="Times New Roman"/>
                                  <w:color w:val="000000"/>
                                  <w:lang w:eastAsia="zh-CN"/>
                                </w:rPr>
                                <w:t>Housing costs per month</w:t>
                              </w:r>
                              <w:r>
                                <w:rPr>
                                  <w:rFonts w:eastAsia="Times New Roman"/>
                                  <w:i/>
                                  <w:color w:val="000000"/>
                                  <w:lang w:eastAsia="zh-CN"/>
                                </w:rPr>
                                <w:t xml:space="preserve"> (€)</w:t>
                              </w:r>
                            </w:p>
                          </w:tc>
                          <w:tc>
                            <w:tcPr>
                              <w:tcW w:w="12.0%" w:type="pct"/>
                              <w:gridSpan w:val="2"/>
                              <w:tcBorders>
                                <w:top w:val="single" w:sz="4" w:space="0" w:color="BFBFBF" w:themeColor="background1" w:themeShade="BF"/>
                                <w:start w:val="double" w:sz="4" w:space="0" w:color="auto"/>
                                <w:bottom w:val="single" w:sz="4" w:space="0" w:color="BFBFBF" w:themeColor="background1" w:themeShade="BF"/>
                                <w:end w:val="double" w:sz="4" w:space="0" w:color="auto"/>
                              </w:tcBorders>
                              <w:noWrap/>
                              <w:hideMark/>
                            </w:tcPr>
                            <w:p w14:paraId="226A8B94" w14:textId="77777777" w:rsidR="00A92FC2" w:rsidRPr="002B6A4B" w:rsidRDefault="00A92FC2" w:rsidP="002B6A4B">
                              <w:pPr>
                                <w:snapToGrid w:val="0"/>
                                <w:spacing w:line="13.80pt" w:lineRule="auto"/>
                                <w:contextualSpacing/>
                                <w:rPr>
                                  <w:rFonts w:eastAsia="Times New Roman"/>
                                  <w:color w:val="000000"/>
                                  <w:lang w:eastAsia="zh-CN"/>
                                </w:rPr>
                              </w:pPr>
                              <w:r w:rsidRPr="002B6A4B">
                                <w:rPr>
                                  <w:rFonts w:eastAsia="Times New Roman"/>
                                  <w:color w:val="000000"/>
                                  <w:lang w:eastAsia="zh-CN"/>
                                </w:rPr>
                                <w:t>750,-</w:t>
                              </w:r>
                            </w:p>
                          </w:tc>
                          <w:tc>
                            <w:tcPr>
                              <w:tcW w:w="16.0%" w:type="pct"/>
                              <w:tcBorders>
                                <w:top w:val="single" w:sz="4" w:space="0" w:color="BFBFBF" w:themeColor="background1" w:themeShade="BF"/>
                                <w:start w:val="double" w:sz="4" w:space="0" w:color="auto"/>
                                <w:bottom w:val="single" w:sz="4" w:space="0" w:color="BFBFBF" w:themeColor="background1" w:themeShade="BF"/>
                                <w:end w:val="double" w:sz="4" w:space="0" w:color="auto"/>
                              </w:tcBorders>
                              <w:noWrap/>
                              <w:hideMark/>
                            </w:tcPr>
                            <w:p w14:paraId="6C796569" w14:textId="77777777" w:rsidR="00A92FC2" w:rsidRPr="002B6A4B" w:rsidRDefault="00A92FC2" w:rsidP="002B6A4B">
                              <w:pPr>
                                <w:snapToGrid w:val="0"/>
                                <w:spacing w:line="13.80pt" w:lineRule="auto"/>
                                <w:contextualSpacing/>
                                <w:rPr>
                                  <w:rFonts w:eastAsia="Times New Roman"/>
                                  <w:color w:val="000000"/>
                                  <w:lang w:eastAsia="zh-CN"/>
                                </w:rPr>
                              </w:pPr>
                              <w:r w:rsidRPr="002B6A4B">
                                <w:rPr>
                                  <w:rFonts w:eastAsia="Times New Roman"/>
                                  <w:color w:val="000000"/>
                                  <w:lang w:eastAsia="zh-CN"/>
                                </w:rPr>
                                <w:t>1,000,-</w:t>
                              </w:r>
                            </w:p>
                          </w:tc>
                          <w:tc>
                            <w:tcPr>
                              <w:tcW w:w="19.0%" w:type="pct"/>
                              <w:tcBorders>
                                <w:top w:val="single" w:sz="4" w:space="0" w:color="BFBFBF" w:themeColor="background1" w:themeShade="BF"/>
                                <w:start w:val="double" w:sz="4" w:space="0" w:color="auto"/>
                                <w:bottom w:val="single" w:sz="4" w:space="0" w:color="BFBFBF" w:themeColor="background1" w:themeShade="BF"/>
                                <w:end w:val="double" w:sz="4" w:space="0" w:color="auto"/>
                              </w:tcBorders>
                              <w:noWrap/>
                              <w:hideMark/>
                            </w:tcPr>
                            <w:p w14:paraId="08345347" w14:textId="77777777" w:rsidR="00A92FC2" w:rsidRPr="002B6A4B" w:rsidRDefault="00A92FC2" w:rsidP="002B6A4B">
                              <w:pPr>
                                <w:snapToGrid w:val="0"/>
                                <w:spacing w:line="13.80pt" w:lineRule="auto"/>
                                <w:contextualSpacing/>
                                <w:rPr>
                                  <w:rFonts w:eastAsia="Times New Roman"/>
                                  <w:color w:val="000000"/>
                                  <w:lang w:eastAsia="zh-CN"/>
                                </w:rPr>
                              </w:pPr>
                              <w:r w:rsidRPr="002B6A4B">
                                <w:rPr>
                                  <w:rFonts w:eastAsia="Times New Roman"/>
                                  <w:color w:val="000000"/>
                                  <w:lang w:eastAsia="zh-CN"/>
                                </w:rPr>
                                <w:t>1,500,-</w:t>
                              </w:r>
                            </w:p>
                          </w:tc>
                        </w:tr>
                        <w:tr w:rsidR="00A92FC2" w:rsidRPr="00AE5C52" w14:paraId="417C298D" w14:textId="77777777" w:rsidTr="00A92DA0">
                          <w:trPr>
                            <w:trHeight w:val="170"/>
                          </w:trPr>
                          <w:tc>
                            <w:tcPr>
                              <w:tcW w:w="53.0%" w:type="pct"/>
                              <w:tcBorders>
                                <w:top w:val="single" w:sz="4" w:space="0" w:color="BFBFBF" w:themeColor="background1" w:themeShade="BF"/>
                                <w:start w:val="double" w:sz="4" w:space="0" w:color="auto"/>
                                <w:bottom w:val="single" w:sz="4" w:space="0" w:color="BFBFBF" w:themeColor="background1" w:themeShade="BF"/>
                                <w:end w:val="double" w:sz="4" w:space="0" w:color="auto"/>
                              </w:tcBorders>
                              <w:noWrap/>
                              <w:hideMark/>
                            </w:tcPr>
                            <w:p w14:paraId="13414BC6" w14:textId="76C4651C" w:rsidR="00A92FC2" w:rsidRPr="00CF6CBA" w:rsidRDefault="00A92FC2" w:rsidP="002B6A4B">
                              <w:pPr>
                                <w:snapToGrid w:val="0"/>
                                <w:spacing w:line="13.80pt" w:lineRule="auto"/>
                                <w:contextualSpacing/>
                                <w:rPr>
                                  <w:rFonts w:eastAsia="Times New Roman"/>
                                  <w:i/>
                                  <w:color w:val="000000"/>
                                  <w:lang w:eastAsia="zh-CN"/>
                                </w:rPr>
                              </w:pPr>
                              <w:r w:rsidRPr="00CF6CBA">
                                <w:rPr>
                                  <w:rFonts w:eastAsia="Times New Roman"/>
                                  <w:color w:val="000000"/>
                                  <w:lang w:eastAsia="zh-CN"/>
                                </w:rPr>
                                <w:t>Travel time to work</w:t>
                              </w:r>
                              <w:r>
                                <w:rPr>
                                  <w:rFonts w:eastAsia="Times New Roman"/>
                                  <w:color w:val="000000"/>
                                  <w:lang w:eastAsia="zh-CN"/>
                                </w:rPr>
                                <w:t xml:space="preserve"> </w:t>
                              </w:r>
                              <w:r>
                                <w:rPr>
                                  <w:rFonts w:eastAsia="Times New Roman"/>
                                  <w:i/>
                                  <w:color w:val="000000"/>
                                  <w:lang w:eastAsia="zh-CN"/>
                                </w:rPr>
                                <w:t>(Minutes)</w:t>
                              </w:r>
                            </w:p>
                          </w:tc>
                          <w:tc>
                            <w:tcPr>
                              <w:tcW w:w="12.0%" w:type="pct"/>
                              <w:gridSpan w:val="2"/>
                              <w:tcBorders>
                                <w:top w:val="single" w:sz="4" w:space="0" w:color="BFBFBF" w:themeColor="background1" w:themeShade="BF"/>
                                <w:start w:val="double" w:sz="4" w:space="0" w:color="auto"/>
                                <w:bottom w:val="single" w:sz="4" w:space="0" w:color="BFBFBF" w:themeColor="background1" w:themeShade="BF"/>
                                <w:end w:val="double" w:sz="4" w:space="0" w:color="auto"/>
                              </w:tcBorders>
                              <w:noWrap/>
                              <w:hideMark/>
                            </w:tcPr>
                            <w:p w14:paraId="4B04AC6B" w14:textId="77777777" w:rsidR="00A92FC2" w:rsidRPr="002B6A4B" w:rsidRDefault="00A92FC2" w:rsidP="002B6A4B">
                              <w:pPr>
                                <w:snapToGrid w:val="0"/>
                                <w:spacing w:line="13.80pt" w:lineRule="auto"/>
                                <w:contextualSpacing/>
                                <w:rPr>
                                  <w:rFonts w:eastAsia="Times New Roman"/>
                                  <w:color w:val="000000"/>
                                  <w:lang w:eastAsia="zh-CN"/>
                                </w:rPr>
                              </w:pPr>
                              <w:r w:rsidRPr="002B6A4B">
                                <w:rPr>
                                  <w:rFonts w:eastAsia="Times New Roman"/>
                                  <w:color w:val="000000"/>
                                  <w:lang w:eastAsia="zh-CN"/>
                                </w:rPr>
                                <w:t>TT * 75%</w:t>
                              </w:r>
                            </w:p>
                          </w:tc>
                          <w:tc>
                            <w:tcPr>
                              <w:tcW w:w="16.0%" w:type="pct"/>
                              <w:tcBorders>
                                <w:top w:val="single" w:sz="4" w:space="0" w:color="BFBFBF" w:themeColor="background1" w:themeShade="BF"/>
                                <w:start w:val="double" w:sz="4" w:space="0" w:color="auto"/>
                                <w:bottom w:val="single" w:sz="4" w:space="0" w:color="BFBFBF" w:themeColor="background1" w:themeShade="BF"/>
                                <w:end w:val="double" w:sz="4" w:space="0" w:color="auto"/>
                              </w:tcBorders>
                              <w:noWrap/>
                              <w:hideMark/>
                            </w:tcPr>
                            <w:p w14:paraId="0D575546" w14:textId="77777777" w:rsidR="00A92FC2" w:rsidRPr="002B6A4B" w:rsidRDefault="00A92FC2" w:rsidP="002B6A4B">
                              <w:pPr>
                                <w:snapToGrid w:val="0"/>
                                <w:spacing w:line="13.80pt" w:lineRule="auto"/>
                                <w:contextualSpacing/>
                                <w:rPr>
                                  <w:rFonts w:eastAsia="Times New Roman"/>
                                  <w:color w:val="000000"/>
                                  <w:lang w:eastAsia="zh-CN"/>
                                </w:rPr>
                              </w:pPr>
                              <w:r w:rsidRPr="002B6A4B">
                                <w:rPr>
                                  <w:rFonts w:eastAsia="Times New Roman"/>
                                  <w:color w:val="000000"/>
                                  <w:lang w:eastAsia="zh-CN"/>
                                </w:rPr>
                                <w:t>TT</w:t>
                              </w:r>
                            </w:p>
                          </w:tc>
                          <w:tc>
                            <w:tcPr>
                              <w:tcW w:w="19.0%" w:type="pct"/>
                              <w:tcBorders>
                                <w:top w:val="single" w:sz="4" w:space="0" w:color="BFBFBF" w:themeColor="background1" w:themeShade="BF"/>
                                <w:start w:val="double" w:sz="4" w:space="0" w:color="auto"/>
                                <w:bottom w:val="single" w:sz="4" w:space="0" w:color="BFBFBF" w:themeColor="background1" w:themeShade="BF"/>
                                <w:end w:val="double" w:sz="4" w:space="0" w:color="auto"/>
                              </w:tcBorders>
                              <w:noWrap/>
                              <w:hideMark/>
                            </w:tcPr>
                            <w:p w14:paraId="6A6F0E15" w14:textId="77777777" w:rsidR="00A92FC2" w:rsidRPr="002B6A4B" w:rsidRDefault="00A92FC2" w:rsidP="002B6A4B">
                              <w:pPr>
                                <w:snapToGrid w:val="0"/>
                                <w:spacing w:line="13.80pt" w:lineRule="auto"/>
                                <w:contextualSpacing/>
                                <w:rPr>
                                  <w:rFonts w:eastAsia="Times New Roman"/>
                                  <w:color w:val="000000"/>
                                  <w:lang w:eastAsia="zh-CN"/>
                                </w:rPr>
                              </w:pPr>
                              <w:r w:rsidRPr="002B6A4B">
                                <w:rPr>
                                  <w:rFonts w:eastAsia="Times New Roman"/>
                                  <w:color w:val="000000"/>
                                  <w:lang w:eastAsia="zh-CN"/>
                                </w:rPr>
                                <w:t>TT * 125%</w:t>
                              </w:r>
                            </w:p>
                          </w:tc>
                        </w:tr>
                        <w:tr w:rsidR="00A92FC2" w:rsidRPr="00AE5C52" w14:paraId="779E0005" w14:textId="77777777" w:rsidTr="00A92DA0">
                          <w:trPr>
                            <w:trHeight w:val="170"/>
                          </w:trPr>
                          <w:tc>
                            <w:tcPr>
                              <w:tcW w:w="53.0%" w:type="pct"/>
                              <w:tcBorders>
                                <w:top w:val="single" w:sz="4" w:space="0" w:color="BFBFBF" w:themeColor="background1" w:themeShade="BF"/>
                                <w:start w:val="double" w:sz="4" w:space="0" w:color="auto"/>
                                <w:bottom w:val="single" w:sz="4" w:space="0" w:color="BFBFBF" w:themeColor="background1" w:themeShade="BF"/>
                                <w:end w:val="double" w:sz="4" w:space="0" w:color="auto"/>
                              </w:tcBorders>
                              <w:noWrap/>
                              <w:hideMark/>
                            </w:tcPr>
                            <w:p w14:paraId="5352CB9B" w14:textId="5B428116" w:rsidR="00A92FC2" w:rsidRPr="00D758EE" w:rsidRDefault="00A92FC2" w:rsidP="002B6A4B">
                              <w:pPr>
                                <w:snapToGrid w:val="0"/>
                                <w:spacing w:line="13.80pt" w:lineRule="auto"/>
                                <w:contextualSpacing/>
                                <w:rPr>
                                  <w:rFonts w:eastAsia="Times New Roman"/>
                                  <w:i/>
                                  <w:color w:val="000000"/>
                                  <w:lang w:eastAsia="zh-CN"/>
                                </w:rPr>
                              </w:pPr>
                              <w:r w:rsidRPr="00CF6CBA">
                                <w:rPr>
                                  <w:rFonts w:eastAsia="Times New Roman"/>
                                  <w:color w:val="000000"/>
                                  <w:lang w:eastAsia="zh-CN"/>
                                </w:rPr>
                                <w:t>Parking costs per month</w:t>
                              </w:r>
                              <w:r>
                                <w:rPr>
                                  <w:rFonts w:eastAsia="Times New Roman"/>
                                  <w:color w:val="000000"/>
                                  <w:lang w:eastAsia="zh-CN"/>
                                </w:rPr>
                                <w:t xml:space="preserve"> (</w:t>
                              </w:r>
                              <w:r>
                                <w:rPr>
                                  <w:rFonts w:eastAsia="Times New Roman"/>
                                  <w:i/>
                                  <w:color w:val="000000"/>
                                  <w:lang w:eastAsia="zh-CN"/>
                                </w:rPr>
                                <w:t>€)</w:t>
                              </w:r>
                            </w:p>
                          </w:tc>
                          <w:tc>
                            <w:tcPr>
                              <w:tcW w:w="12.0%" w:type="pct"/>
                              <w:gridSpan w:val="2"/>
                              <w:tcBorders>
                                <w:top w:val="single" w:sz="4" w:space="0" w:color="BFBFBF" w:themeColor="background1" w:themeShade="BF"/>
                                <w:start w:val="double" w:sz="4" w:space="0" w:color="auto"/>
                                <w:bottom w:val="single" w:sz="4" w:space="0" w:color="BFBFBF" w:themeColor="background1" w:themeShade="BF"/>
                                <w:end w:val="double" w:sz="4" w:space="0" w:color="auto"/>
                              </w:tcBorders>
                              <w:noWrap/>
                              <w:hideMark/>
                            </w:tcPr>
                            <w:p w14:paraId="2A59DACB" w14:textId="77777777" w:rsidR="00A92FC2" w:rsidRPr="002B6A4B" w:rsidRDefault="00A92FC2" w:rsidP="002B6A4B">
                              <w:pPr>
                                <w:snapToGrid w:val="0"/>
                                <w:spacing w:line="13.80pt" w:lineRule="auto"/>
                                <w:contextualSpacing/>
                                <w:rPr>
                                  <w:rFonts w:eastAsia="Times New Roman"/>
                                  <w:color w:val="000000"/>
                                  <w:lang w:eastAsia="zh-CN"/>
                                </w:rPr>
                              </w:pPr>
                              <w:r w:rsidRPr="002B6A4B">
                                <w:rPr>
                                  <w:rFonts w:eastAsia="Times New Roman"/>
                                  <w:color w:val="000000"/>
                                  <w:lang w:eastAsia="zh-CN"/>
                                </w:rPr>
                                <w:t>30,-</w:t>
                              </w:r>
                            </w:p>
                          </w:tc>
                          <w:tc>
                            <w:tcPr>
                              <w:tcW w:w="16.0%" w:type="pct"/>
                              <w:tcBorders>
                                <w:top w:val="single" w:sz="4" w:space="0" w:color="BFBFBF" w:themeColor="background1" w:themeShade="BF"/>
                                <w:start w:val="double" w:sz="4" w:space="0" w:color="auto"/>
                                <w:bottom w:val="single" w:sz="4" w:space="0" w:color="BFBFBF" w:themeColor="background1" w:themeShade="BF"/>
                                <w:end w:val="double" w:sz="4" w:space="0" w:color="auto"/>
                              </w:tcBorders>
                              <w:noWrap/>
                              <w:hideMark/>
                            </w:tcPr>
                            <w:p w14:paraId="542B5D49" w14:textId="77777777" w:rsidR="00A92FC2" w:rsidRPr="002B6A4B" w:rsidRDefault="00A92FC2" w:rsidP="002B6A4B">
                              <w:pPr>
                                <w:snapToGrid w:val="0"/>
                                <w:spacing w:line="13.80pt" w:lineRule="auto"/>
                                <w:contextualSpacing/>
                                <w:rPr>
                                  <w:rFonts w:eastAsia="Times New Roman"/>
                                  <w:color w:val="000000"/>
                                  <w:lang w:eastAsia="zh-CN"/>
                                </w:rPr>
                              </w:pPr>
                              <w:r w:rsidRPr="002B6A4B">
                                <w:rPr>
                                  <w:rFonts w:eastAsia="Times New Roman"/>
                                  <w:color w:val="000000"/>
                                  <w:lang w:eastAsia="zh-CN"/>
                                </w:rPr>
                                <w:t>75,-</w:t>
                              </w:r>
                            </w:p>
                          </w:tc>
                          <w:tc>
                            <w:tcPr>
                              <w:tcW w:w="19.0%" w:type="pct"/>
                              <w:tcBorders>
                                <w:top w:val="single" w:sz="4" w:space="0" w:color="BFBFBF" w:themeColor="background1" w:themeShade="BF"/>
                                <w:start w:val="double" w:sz="4" w:space="0" w:color="auto"/>
                                <w:bottom w:val="single" w:sz="4" w:space="0" w:color="BFBFBF" w:themeColor="background1" w:themeShade="BF"/>
                                <w:end w:val="double" w:sz="4" w:space="0" w:color="auto"/>
                              </w:tcBorders>
                              <w:noWrap/>
                              <w:hideMark/>
                            </w:tcPr>
                            <w:p w14:paraId="1EA6948F" w14:textId="77777777" w:rsidR="00A92FC2" w:rsidRPr="002B6A4B" w:rsidRDefault="00A92FC2" w:rsidP="002B6A4B">
                              <w:pPr>
                                <w:snapToGrid w:val="0"/>
                                <w:spacing w:line="13.80pt" w:lineRule="auto"/>
                                <w:contextualSpacing/>
                                <w:rPr>
                                  <w:rFonts w:eastAsia="Times New Roman"/>
                                  <w:color w:val="000000"/>
                                  <w:lang w:eastAsia="zh-CN"/>
                                </w:rPr>
                              </w:pPr>
                              <w:r w:rsidRPr="002B6A4B">
                                <w:rPr>
                                  <w:rFonts w:eastAsia="Times New Roman"/>
                                  <w:color w:val="000000"/>
                                  <w:lang w:eastAsia="zh-CN"/>
                                </w:rPr>
                                <w:t>125,-</w:t>
                              </w:r>
                            </w:p>
                          </w:tc>
                        </w:tr>
                        <w:tr w:rsidR="00A92FC2" w:rsidRPr="00AE5C52" w14:paraId="15367EE8" w14:textId="77777777" w:rsidTr="00A92DA0">
                          <w:trPr>
                            <w:trHeight w:val="170"/>
                          </w:trPr>
                          <w:tc>
                            <w:tcPr>
                              <w:tcW w:w="53.0%" w:type="pct"/>
                              <w:tcBorders>
                                <w:top w:val="single" w:sz="4" w:space="0" w:color="BFBFBF" w:themeColor="background1" w:themeShade="BF"/>
                                <w:start w:val="double" w:sz="4" w:space="0" w:color="auto"/>
                                <w:bottom w:val="single" w:sz="4" w:space="0" w:color="BFBFBF" w:themeColor="background1" w:themeShade="BF"/>
                                <w:end w:val="double" w:sz="4" w:space="0" w:color="auto"/>
                              </w:tcBorders>
                              <w:noWrap/>
                              <w:hideMark/>
                            </w:tcPr>
                            <w:p w14:paraId="0373CA5D" w14:textId="442B5569" w:rsidR="00A92FC2" w:rsidRPr="00D758EE" w:rsidRDefault="00A92FC2" w:rsidP="002B6A4B">
                              <w:pPr>
                                <w:snapToGrid w:val="0"/>
                                <w:spacing w:line="13.80pt" w:lineRule="auto"/>
                                <w:contextualSpacing/>
                                <w:rPr>
                                  <w:rFonts w:eastAsia="Times New Roman"/>
                                  <w:i/>
                                  <w:color w:val="000000"/>
                                  <w:lang w:eastAsia="zh-CN"/>
                                </w:rPr>
                              </w:pPr>
                              <w:r w:rsidRPr="00CF6CBA">
                                <w:rPr>
                                  <w:rFonts w:eastAsia="Times New Roman"/>
                                  <w:color w:val="000000"/>
                                  <w:lang w:eastAsia="zh-CN"/>
                                </w:rPr>
                                <w:t>Travel costs per month</w:t>
                              </w:r>
                              <w:r>
                                <w:rPr>
                                  <w:rFonts w:eastAsia="Times New Roman"/>
                                  <w:color w:val="000000"/>
                                  <w:lang w:eastAsia="zh-CN"/>
                                </w:rPr>
                                <w:t xml:space="preserve"> </w:t>
                              </w:r>
                              <w:r>
                                <w:rPr>
                                  <w:rFonts w:eastAsia="Times New Roman"/>
                                  <w:i/>
                                  <w:color w:val="000000"/>
                                  <w:lang w:eastAsia="zh-CN"/>
                                </w:rPr>
                                <w:t>(€)</w:t>
                              </w:r>
                            </w:p>
                          </w:tc>
                          <w:tc>
                            <w:tcPr>
                              <w:tcW w:w="12.0%" w:type="pct"/>
                              <w:gridSpan w:val="2"/>
                              <w:tcBorders>
                                <w:top w:val="single" w:sz="4" w:space="0" w:color="BFBFBF" w:themeColor="background1" w:themeShade="BF"/>
                                <w:start w:val="double" w:sz="4" w:space="0" w:color="auto"/>
                                <w:bottom w:val="single" w:sz="4" w:space="0" w:color="BFBFBF" w:themeColor="background1" w:themeShade="BF"/>
                                <w:end w:val="double" w:sz="4" w:space="0" w:color="auto"/>
                              </w:tcBorders>
                              <w:noWrap/>
                              <w:hideMark/>
                            </w:tcPr>
                            <w:p w14:paraId="0C26FFB8" w14:textId="77777777" w:rsidR="00A92FC2" w:rsidRPr="002B6A4B" w:rsidRDefault="00A92FC2" w:rsidP="002B6A4B">
                              <w:pPr>
                                <w:snapToGrid w:val="0"/>
                                <w:spacing w:line="13.80pt" w:lineRule="auto"/>
                                <w:contextualSpacing/>
                                <w:rPr>
                                  <w:rFonts w:eastAsia="Times New Roman"/>
                                  <w:color w:val="000000"/>
                                  <w:lang w:eastAsia="zh-CN"/>
                                </w:rPr>
                              </w:pPr>
                              <w:r w:rsidRPr="002B6A4B">
                                <w:rPr>
                                  <w:rFonts w:eastAsia="Times New Roman"/>
                                  <w:color w:val="000000"/>
                                  <w:lang w:eastAsia="zh-CN"/>
                                </w:rPr>
                                <w:t>TC * 75%</w:t>
                              </w:r>
                            </w:p>
                          </w:tc>
                          <w:tc>
                            <w:tcPr>
                              <w:tcW w:w="16.0%" w:type="pct"/>
                              <w:tcBorders>
                                <w:top w:val="single" w:sz="4" w:space="0" w:color="BFBFBF" w:themeColor="background1" w:themeShade="BF"/>
                                <w:start w:val="double" w:sz="4" w:space="0" w:color="auto"/>
                                <w:bottom w:val="single" w:sz="4" w:space="0" w:color="BFBFBF" w:themeColor="background1" w:themeShade="BF"/>
                                <w:end w:val="double" w:sz="4" w:space="0" w:color="auto"/>
                              </w:tcBorders>
                              <w:noWrap/>
                              <w:hideMark/>
                            </w:tcPr>
                            <w:p w14:paraId="4F2CF695" w14:textId="77777777" w:rsidR="00A92FC2" w:rsidRPr="002B6A4B" w:rsidRDefault="00A92FC2" w:rsidP="002B6A4B">
                              <w:pPr>
                                <w:snapToGrid w:val="0"/>
                                <w:spacing w:line="13.80pt" w:lineRule="auto"/>
                                <w:contextualSpacing/>
                                <w:rPr>
                                  <w:rFonts w:eastAsia="Times New Roman"/>
                                  <w:color w:val="000000"/>
                                  <w:lang w:eastAsia="zh-CN"/>
                                </w:rPr>
                              </w:pPr>
                              <w:r w:rsidRPr="002B6A4B">
                                <w:rPr>
                                  <w:rFonts w:eastAsia="Times New Roman"/>
                                  <w:color w:val="000000"/>
                                  <w:lang w:eastAsia="zh-CN"/>
                                </w:rPr>
                                <w:t>TC</w:t>
                              </w:r>
                            </w:p>
                          </w:tc>
                          <w:tc>
                            <w:tcPr>
                              <w:tcW w:w="19.0%" w:type="pct"/>
                              <w:tcBorders>
                                <w:top w:val="single" w:sz="4" w:space="0" w:color="BFBFBF" w:themeColor="background1" w:themeShade="BF"/>
                                <w:start w:val="double" w:sz="4" w:space="0" w:color="auto"/>
                                <w:bottom w:val="single" w:sz="4" w:space="0" w:color="BFBFBF" w:themeColor="background1" w:themeShade="BF"/>
                                <w:end w:val="double" w:sz="4" w:space="0" w:color="auto"/>
                              </w:tcBorders>
                              <w:noWrap/>
                              <w:hideMark/>
                            </w:tcPr>
                            <w:p w14:paraId="0AFC8993" w14:textId="77777777" w:rsidR="00A92FC2" w:rsidRPr="002B6A4B" w:rsidRDefault="00A92FC2" w:rsidP="002B6A4B">
                              <w:pPr>
                                <w:snapToGrid w:val="0"/>
                                <w:spacing w:line="13.80pt" w:lineRule="auto"/>
                                <w:contextualSpacing/>
                                <w:rPr>
                                  <w:rFonts w:eastAsia="Times New Roman"/>
                                  <w:color w:val="000000"/>
                                  <w:lang w:eastAsia="zh-CN"/>
                                </w:rPr>
                              </w:pPr>
                              <w:r w:rsidRPr="002B6A4B">
                                <w:rPr>
                                  <w:rFonts w:eastAsia="Times New Roman"/>
                                  <w:color w:val="000000"/>
                                  <w:lang w:eastAsia="zh-CN"/>
                                </w:rPr>
                                <w:t>TC * 125%</w:t>
                              </w:r>
                            </w:p>
                          </w:tc>
                        </w:tr>
                        <w:tr w:rsidR="00A92FC2" w:rsidRPr="00AE5C52" w14:paraId="65790E64" w14:textId="77777777" w:rsidTr="00A92DA0">
                          <w:trPr>
                            <w:trHeight w:val="170"/>
                          </w:trPr>
                          <w:tc>
                            <w:tcPr>
                              <w:tcW w:w="53.0%" w:type="pct"/>
                              <w:tcBorders>
                                <w:top w:val="single" w:sz="4" w:space="0" w:color="BFBFBF" w:themeColor="background1" w:themeShade="BF"/>
                                <w:start w:val="double" w:sz="4" w:space="0" w:color="auto"/>
                                <w:bottom w:val="single" w:sz="4" w:space="0" w:color="BFBFBF" w:themeColor="background1" w:themeShade="BF"/>
                                <w:end w:val="double" w:sz="4" w:space="0" w:color="auto"/>
                              </w:tcBorders>
                              <w:noWrap/>
                              <w:hideMark/>
                            </w:tcPr>
                            <w:p w14:paraId="66AF4E17" w14:textId="0B171C79" w:rsidR="00A92FC2" w:rsidRPr="00D758EE" w:rsidRDefault="00A92FC2" w:rsidP="002B6A4B">
                              <w:pPr>
                                <w:snapToGrid w:val="0"/>
                                <w:spacing w:line="13.80pt" w:lineRule="auto"/>
                                <w:contextualSpacing/>
                                <w:rPr>
                                  <w:rFonts w:eastAsia="Times New Roman"/>
                                  <w:i/>
                                  <w:color w:val="000000"/>
                                  <w:lang w:eastAsia="zh-CN"/>
                                </w:rPr>
                              </w:pPr>
                              <w:r w:rsidRPr="00CF6CBA">
                                <w:rPr>
                                  <w:rFonts w:eastAsia="Times New Roman"/>
                                  <w:color w:val="000000"/>
                                  <w:lang w:eastAsia="zh-CN"/>
                                </w:rPr>
                                <w:t xml:space="preserve">Time to parking space </w:t>
                              </w:r>
                              <w:r>
                                <w:rPr>
                                  <w:rFonts w:eastAsia="Times New Roman"/>
                                  <w:i/>
                                  <w:color w:val="000000"/>
                                  <w:lang w:eastAsia="zh-CN"/>
                                </w:rPr>
                                <w:t>(Minutes)</w:t>
                              </w:r>
                            </w:p>
                          </w:tc>
                          <w:tc>
                            <w:tcPr>
                              <w:tcW w:w="12.0%" w:type="pct"/>
                              <w:gridSpan w:val="2"/>
                              <w:tcBorders>
                                <w:top w:val="single" w:sz="4" w:space="0" w:color="BFBFBF" w:themeColor="background1" w:themeShade="BF"/>
                                <w:start w:val="double" w:sz="4" w:space="0" w:color="auto"/>
                                <w:bottom w:val="single" w:sz="4" w:space="0" w:color="BFBFBF" w:themeColor="background1" w:themeShade="BF"/>
                                <w:end w:val="double" w:sz="4" w:space="0" w:color="auto"/>
                              </w:tcBorders>
                              <w:noWrap/>
                              <w:hideMark/>
                            </w:tcPr>
                            <w:p w14:paraId="6E53B0F4" w14:textId="2FC02804" w:rsidR="00A92FC2" w:rsidRPr="002B6A4B" w:rsidRDefault="00A92FC2" w:rsidP="002B6A4B">
                              <w:pPr>
                                <w:snapToGrid w:val="0"/>
                                <w:spacing w:line="13.80pt" w:lineRule="auto"/>
                                <w:contextualSpacing/>
                                <w:rPr>
                                  <w:rFonts w:eastAsia="Times New Roman"/>
                                  <w:color w:val="000000"/>
                                  <w:lang w:eastAsia="zh-CN"/>
                                </w:rPr>
                              </w:pPr>
                              <w:r w:rsidRPr="002B6A4B">
                                <w:rPr>
                                  <w:rFonts w:eastAsia="Times New Roman"/>
                                  <w:color w:val="000000"/>
                                  <w:lang w:eastAsia="zh-CN"/>
                                </w:rPr>
                                <w:t>1</w:t>
                              </w:r>
                            </w:p>
                          </w:tc>
                          <w:tc>
                            <w:tcPr>
                              <w:tcW w:w="16.0%" w:type="pct"/>
                              <w:tcBorders>
                                <w:top w:val="single" w:sz="4" w:space="0" w:color="BFBFBF" w:themeColor="background1" w:themeShade="BF"/>
                                <w:start w:val="double" w:sz="4" w:space="0" w:color="auto"/>
                                <w:bottom w:val="single" w:sz="4" w:space="0" w:color="BFBFBF" w:themeColor="background1" w:themeShade="BF"/>
                                <w:end w:val="double" w:sz="4" w:space="0" w:color="auto"/>
                              </w:tcBorders>
                              <w:noWrap/>
                              <w:hideMark/>
                            </w:tcPr>
                            <w:p w14:paraId="1BB8705C" w14:textId="221536AE" w:rsidR="00A92FC2" w:rsidRPr="002B6A4B" w:rsidRDefault="00A92FC2" w:rsidP="002B6A4B">
                              <w:pPr>
                                <w:snapToGrid w:val="0"/>
                                <w:spacing w:line="13.80pt" w:lineRule="auto"/>
                                <w:contextualSpacing/>
                                <w:rPr>
                                  <w:rFonts w:eastAsia="Times New Roman"/>
                                  <w:color w:val="000000"/>
                                  <w:lang w:eastAsia="zh-CN"/>
                                </w:rPr>
                              </w:pPr>
                              <w:r w:rsidRPr="002B6A4B">
                                <w:rPr>
                                  <w:rFonts w:eastAsia="Times New Roman"/>
                                  <w:color w:val="000000"/>
                                  <w:lang w:eastAsia="zh-CN"/>
                                </w:rPr>
                                <w:t>5</w:t>
                              </w:r>
                            </w:p>
                          </w:tc>
                          <w:tc>
                            <w:tcPr>
                              <w:tcW w:w="19.0%" w:type="pct"/>
                              <w:tcBorders>
                                <w:top w:val="single" w:sz="4" w:space="0" w:color="BFBFBF" w:themeColor="background1" w:themeShade="BF"/>
                                <w:start w:val="double" w:sz="4" w:space="0" w:color="auto"/>
                                <w:bottom w:val="single" w:sz="4" w:space="0" w:color="BFBFBF" w:themeColor="background1" w:themeShade="BF"/>
                                <w:end w:val="double" w:sz="4" w:space="0" w:color="auto"/>
                              </w:tcBorders>
                              <w:noWrap/>
                              <w:hideMark/>
                            </w:tcPr>
                            <w:p w14:paraId="0DBB4CAC" w14:textId="6F040729" w:rsidR="00A92FC2" w:rsidRPr="002B6A4B" w:rsidRDefault="00A92FC2" w:rsidP="002B6A4B">
                              <w:pPr>
                                <w:snapToGrid w:val="0"/>
                                <w:spacing w:line="13.80pt" w:lineRule="auto"/>
                                <w:contextualSpacing/>
                                <w:rPr>
                                  <w:rFonts w:eastAsia="Times New Roman"/>
                                  <w:color w:val="000000"/>
                                  <w:lang w:eastAsia="zh-CN"/>
                                </w:rPr>
                              </w:pPr>
                              <w:r w:rsidRPr="002B6A4B">
                                <w:rPr>
                                  <w:rFonts w:eastAsia="Times New Roman"/>
                                  <w:color w:val="000000"/>
                                  <w:lang w:eastAsia="zh-CN"/>
                                </w:rPr>
                                <w:t>10</w:t>
                              </w:r>
                            </w:p>
                          </w:tc>
                        </w:tr>
                        <w:tr w:rsidR="00A92FC2" w:rsidRPr="00AE5C52" w14:paraId="0D718C33" w14:textId="77777777" w:rsidTr="00A92DA0">
                          <w:trPr>
                            <w:trHeight w:val="170"/>
                          </w:trPr>
                          <w:tc>
                            <w:tcPr>
                              <w:tcW w:w="53.0%" w:type="pct"/>
                              <w:tcBorders>
                                <w:top w:val="single" w:sz="4" w:space="0" w:color="BFBFBF" w:themeColor="background1" w:themeShade="BF"/>
                                <w:start w:val="double" w:sz="4" w:space="0" w:color="auto"/>
                                <w:bottom w:val="double" w:sz="4" w:space="0" w:color="auto"/>
                                <w:end w:val="double" w:sz="4" w:space="0" w:color="auto"/>
                              </w:tcBorders>
                              <w:noWrap/>
                              <w:hideMark/>
                            </w:tcPr>
                            <w:p w14:paraId="7029FD19" w14:textId="77777777" w:rsidR="00A92FC2" w:rsidRPr="002B6A4B" w:rsidRDefault="00A92FC2" w:rsidP="002B6A4B">
                              <w:pPr>
                                <w:snapToGrid w:val="0"/>
                                <w:spacing w:line="13.80pt" w:lineRule="auto"/>
                                <w:contextualSpacing/>
                                <w:rPr>
                                  <w:rFonts w:eastAsia="Times New Roman"/>
                                  <w:color w:val="000000"/>
                                  <w:lang w:eastAsia="zh-CN"/>
                                </w:rPr>
                              </w:pPr>
                              <w:r w:rsidRPr="002B6A4B">
                                <w:rPr>
                                  <w:rFonts w:eastAsia="Times New Roman"/>
                                  <w:color w:val="000000"/>
                                  <w:lang w:eastAsia="zh-CN"/>
                                </w:rPr>
                                <w:t>House type</w:t>
                              </w:r>
                            </w:p>
                          </w:tc>
                          <w:tc>
                            <w:tcPr>
                              <w:tcW w:w="12.0%" w:type="pct"/>
                              <w:gridSpan w:val="2"/>
                              <w:tcBorders>
                                <w:top w:val="single" w:sz="4" w:space="0" w:color="BFBFBF" w:themeColor="background1" w:themeShade="BF"/>
                                <w:start w:val="double" w:sz="4" w:space="0" w:color="auto"/>
                                <w:bottom w:val="double" w:sz="4" w:space="0" w:color="auto"/>
                                <w:end w:val="double" w:sz="4" w:space="0" w:color="auto"/>
                              </w:tcBorders>
                              <w:noWrap/>
                              <w:hideMark/>
                            </w:tcPr>
                            <w:p w14:paraId="15DFA211" w14:textId="77777777" w:rsidR="00A92FC2" w:rsidRPr="002B6A4B" w:rsidRDefault="00A92FC2" w:rsidP="002B6A4B">
                              <w:pPr>
                                <w:snapToGrid w:val="0"/>
                                <w:spacing w:line="13.80pt" w:lineRule="auto"/>
                                <w:contextualSpacing/>
                                <w:rPr>
                                  <w:rFonts w:eastAsia="Times New Roman"/>
                                  <w:color w:val="000000"/>
                                  <w:lang w:eastAsia="zh-CN"/>
                                </w:rPr>
                              </w:pPr>
                              <w:r w:rsidRPr="002B6A4B">
                                <w:rPr>
                                  <w:rFonts w:eastAsia="Times New Roman"/>
                                  <w:color w:val="000000"/>
                                  <w:lang w:eastAsia="zh-CN"/>
                                </w:rPr>
                                <w:t>Apartment</w:t>
                              </w:r>
                            </w:p>
                          </w:tc>
                          <w:tc>
                            <w:tcPr>
                              <w:tcW w:w="16.0%" w:type="pct"/>
                              <w:tcBorders>
                                <w:top w:val="single" w:sz="4" w:space="0" w:color="BFBFBF" w:themeColor="background1" w:themeShade="BF"/>
                                <w:start w:val="double" w:sz="4" w:space="0" w:color="auto"/>
                                <w:bottom w:val="double" w:sz="4" w:space="0" w:color="auto"/>
                                <w:end w:val="double" w:sz="4" w:space="0" w:color="auto"/>
                              </w:tcBorders>
                              <w:noWrap/>
                              <w:hideMark/>
                            </w:tcPr>
                            <w:p w14:paraId="3F5934ED" w14:textId="77777777" w:rsidR="00A92FC2" w:rsidRPr="002B6A4B" w:rsidRDefault="00A92FC2" w:rsidP="002B6A4B">
                              <w:pPr>
                                <w:snapToGrid w:val="0"/>
                                <w:spacing w:line="13.80pt" w:lineRule="auto"/>
                                <w:contextualSpacing/>
                                <w:rPr>
                                  <w:rFonts w:eastAsia="Times New Roman"/>
                                  <w:color w:val="000000"/>
                                  <w:lang w:eastAsia="zh-CN"/>
                                </w:rPr>
                              </w:pPr>
                              <w:r w:rsidRPr="002B6A4B">
                                <w:rPr>
                                  <w:rFonts w:eastAsia="Times New Roman"/>
                                  <w:color w:val="000000"/>
                                  <w:lang w:eastAsia="zh-CN"/>
                                </w:rPr>
                                <w:t>Terraced house</w:t>
                              </w:r>
                            </w:p>
                          </w:tc>
                          <w:tc>
                            <w:tcPr>
                              <w:tcW w:w="19.0%" w:type="pct"/>
                              <w:tcBorders>
                                <w:top w:val="single" w:sz="4" w:space="0" w:color="BFBFBF" w:themeColor="background1" w:themeShade="BF"/>
                                <w:start w:val="double" w:sz="4" w:space="0" w:color="auto"/>
                                <w:bottom w:val="double" w:sz="4" w:space="0" w:color="auto"/>
                                <w:end w:val="double" w:sz="4" w:space="0" w:color="auto"/>
                              </w:tcBorders>
                              <w:noWrap/>
                              <w:hideMark/>
                            </w:tcPr>
                            <w:p w14:paraId="5C503E44" w14:textId="77777777" w:rsidR="00A92FC2" w:rsidRPr="002B6A4B" w:rsidRDefault="00A92FC2" w:rsidP="002B6A4B">
                              <w:pPr>
                                <w:snapToGrid w:val="0"/>
                                <w:spacing w:line="13.80pt" w:lineRule="auto"/>
                                <w:contextualSpacing/>
                                <w:rPr>
                                  <w:rFonts w:eastAsia="Times New Roman"/>
                                  <w:color w:val="000000"/>
                                  <w:lang w:eastAsia="zh-CN"/>
                                </w:rPr>
                              </w:pPr>
                              <w:r w:rsidRPr="002B6A4B">
                                <w:rPr>
                                  <w:rFonts w:eastAsia="Times New Roman"/>
                                  <w:color w:val="000000"/>
                                  <w:lang w:eastAsia="zh-CN"/>
                                </w:rPr>
                                <w:t>Detached house</w:t>
                              </w:r>
                            </w:p>
                          </w:tc>
                        </w:tr>
                        <w:tr w:rsidR="00A92FC2" w:rsidRPr="00850A9C" w14:paraId="39987A8E" w14:textId="77777777" w:rsidTr="004E7903">
                          <w:trPr>
                            <w:trHeight w:val="288"/>
                          </w:trPr>
                          <w:tc>
                            <w:tcPr>
                              <w:tcW w:w="58.0%" w:type="pct"/>
                              <w:gridSpan w:val="2"/>
                              <w:tcBorders>
                                <w:top w:val="double" w:sz="4" w:space="0" w:color="auto"/>
                                <w:start w:val="nil"/>
                                <w:end w:val="nil"/>
                              </w:tcBorders>
                              <w:noWrap/>
                            </w:tcPr>
                            <w:p w14:paraId="581C3DAB" w14:textId="77777777" w:rsidR="00A92FC2" w:rsidRPr="002B6A4B" w:rsidRDefault="00A92FC2" w:rsidP="002B6A4B">
                              <w:pPr>
                                <w:snapToGrid w:val="0"/>
                                <w:spacing w:line="13.80pt" w:lineRule="auto"/>
                                <w:contextualSpacing/>
                                <w:rPr>
                                  <w:rFonts w:eastAsia="Times New Roman"/>
                                  <w:i/>
                                  <w:iCs/>
                                  <w:color w:val="000000"/>
                                  <w:lang w:eastAsia="zh-CN"/>
                                </w:rPr>
                              </w:pPr>
                              <w:r w:rsidRPr="002B6A4B">
                                <w:rPr>
                                  <w:rFonts w:eastAsia="Times New Roman"/>
                                  <w:i/>
                                  <w:iCs/>
                                  <w:color w:val="000000"/>
                                  <w:lang w:eastAsia="zh-CN"/>
                                </w:rPr>
                                <w:t>TT = Calculated travel time,  TC = Calculated travel costs</w:t>
                              </w:r>
                            </w:p>
                          </w:tc>
                          <w:tc>
                            <w:tcPr>
                              <w:tcW w:w="42.0%" w:type="pct"/>
                              <w:gridSpan w:val="3"/>
                              <w:tcBorders>
                                <w:top w:val="double" w:sz="4" w:space="0" w:color="auto"/>
                                <w:start w:val="nil"/>
                                <w:end w:val="nil"/>
                              </w:tcBorders>
                            </w:tcPr>
                            <w:p w14:paraId="4E76AB5A" w14:textId="77777777" w:rsidR="00A92FC2" w:rsidRPr="002B6A4B" w:rsidRDefault="00A92FC2" w:rsidP="002B6A4B">
                              <w:pPr>
                                <w:keepNext/>
                                <w:snapToGrid w:val="0"/>
                                <w:spacing w:line="13.80pt" w:lineRule="auto"/>
                                <w:contextualSpacing/>
                                <w:rPr>
                                  <w:rFonts w:eastAsia="Times New Roman"/>
                                  <w:color w:val="000000"/>
                                  <w:lang w:eastAsia="zh-CN"/>
                                </w:rPr>
                              </w:pPr>
                            </w:p>
                          </w:tc>
                        </w:tr>
                        <w:tr w:rsidR="00A92FC2" w:rsidRPr="00850A9C" w14:paraId="3ADE8CDD" w14:textId="77777777" w:rsidTr="004E7903">
                          <w:trPr>
                            <w:trHeight w:val="288"/>
                          </w:trPr>
                          <w:tc>
                            <w:tcPr>
                              <w:tcW w:w="58.0%" w:type="pct"/>
                              <w:gridSpan w:val="2"/>
                              <w:tcBorders>
                                <w:start w:val="nil"/>
                                <w:bottom w:val="nil"/>
                                <w:end w:val="nil"/>
                              </w:tcBorders>
                              <w:noWrap/>
                            </w:tcPr>
                            <w:p w14:paraId="29A271C7" w14:textId="77777777" w:rsidR="00A92FC2" w:rsidRPr="002B6A4B" w:rsidRDefault="00A92FC2" w:rsidP="002B6A4B">
                              <w:pPr>
                                <w:snapToGrid w:val="0"/>
                                <w:spacing w:line="13.80pt" w:lineRule="auto"/>
                                <w:contextualSpacing/>
                                <w:rPr>
                                  <w:rFonts w:eastAsia="Times New Roman"/>
                                  <w:i/>
                                  <w:iCs/>
                                  <w:color w:val="000000"/>
                                  <w:lang w:eastAsia="zh-CN"/>
                                </w:rPr>
                              </w:pPr>
                            </w:p>
                          </w:tc>
                          <w:tc>
                            <w:tcPr>
                              <w:tcW w:w="42.0%" w:type="pct"/>
                              <w:gridSpan w:val="3"/>
                              <w:tcBorders>
                                <w:start w:val="nil"/>
                                <w:bottom w:val="nil"/>
                                <w:end w:val="nil"/>
                              </w:tcBorders>
                            </w:tcPr>
                            <w:p w14:paraId="57F3B11D" w14:textId="77777777" w:rsidR="00A92FC2" w:rsidRPr="002B6A4B" w:rsidRDefault="00A92FC2" w:rsidP="002B6A4B">
                              <w:pPr>
                                <w:keepNext/>
                                <w:snapToGrid w:val="0"/>
                                <w:spacing w:line="13.80pt" w:lineRule="auto"/>
                                <w:contextualSpacing/>
                                <w:rPr>
                                  <w:rFonts w:eastAsia="Times New Roman"/>
                                  <w:color w:val="000000"/>
                                  <w:lang w:eastAsia="zh-CN"/>
                                </w:rPr>
                              </w:pPr>
                            </w:p>
                          </w:tc>
                        </w:tr>
                      </w:tbl>
                      <w:p w14:paraId="06CEC046" w14:textId="77777777" w:rsidR="00A92FC2" w:rsidRPr="00850A9C" w:rsidRDefault="00A92FC2" w:rsidP="00842673">
                        <w:pPr>
                          <w:jc w:val="both"/>
                        </w:pP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sidR="004E33F6" w:rsidRPr="004E33F6">
        <w:rPr>
          <w:bCs/>
        </w:rPr>
        <w:t xml:space="preserve">The attractiveness of mobility hubs is researched with a case study. In the city of Utrecht, the Netherlands, city plans are in place to build a new neighborhood, namely the </w:t>
      </w:r>
      <w:proofErr w:type="spellStart"/>
      <w:r w:rsidR="004E33F6" w:rsidRPr="004E33F6">
        <w:rPr>
          <w:bCs/>
        </w:rPr>
        <w:t>Merwedekanaalzone</w:t>
      </w:r>
      <w:proofErr w:type="spellEnd"/>
      <w:r w:rsidR="00A92DA0" w:rsidRPr="00A92DA0">
        <w:rPr>
          <w:bCs/>
          <w:lang w:val="en-US"/>
        </w:rPr>
        <w:t xml:space="preserve"> </w:t>
      </w:r>
      <w:r w:rsidR="00A92DA0">
        <w:rPr>
          <w:bCs/>
          <w:lang w:val="en-US"/>
        </w:rPr>
        <w:fldChar w:fldCharType="begin" w:fldLock="1"/>
      </w:r>
      <w:r w:rsidR="00A92DA0">
        <w:rPr>
          <w:bCs/>
          <w:lang w:val="en-US"/>
        </w:rPr>
        <w:instrText>ADDIN CSL_CITATION {"citationItems":[{"id":"ITEM-1","itemData":{"URL":"https://www.utrecht.nl/wonen-en-leven/bouwen/bouwprojecten/merwedekanaalzone/","author":[{"dropping-particle":"","family":"Gemeente Utrecht","given":"","non-dropping-particle":"","parse-names":false,"suffix":""}],"id":"ITEM-1","issued":{"date-parts":[["2019"]]},"title":"Merwedekanaalzone","type":"webpage"},"uris":["http://www.mendeley.com/documents/?uuid=26e04705-5f44-4659-988c-ee220069c30c"]}],"mendeley":{"formattedCitation":"[42]","plainTextFormattedCitation":"[42]","previouslyFormattedCitation":"[42]"},"properties":{"noteIndex":0},"schema":"https://github.com/citation-style-language/schema/raw/master/csl-citation.json"}</w:instrText>
      </w:r>
      <w:r w:rsidR="00A92DA0">
        <w:rPr>
          <w:bCs/>
          <w:lang w:val="en-US"/>
        </w:rPr>
        <w:fldChar w:fldCharType="separate"/>
      </w:r>
      <w:r w:rsidR="00A92DA0" w:rsidRPr="00A92DA0">
        <w:rPr>
          <w:bCs/>
          <w:noProof/>
          <w:lang w:val="en-US"/>
        </w:rPr>
        <w:t>[42]</w:t>
      </w:r>
      <w:r w:rsidR="00A92DA0">
        <w:rPr>
          <w:bCs/>
          <w:lang w:val="en-US"/>
        </w:rPr>
        <w:fldChar w:fldCharType="end"/>
      </w:r>
      <w:r w:rsidR="004E33F6" w:rsidRPr="004E33F6">
        <w:rPr>
          <w:bCs/>
        </w:rPr>
        <w:t>.</w:t>
      </w:r>
      <w:r w:rsidR="001F09EE" w:rsidRPr="001F09EE">
        <w:rPr>
          <w:bCs/>
          <w:lang w:val="en-US"/>
        </w:rPr>
        <w:t xml:space="preserve"> </w:t>
      </w:r>
      <w:r w:rsidR="004E33F6" w:rsidRPr="004E33F6">
        <w:rPr>
          <w:bCs/>
        </w:rPr>
        <w:t xml:space="preserve">This neighborhood provides living spaces for between 6,000 and 10,000 residents on a surface area of 65 hectares, which means space is scarce. Hence, the development works with a parking norm of 0.3 parking spaces per household. To compensate for the lack of parking, the neighborhood is planned entirely around mobility hubs, which provide quick access to public transit, shared cars, shared </w:t>
      </w:r>
      <w:r w:rsidR="004E33F6" w:rsidRPr="004E33F6">
        <w:rPr>
          <w:bCs/>
        </w:rPr>
        <w:t xml:space="preserve">bicycles, and a variety of mobility services. At the time of writing, 6,000 dwellings are planned for development between 2020 and 2025. </w:t>
      </w:r>
    </w:p>
    <w:p w14:paraId="1E1335A6" w14:textId="2D66C47E" w:rsidR="004E33F6" w:rsidRDefault="004E33F6" w:rsidP="004E33F6">
      <w:pPr>
        <w:pStyle w:val="Plattetekst"/>
        <w:rPr>
          <w:bCs/>
        </w:rPr>
      </w:pPr>
      <w:r w:rsidRPr="004E33F6">
        <w:rPr>
          <w:bCs/>
        </w:rPr>
        <w:t xml:space="preserve">Past studies have made use of dynamic survey designs containing a choice experiment for the collection of discrete choice data </w:t>
      </w:r>
      <w:r w:rsidRPr="004E33F6">
        <w:rPr>
          <w:bCs/>
        </w:rPr>
        <w:fldChar w:fldCharType="begin" w:fldLock="1"/>
      </w:r>
      <w:r w:rsidR="00A92DA0">
        <w:rPr>
          <w:bCs/>
        </w:rPr>
        <w:instrText>ADDIN CSL_CITATION {"citationItems":[{"id":"ITEM-1","itemData":{"DOI":"10.1016/j.procs.2013.06.116","ISSN":"18770509","author":[{"dropping-particle":"","family":"Cavalcante","given":"Rinaldo A.","non-dropping-particle":"","parse-names":false,"suffix":""}],"container-title":"Procedia Computer Science","id":"ITEM-1","issued":{"date-parts":[["2013"]]},"publisher":"University of Toronto","title":"Freight market interactions simulation (FREMIS): An agent- based modeling framework","type":"thesis"},"uris":["http://www.mendeley.com/documents/?uuid=310e7853-a916-45e1-af2f-53c054d7d436"]}],"mendeley":{"formattedCitation":"[43]","plainTextFormattedCitation":"[43]","previouslyFormattedCitation":"[43]"},"properties":{"noteIndex":0},"schema":"https://github.com/citation-style-language/schema/raw/master/csl-citation.json"}</w:instrText>
      </w:r>
      <w:r w:rsidRPr="004E33F6">
        <w:rPr>
          <w:bCs/>
        </w:rPr>
        <w:fldChar w:fldCharType="separate"/>
      </w:r>
      <w:r w:rsidR="00A92DA0" w:rsidRPr="00A92DA0">
        <w:rPr>
          <w:bCs/>
          <w:noProof/>
        </w:rPr>
        <w:t>[43]</w:t>
      </w:r>
      <w:r w:rsidRPr="004E33F6">
        <w:rPr>
          <w:bCs/>
        </w:rPr>
        <w:fldChar w:fldCharType="end"/>
      </w:r>
      <w:r w:rsidRPr="004E33F6">
        <w:rPr>
          <w:bCs/>
        </w:rPr>
        <w:t xml:space="preserve">. This research follows a similar data collection methodology. Following the examples of </w:t>
      </w:r>
      <w:r w:rsidRPr="004E33F6">
        <w:rPr>
          <w:bCs/>
        </w:rPr>
        <w:fldChar w:fldCharType="begin" w:fldLock="1"/>
      </w:r>
      <w:r w:rsidR="001C7897">
        <w:rPr>
          <w:bCs/>
        </w:rPr>
        <w:instrText>ADDIN CSL_CITATION {"citationItems":[{"id":"ITEM-1","itemData":{"DOI":"10.1007/s11116-018-9927-y","ISBN":"0123456789","ISSN":"1572-9435","author":[{"dropping-particle":"","family":"Guo","given":"Jia","non-dropping-particle":"","parse-names":false,"suffix":""},{"dropping-particle":"","family":"Feng","given":"Tao","non-dropping-particle":"","parse-names":false,"suffix":""},{"dropping-particle":"","family":"Timmermans","given":"Harry J P","non-dropping-particle":"","parse-names":false,"suffix":""}],"container-title":"Transportation","id":"ITEM-1","issue":"0123456789","issued":{"date-parts":[["2018"]]},"publisher":"Springer US","title":"Modeling co ‑ dependent choice of workplace , residence and commuting mode using an error component mixed logit model","type":"article-journal"},"uris":["http://www.mendeley.com/documents/?uuid=974a02f3-f641-4ade-8bca-a1b0606b0eee"]},{"id":"ITEM-2","itemData":{"DOI":"10.1016/j.tra.2019.06.016","ISSN":"0965-8564","author":[{"dropping-particle":"","family":"Ardeshiri","given":"Ali","non-dropping-particle":"","parse-names":false,"suffix":""},{"dropping-particle":"","family":"Vij","given":"Akshay","non-dropping-particle":"","parse-names":false,"suffix":""}],"container-title":"Transportation Research Part A","id":"ITEM-2","issue":"September 2018","issued":{"date-parts":[["2019"]]},"page":"342-359","publisher":"Elsevier","title":"Lifestyles , residential location , and transport mode use : A hierarchical latent class choice model","type":"article-journal","volume":"126"},"uris":["http://www.mendeley.com/documents/?uuid=ba8bcc35-83ac-482b-b581-d37c67fbf763"]}],"mendeley":{"formattedCitation":"[40], [41]","manualFormatting":"Ardeshiri &amp; Vij ","plainTextFormattedCitation":"[40], [41]","previouslyFormattedCitation":"[40], [41]"},"properties":{"noteIndex":0},"schema":"https://github.com/citation-style-language/schema/raw/master/csl-citation.json"}</w:instrText>
      </w:r>
      <w:r w:rsidRPr="004E33F6">
        <w:rPr>
          <w:bCs/>
        </w:rPr>
        <w:fldChar w:fldCharType="separate"/>
      </w:r>
      <w:r w:rsidRPr="004E33F6">
        <w:rPr>
          <w:bCs/>
          <w:noProof/>
        </w:rPr>
        <w:t xml:space="preserve">Ardeshiri &amp; Vij </w:t>
      </w:r>
      <w:r w:rsidRPr="004E33F6">
        <w:rPr>
          <w:bCs/>
        </w:rPr>
        <w:fldChar w:fldCharType="end"/>
      </w:r>
      <w:r w:rsidR="001C7897">
        <w:rPr>
          <w:bCs/>
        </w:rPr>
        <w:fldChar w:fldCharType="begin" w:fldLock="1"/>
      </w:r>
      <w:r w:rsidR="001C7897">
        <w:rPr>
          <w:bCs/>
        </w:rPr>
        <w:instrText>ADDIN CSL_CITATION {"citationItems":[{"id":"ITEM-1","itemData":{"DOI":"10.1016/j.tra.2019.06.016","ISSN":"0965-8564","author":[{"dropping-particle":"","family":"Ardeshiri","given":"Ali","non-dropping-particle":"","parse-names":false,"suffix":""},{"dropping-particle":"","family":"Vij","given":"Akshay","non-dropping-particle":"","parse-names":false,"suffix":""}],"container-title":"Transportation Research Part A","id":"ITEM-1","issue":"September 2018","issued":{"date-parts":[["2019"]]},"page":"342-359","publisher":"Elsevier","title":"Lifestyles , residential location , and transport mode use : A hierarchical latent class choice model","type":"article-journal","volume":"126"},"uris":["http://www.mendeley.com/documents/?uuid=ba8bcc35-83ac-482b-b581-d37c67fbf763"]}],"mendeley":{"formattedCitation":"[41]","plainTextFormattedCitation":"[41]","previouslyFormattedCitation":"[41]"},"properties":{"noteIndex":0},"schema":"https://github.com/citation-style-language/schema/raw/master/csl-citation.json"}</w:instrText>
      </w:r>
      <w:r w:rsidR="001C7897">
        <w:rPr>
          <w:bCs/>
        </w:rPr>
        <w:fldChar w:fldCharType="separate"/>
      </w:r>
      <w:r w:rsidR="001C7897" w:rsidRPr="001C7897">
        <w:rPr>
          <w:bCs/>
          <w:noProof/>
        </w:rPr>
        <w:t>[41]</w:t>
      </w:r>
      <w:r w:rsidR="001C7897">
        <w:rPr>
          <w:bCs/>
        </w:rPr>
        <w:fldChar w:fldCharType="end"/>
      </w:r>
      <w:r w:rsidR="001C7897" w:rsidRPr="001C7897">
        <w:rPr>
          <w:bCs/>
          <w:lang w:val="en-US"/>
        </w:rPr>
        <w:t xml:space="preserve"> an</w:t>
      </w:r>
      <w:r w:rsidR="001C7897">
        <w:rPr>
          <w:bCs/>
          <w:lang w:val="en-US"/>
        </w:rPr>
        <w:t xml:space="preserve">d </w:t>
      </w:r>
      <w:r w:rsidR="001C7897" w:rsidRPr="004E33F6">
        <w:rPr>
          <w:bCs/>
          <w:noProof/>
        </w:rPr>
        <w:t xml:space="preserve">Guo et al. </w:t>
      </w:r>
      <w:r w:rsidR="001C7897">
        <w:rPr>
          <w:bCs/>
          <w:noProof/>
        </w:rPr>
        <w:fldChar w:fldCharType="begin" w:fldLock="1"/>
      </w:r>
      <w:r w:rsidR="004B1B2E">
        <w:rPr>
          <w:bCs/>
          <w:noProof/>
        </w:rPr>
        <w:instrText>ADDIN CSL_CITATION {"citationItems":[{"id":"ITEM-1","itemData":{"DOI":"10.1007/s11116-018-9927-y","ISBN":"0123456789","ISSN":"1572-9435","author":[{"dropping-particle":"","family":"Guo","given":"Jia","non-dropping-particle":"","parse-names":false,"suffix":""},{"dropping-particle":"","family":"Feng","given":"Tao","non-dropping-particle":"","parse-names":false,"suffix":""},{"dropping-particle":"","family":"Timmermans","given":"Harry J P","non-dropping-particle":"","parse-names":false,"suffix":""}],"container-title":"Transportation","id":"ITEM-1","issue":"0123456789","issued":{"date-parts":[["2018"]]},"publisher":"Springer US","title":"Modeling co ‑ dependent choice of workplace , residence and commuting mode using an error component mixed logit model","type":"article-journal"},"uris":["http://www.mendeley.com/documents/?uuid=974a02f3-f641-4ade-8bca-a1b0606b0eee"]}],"mendeley":{"formattedCitation":"[40]","plainTextFormattedCitation":"[40]","previouslyFormattedCitation":"[40]"},"properties":{"noteIndex":0},"schema":"https://github.com/citation-style-language/schema/raw/master/csl-citation.json"}</w:instrText>
      </w:r>
      <w:r w:rsidR="001C7897">
        <w:rPr>
          <w:bCs/>
          <w:noProof/>
        </w:rPr>
        <w:fldChar w:fldCharType="separate"/>
      </w:r>
      <w:r w:rsidR="001C7897" w:rsidRPr="001C7897">
        <w:rPr>
          <w:bCs/>
          <w:noProof/>
        </w:rPr>
        <w:t>[40]</w:t>
      </w:r>
      <w:r w:rsidR="001C7897">
        <w:rPr>
          <w:bCs/>
          <w:noProof/>
        </w:rPr>
        <w:fldChar w:fldCharType="end"/>
      </w:r>
      <w:r w:rsidRPr="004E33F6">
        <w:rPr>
          <w:bCs/>
        </w:rPr>
        <w:t xml:space="preserve"> the choice experiment poses the respondent with a combined choice of a residential location and a transportation mode to account for RSS-effects. </w:t>
      </w:r>
    </w:p>
    <w:p w14:paraId="61FDEEA1" w14:textId="77777777" w:rsidR="007D1DDC" w:rsidRDefault="007D1DDC" w:rsidP="007D1DDC">
      <w:pPr>
        <w:pStyle w:val="Kop1"/>
        <w:rPr>
          <w:lang w:val="nl-NL"/>
        </w:rPr>
      </w:pPr>
      <w:r>
        <w:rPr>
          <w:lang w:val="nl-NL"/>
        </w:rPr>
        <w:t>METHODOLOGY</w:t>
      </w:r>
    </w:p>
    <w:p w14:paraId="65B881B5" w14:textId="77777777" w:rsidR="007D1DDC" w:rsidRPr="007D1DDC" w:rsidRDefault="007D1DDC" w:rsidP="007D1DDC">
      <w:pPr>
        <w:pStyle w:val="Kop2"/>
      </w:pPr>
      <w:r>
        <w:t>Survey design</w:t>
      </w:r>
    </w:p>
    <w:p w14:paraId="7254FA2E" w14:textId="249F2781" w:rsidR="004E33F6" w:rsidRPr="004E33F6" w:rsidRDefault="004E33F6" w:rsidP="004E33F6">
      <w:pPr>
        <w:pStyle w:val="Plattetekst"/>
        <w:rPr>
          <w:bCs/>
        </w:rPr>
      </w:pPr>
      <w:r w:rsidRPr="004E33F6">
        <w:rPr>
          <w:bCs/>
        </w:rPr>
        <w:t xml:space="preserve">For data collection purposes, in this study inhabitants from the province of Utrecht, the Netherlands, are recruited for an online joint Revealed and Stated preference (RP-SP) survey. Participants are required to be actively employed, live in a single worker household and reside in the province of Utrecht, the Netherlands. Only fully completed responses are considered for analysis. To capture the influences of multiple work locations in a household requires elaborate techniques </w:t>
      </w:r>
      <w:r w:rsidRPr="004E33F6">
        <w:rPr>
          <w:bCs/>
        </w:rPr>
        <w:fldChar w:fldCharType="begin" w:fldLock="1"/>
      </w:r>
      <w:r w:rsidR="00A92DA0">
        <w:rPr>
          <w:bCs/>
        </w:rPr>
        <w:instrText>ADDIN CSL_CITATION {"citationItems":[{"id":"ITEM-1","itemData":{"DOI":"10.1080/23249935.2015.1073405","ISSN":"23249943","abstract":"© 2015 Hong Kong Society for Transportation Studies Limited. This paper investigates the relationship between modal accessibility and the home–work spatial configuration of two-commuter households in an urban area. The home–work spatial configuration is captured by: (a) total commuting distance of the two commuters (from home to work) and (b) the angle between the two work locations (as measured from the common home location). The household travel survey data of 2011 of the National Capital Region is used for the empirical investigation. The empirical investigation reveals that higher modal accessibility increases the angle and reduces the total commuting distance. This investigation also reveals that certain two-commuter households are not able to optimise their home location in terms of widening the angles and reducing total distances. A correlation between total commuting distance and angle between work locations is observed such that angle decreases as the distance between home location and the Central Business District (CBD) increases. We infer that two-commuter households located far from the CBD live in predominantly residential areas that lack employment centres. As such, land use policies should guide development in areas far from the CBD towards mixed land uses. These findings are useful for urban transportation and land use planning since the proportion of two-commuter households is increasing in many urban areas.","author":[{"dropping-particle":"","family":"Akbari","given":"Saidal","non-dropping-particle":"","parse-names":false,"suffix":""},{"dropping-particle":"","family":"Habib","given":"Khandker Nurul","non-dropping-particle":"","parse-names":false,"suffix":""}],"container-title":"Transportmetrica A: Transport Science","id":"ITEM-1","issue":"10","issued":{"date-parts":[["2015"]]},"page":"897-917","title":"An econometric investigation on the relationship between modal accessibility and the home–work spatial configuration of two-commuter households","type":"article-journal","volume":"11"},"uris":["http://www.mendeley.com/documents/?uuid=355ffc9f-9cc1-448d-8bb2-2c7c39f77e2e"]},{"id":"ITEM-2","itemData":{"DOI":"10.1016/j.tra.2013.03.003","ISSN":"09658564","abstract":"Two-worker households have received a great deal of attention in the academic literature pertaining to transportation and land use planning. Two-worker households are likely to play an increasingly important role in determining future transportation demand but their expected impact has been subject to debate. This research uses a novel approach to quantify the degree to which partner commute distance affects individual commute distance. It quantifies the degree to which partners adjust their behavior to reduce total commute distance. It also provides empirical evidence that two-worker households do indeed adjust their residence workplace configuration to reduce commute distance. It does so through the use of an adaptation of common approaches to analyzing commute distance (modeling total as well as individual commute distances) with innovative variables inspired by the literature on household location and tenure. Findings from this study reconfirm the empirical research suggesting that members of two-worker households travel the same or less than one-worker households. They also confirm that partner commute distance has a positive impact on individual commute distance, suggesting partner commute distance is complementary. At the same time, it is shown that this does not imply that partner's do not trade-off commute distance, rather two-worker households apply strategies to decrease their total commuting distance. This research could help policy makers in better understanding the commuting patterns of two-worker households to help in adapting land use and transportation policies that can address the needs of this growing population group. © 2013 Elsevier Ltd.","author":[{"dropping-particle":"","family":"Surprenant-Legault","given":"Julien","non-dropping-particle":"","parse-names":false,"suffix":""},{"dropping-particle":"","family":"Patterson","given":"Zachary","non-dropping-particle":"","parse-names":false,"suffix":""},{"dropping-particle":"","family":"El-Geneidy","given":"Ahmed M.","non-dropping-particle":"","parse-names":false,"suffix":""}],"container-title":"Transportation Research Part A: Policy and Practice","id":"ITEM-2","issued":{"date-parts":[["2013"]]},"page":"12-28","publisher":"Elsevier Ltd","title":"Commuting trade-offs and distance reduction in two-worker households","type":"article-journal","volume":"51"},"uris":["http://www.mendeley.com/documents/?uuid=2aa3d4aa-28ef-4f86-b13e-72503679898e"]},{"id":"ITEM-3","itemData":{"DOI":"10.1016/j.trd.2018.10.015","ISSN":"13619209","abstract":"Residential self-selection has been acknowledged as a key issue underlining the link between the built environment and travel behavior. Existing studies often implicitly assume that residential choice is a decision of an individual and the influence of intra-household interactions is not considered. In reality, residential choice is a decision often made at the household-level involving more than one household members. Similarly, car ownership is usually a household-level decision incorporating views of different household members. In both cases, the travel related attitudes of more than one household members may play a role in the decision making. In other words, there is an issue concerning residential self-selection (similarly car ownership self-selection): whose self-selection? This paper makes an attempt to probe into this question by examining the self-selection issues concerning residential location choice and car ownership decision from the perspective of households, by incorporating the travel attitudes and travel behaviors of two household heads into an integrated self-selection framework. Data are derived from a household sample survey involving two-day activity-travel diaries conducted in 2016 in Beijing, China. Multivariate modeling results show that household members play different roles in household decisions with travel implications: in general husbands’ travel attitudes have relatively more influence in residential choice and car ownership decision than wives’. Nevertheless, wives’ travel attitudes have more power than husbands’ in explaining the commuting distances of both husbands and wives. Some distinct features of the residential and car ownership self-selections in the Chinese context are also identified and discussed in this paper.","author":[{"dropping-particle":"","family":"Guan","given":"Xiaodong","non-dropping-particle":"","parse-names":false,"suffix":""},{"dropping-particle":"","family":"Wang","given":"Donggen","non-dropping-particle":"","parse-names":false,"suffix":""}],"container-title":"Transportation Research Part D: Transport and Environment","id":"ITEM-3","issue":"November 2018","issued":{"date-parts":[["2019"]]},"page":"16-32","publisher":"Elsevier","title":"Residential self-selection in the built environment-travel behavior connection: Whose self-selection?","type":"article-journal","volume":"67"},"uris":["http://www.mendeley.com/documents/?uuid=98ace396-889a-4abf-ab91-70e8b337381f"]}],"mendeley":{"formattedCitation":"[25], [26], [44]","plainTextFormattedCitation":"[25], [26], [44]","previouslyFormattedCitation":"[25], [26], [44]"},"properties":{"noteIndex":0},"schema":"https://github.com/citation-style-language/schema/raw/master/csl-citation.json"}</w:instrText>
      </w:r>
      <w:r w:rsidRPr="004E33F6">
        <w:rPr>
          <w:bCs/>
        </w:rPr>
        <w:fldChar w:fldCharType="separate"/>
      </w:r>
      <w:r w:rsidR="00A92DA0" w:rsidRPr="00A92DA0">
        <w:rPr>
          <w:bCs/>
          <w:noProof/>
        </w:rPr>
        <w:t>[25], [26], [44]</w:t>
      </w:r>
      <w:r w:rsidRPr="004E33F6">
        <w:rPr>
          <w:bCs/>
        </w:rPr>
        <w:fldChar w:fldCharType="end"/>
      </w:r>
      <w:r w:rsidRPr="004E33F6">
        <w:rPr>
          <w:bCs/>
        </w:rPr>
        <w:t xml:space="preserve">, which are beyond the scope of this research. The focus on single worker households eliminates this complexity while also maintaining validity. </w:t>
      </w:r>
    </w:p>
    <w:p w14:paraId="410EB976" w14:textId="7BB43BA7" w:rsidR="00357F65" w:rsidRDefault="004E33F6" w:rsidP="00357F65">
      <w:pPr>
        <w:pStyle w:val="Plattetekst"/>
        <w:rPr>
          <w:bCs/>
          <w:lang w:val="en-US"/>
        </w:rPr>
      </w:pPr>
      <w:r w:rsidRPr="004E33F6">
        <w:rPr>
          <w:bCs/>
        </w:rPr>
        <w:t xml:space="preserve">Using </w:t>
      </w:r>
      <w:proofErr w:type="spellStart"/>
      <w:r w:rsidRPr="004E33F6">
        <w:rPr>
          <w:bCs/>
        </w:rPr>
        <w:t>LimeSurvey</w:t>
      </w:r>
      <w:proofErr w:type="spellEnd"/>
      <w:r w:rsidRPr="004E33F6">
        <w:rPr>
          <w:bCs/>
        </w:rPr>
        <w:t>, a dynamic RP-SP survey is designed which captures commuting travel behavior, information about the existing and preferred residential location, work location, and socioeconomic variables. In the RP part of the survey, participants’ recent work trip information (of the respondent’s last work day), accompaniment type, current housing cost, etc. are asked.</w:t>
      </w:r>
    </w:p>
    <w:p w14:paraId="5F68DFE0" w14:textId="39057EE8" w:rsidR="00842673" w:rsidRPr="00842673" w:rsidRDefault="004E33F6" w:rsidP="00842673">
      <w:pPr>
        <w:pStyle w:val="Plattetekst"/>
        <w:rPr>
          <w:noProof/>
          <w:lang w:val="en-US"/>
        </w:rPr>
      </w:pPr>
      <w:r w:rsidRPr="004E33F6">
        <w:rPr>
          <w:bCs/>
        </w:rPr>
        <w:t>For the SP part of the survey, as Louviere et al.</w:t>
      </w:r>
      <w:r w:rsidR="00A92DA0" w:rsidRPr="00A92DA0">
        <w:rPr>
          <w:bCs/>
          <w:lang w:val="en-US"/>
        </w:rPr>
        <w:t xml:space="preserve"> </w:t>
      </w:r>
      <w:r w:rsidR="00A92DA0">
        <w:rPr>
          <w:bCs/>
          <w:lang w:val="en-US"/>
        </w:rPr>
        <w:fldChar w:fldCharType="begin" w:fldLock="1"/>
      </w:r>
      <w:r w:rsidR="00A92DA0">
        <w:rPr>
          <w:bCs/>
          <w:lang w:val="en-US"/>
        </w:rPr>
        <w:instrText>ADDIN CSL_CITATION {"citationItems":[{"id":"ITEM-1","itemData":{"DOI":"10.1017/cbo9780511753831","abstract":"This paper brings together several research streams and concepts that have been evolving in random utility choice theory: (1) it reviews the literature on stated preference (SP) elicitation methods and introduces the concept of testing data generation process invariance across SP and revealed preference (RP) choice data sources; (2) it describes the evolution of discrete choice models within the random utility family, where progressively more behavioural realism is being achieved by relaxing strong assumptions on the role of the variance structure (specifically, heteroscedasticity) of the unobserved effects, a topic central to the issue of combining multiple data sources; (3) particular choice model formulations incorporating heteroscedastic effects are presented, discussed and applied to data. The rich insights possible from modelling heteroscedasticity in choice processes are illustrated in the empirical application, highlighting its relevance to issues of data combination and taste heterogeneity. © 1999 Elsevier Science S.A. All rights reserved.","author":[{"dropping-particle":"","family":"Louviere","given":"Jordan J.","non-dropping-particle":"","parse-names":false,"suffix":""},{"dropping-particle":"","family":"Hensher","given":"David A.","non-dropping-particle":"","parse-names":false,"suffix":""},{"dropping-particle":"","family":"Swait","given":"Joffre D.","non-dropping-particle":"","parse-names":false,"suffix":""},{"dropping-particle":"","family":"Adamowicz","given":"Wiktor","non-dropping-particle":"","parse-names":false,"suffix":""}],"container-title":"Stated Choice Methods","id":"ITEM-1","issued":{"date-parts":[["2000"]]},"title":"Stated Choice Methods","type":"book"},"uris":["http://www.mendeley.com/documents/?uuid=60cad1cd-1ee7-4e12-865d-5cd50865893e"]}],"mendeley":{"formattedCitation":"[45]","plainTextFormattedCitation":"[45]"},"properties":{"noteIndex":0},"schema":"https://github.com/citation-style-language/schema/raw/master/csl-citation.json"}</w:instrText>
      </w:r>
      <w:r w:rsidR="00A92DA0">
        <w:rPr>
          <w:bCs/>
          <w:lang w:val="en-US"/>
        </w:rPr>
        <w:fldChar w:fldCharType="separate"/>
      </w:r>
      <w:r w:rsidR="00A92DA0" w:rsidRPr="00A92DA0">
        <w:rPr>
          <w:bCs/>
          <w:noProof/>
          <w:lang w:val="en-US"/>
        </w:rPr>
        <w:t>[45]</w:t>
      </w:r>
      <w:r w:rsidR="00A92DA0">
        <w:rPr>
          <w:bCs/>
          <w:lang w:val="en-US"/>
        </w:rPr>
        <w:fldChar w:fldCharType="end"/>
      </w:r>
      <w:r w:rsidRPr="004E33F6">
        <w:rPr>
          <w:bCs/>
        </w:rPr>
        <w:t xml:space="preserve"> discussed in </w:t>
      </w:r>
      <w:r w:rsidR="00A92DA0" w:rsidRPr="00A92DA0">
        <w:rPr>
          <w:bCs/>
          <w:lang w:val="en-US"/>
        </w:rPr>
        <w:t>th</w:t>
      </w:r>
      <w:r w:rsidR="00A92DA0">
        <w:rPr>
          <w:bCs/>
          <w:lang w:val="en-US"/>
        </w:rPr>
        <w:t>eir</w:t>
      </w:r>
      <w:r w:rsidRPr="004E33F6">
        <w:rPr>
          <w:bCs/>
        </w:rPr>
        <w:t xml:space="preserve"> study, participants in most studies are presented with one to six choice sets where three to seven attributes have to be considered so that the scenarios would be more realistic and less complex </w:t>
      </w:r>
      <w:r w:rsidR="00237509">
        <w:rPr>
          <w:bCs/>
        </w:rPr>
        <w:fldChar w:fldCharType="begin" w:fldLock="1"/>
      </w:r>
      <w:r w:rsidR="00A92DA0">
        <w:rPr>
          <w:bCs/>
        </w:rPr>
        <w:instrText>ADDIN CSL_CITATION {"citationItems":[{"id":"ITEM-1","itemData":{"DOI":"10.1017/cbo9780511753831","abstract":"This paper brings together several research streams and concepts that have been evolving in random utility choice theory: (1) it reviews the literature on stated preference (SP) elicitation methods and introduces the concept of testing data generation process invariance across SP and revealed preference (RP) choice data sources; (2) it describes the evolution of discrete choice models within the random utility family, where progressively more behavioural realism is being achieved by relaxing strong assumptions on the role of the variance structure (specifically, heteroscedasticity) of the unobserved effects, a topic central to the issue of combining multiple data sources; (3) particular choice model formulations incorporating heteroscedastic effects are presented, discussed and applied to data. The rich insights possible from modelling heteroscedasticity in choice processes are illustrated in the empirical application, highlighting its relevance to issues of data combination and taste heterogeneity. © 1999 Elsevier Science S.A. All rights reserved.","author":[{"dropping-particle":"","family":"Louviere","given":"Jordan J.","non-dropping-particle":"","parse-names":false,"suffix":""},{"dropping-particle":"","family":"Hensher","given":"David A.","non-dropping-particle":"","parse-names":false,"suffix":""},{"dropping-particle":"","family":"Swait","given":"Joffre D.","non-dropping-particle":"","parse-names":false,"suffix":""},{"dropping-particle":"","family":"Adamowicz","given":"Wiktor","non-dropping-particle":"","parse-names":false,"suffix":""}],"container-title":"Stated Choice Methods","id":"ITEM-1","issued":{"date-parts":[["2000"]]},"title":"Stated Choice Methods","type":"book"},"uris":["http://www.mendeley.com/documents/?uuid=60cad1cd-1ee7-4e12-865d-5cd50865893e"]},{"id":"ITEM-2","itemData":{"author":[{"dropping-particle":"","family":"Pearmain","given":"D.","non-dropping-particle":"","parse-names":false,"suffix":""},{"dropping-particle":"","family":"Swanson","given":"J.","non-dropping-particle":"","parse-names":false,"suffix":""}],"edition":"1st ed.","id":"ITEM-2","issued":{"date-parts":[["1990"]]},"publisher":"Davies e Gleave Ltd.","publisher-place":"London","title":"Stated Preference Techniques. A guide to practice.","type":"book"},"uris":["http://www.mendeley.com/documents/?uuid=fa4e0c32-8810-489a-ae54-7f3561f453c9"]}],"mendeley":{"formattedCitation":"[45], [46]","plainTextFormattedCitation":"[45], [46]","previouslyFormattedCitation":"[45], [46]"},"properties":{"noteIndex":0},"schema":"https://github.com/citation-style-language/schema/raw/master/csl-citation.json"}</w:instrText>
      </w:r>
      <w:r w:rsidR="00237509">
        <w:rPr>
          <w:bCs/>
        </w:rPr>
        <w:fldChar w:fldCharType="separate"/>
      </w:r>
      <w:r w:rsidR="00A92DA0" w:rsidRPr="00A92DA0">
        <w:rPr>
          <w:bCs/>
          <w:noProof/>
        </w:rPr>
        <w:t>[45], [46]</w:t>
      </w:r>
      <w:r w:rsidR="00237509">
        <w:rPr>
          <w:bCs/>
        </w:rPr>
        <w:fldChar w:fldCharType="end"/>
      </w:r>
      <w:r w:rsidRPr="004E33F6">
        <w:rPr>
          <w:bCs/>
        </w:rPr>
        <w:t>. Hence, in this part of our survey, respondents are presented with three joint residential and commute mode choice sets/scenarios in total. Additionally, for our design, seven key variables focusing on residential and commute mode were carefully chosen to be considered in the SP survey experimental design (</w:t>
      </w:r>
      <w:r w:rsidR="007B604F" w:rsidRPr="007B604F">
        <w:rPr>
          <w:bCs/>
          <w:lang w:val="en-US"/>
        </w:rPr>
        <w:t>T</w:t>
      </w:r>
      <w:r w:rsidR="007B604F">
        <w:rPr>
          <w:bCs/>
          <w:lang w:val="en-US"/>
        </w:rPr>
        <w:t>ABLE</w:t>
      </w:r>
      <w:r w:rsidRPr="004E33F6">
        <w:rPr>
          <w:bCs/>
        </w:rPr>
        <w:t xml:space="preserve"> 3.1). Each SP attribute varies across three levels for non-linear utility function analysis. The values of these attribute levels should not only be reasonable but also be related to participant’s experience and allow the alternatives to compete with each other </w:t>
      </w:r>
      <w:r w:rsidR="00237509">
        <w:rPr>
          <w:bCs/>
        </w:rPr>
        <w:fldChar w:fldCharType="begin" w:fldLock="1"/>
      </w:r>
      <w:r w:rsidR="00A92DA0">
        <w:rPr>
          <w:bCs/>
        </w:rPr>
        <w:instrText>ADDIN CSL_CITATION {"citationItems":[{"id":"ITEM-1","itemData":{"DOI":"10.1017/cbo9780511753831","abstract":"This paper brings together several research streams and concepts that have been evolving in random utility choice theory: (1) it reviews the literature on stated preference (SP) elicitation methods and introduces the concept of testing data generation process invariance across SP and revealed preference (RP) choice data sources; (2) it describes the evolution of discrete choice models within the random utility family, where progressively more behavioural realism is being achieved by relaxing strong assumptions on the role of the variance structure (specifically, heteroscedasticity) of the unobserved effects, a topic central to the issue of combining multiple data sources; (3) particular choice model formulations incorporating heteroscedastic effects are presented, discussed and applied to data. The rich insights possible from modelling heteroscedasticity in choice processes are illustrated in the empirical application, highlighting its relevance to issues of data combination and taste heterogeneity. © 1999 Elsevier Science S.A. All rights reserved.","author":[{"dropping-particle":"","family":"Louviere","given":"Jordan J.","non-dropping-particle":"","parse-names":false,"suffix":""},{"dropping-particle":"","family":"Hensher","given":"David A.","non-dropping-particle":"","parse-names":false,"suffix":""},{"dropping-particle":"","family":"Swait","given":"Joffre D.","non-dropping-particle":"","parse-names":false,"suffix":""},{"dropping-particle":"","family":"Adamowicz","given":"Wiktor","non-dropping-particle":"","parse-names":false,"suffix":""}],"container-title":"Stated Choice Methods","id":"ITEM-1","issued":{"date-parts":[["2000"]]},"title":"Stated Choice Methods","type":"book"},"uris":["http://www.mendeley.com/documents/?uuid=60cad1cd-1ee7-4e12-865d-5cd50865893e"]},{"id":"ITEM-2","itemData":{"author":[{"dropping-particle":"","family":"Pearmain","given":"D.","non-dropping-particle":"","parse-names":false,"suffix":""},{"dropping-particle":"","family":"Swanson","given":"J.","non-dropping-particle":"","parse-names":false,"suffix":""}],"edition":"1st ed.","id":"ITEM-2","issued":{"date-parts":[["1990"]]},"publisher":"Davies e Gleave Ltd.","publisher-place":"London","title":"Stated Preference Techniques. A guide to practice.","type":"book"},"uris":["http://www.mendeley.com/documents/?uuid=fa4e0c32-8810-489a-ae54-7f3561f453c9"]}],"mendeley":{"formattedCitation":"[45], [46]","plainTextFormattedCitation":"[45], [46]","previouslyFormattedCitation":"[45], [46]"},"properties":{"noteIndex":0},"schema":"https://github.com/citation-style-language/schema/raw/master/csl-citation.json"}</w:instrText>
      </w:r>
      <w:r w:rsidR="00237509">
        <w:rPr>
          <w:bCs/>
        </w:rPr>
        <w:fldChar w:fldCharType="separate"/>
      </w:r>
      <w:r w:rsidR="00A92DA0" w:rsidRPr="00A92DA0">
        <w:rPr>
          <w:bCs/>
          <w:noProof/>
        </w:rPr>
        <w:t>[45], [46]</w:t>
      </w:r>
      <w:r w:rsidR="00237509">
        <w:rPr>
          <w:bCs/>
        </w:rPr>
        <w:fldChar w:fldCharType="end"/>
      </w:r>
      <w:r w:rsidRPr="004E33F6">
        <w:rPr>
          <w:bCs/>
        </w:rPr>
        <w:t xml:space="preserve">. Hence, these values are defined relative to respondents’ current residential location, proposed mobility hub neighborhood location, and their work location </w:t>
      </w:r>
      <w:r w:rsidRPr="004E33F6">
        <w:rPr>
          <w:bCs/>
        </w:rPr>
        <w:lastRenderedPageBreak/>
        <w:t>pairs. This information was gathered for available commute modes separately and added to the survey as secondary data to generate accurate values for each origin-destination pairs. In the SP experimental design, to avoid the non-attendance problem in our study; which occurs when a variable is considered in a SP experiment but is not used by the participant in the preference choice process which results in its parameters’ signification’s reduction; the respondents are asked to rank each SP attribute level of importance from their perspective from a scale of 1 to 5 (1 as unimportant and 5 as very important)</w:t>
      </w:r>
      <w:r w:rsidR="00237509">
        <w:rPr>
          <w:bCs/>
        </w:rPr>
        <w:fldChar w:fldCharType="begin" w:fldLock="1"/>
      </w:r>
      <w:r w:rsidR="00A92DA0">
        <w:rPr>
          <w:bCs/>
        </w:rPr>
        <w:instrText>ADDIN CSL_CITATION {"citationItems":[{"id":"ITEM-1","itemData":{"DOI":"10.1016/S0191-2615(02)00046-2","ISSN":"01912615","abstract":"The multinomial logit model (MNL) has for many years provided the fundamental platform for the analysis of discrete choice. The basic model's several shortcomings, most notably its inherent assumption of independence from irrelevant alternatives have motivated researchers to develop a variety of alternative formulations. The mixed logit model stands as one of the most significant of these extensions. This paper proposes a semi-parametric extension of the MNL, based on the latent class formulation, which resembles the mixed logit model but which relaxes its requirement that the analyst makes specific assumptions about the distributions of parameters across individuals. An application of the model to the choice of long distance travel by three road types (2-lane, 4-lane without a median and 4-lane with a median) by car in New Zealand is used to compare the MNL latent class model with mixed logit. © 2003 Elsevier Science Ltd. All rights reserved.","author":[{"dropping-particle":"","family":"Greene","given":"William H.","non-dropping-particle":"","parse-names":false,"suffix":""},{"dropping-particle":"","family":"Hensher","given":"David A.","non-dropping-particle":"","parse-names":false,"suffix":""}],"container-title":"Transportation Research Part B: Methodological","id":"ITEM-1","issue":"8","issued":{"date-parts":[["2003"]]},"page":"681-698","title":"A latent class model for discrete choice analysis: Contrasts with mixed logit","type":"article-journal","volume":"37"},"uris":["http://www.mendeley.com/documents/?uuid=14300513-0a11-4c05-b442-f08972607115"]},{"id":"ITEM-2","itemData":{"DOI":"10.1016/j.procs.2013.06.116","ISSN":"18770509","author":[{"dropping-particle":"","family":"Cavalcante","given":"Rinaldo A.","non-dropping-particle":"","parse-names":false,"suffix":""}],"container-title":"Procedia Computer Science","id":"ITEM-2","issued":{"date-parts":[["2013"]]},"publisher":"University of Toronto","title":"Freight market interactions simulation (FREMIS): An agent- based modeling framework","type":"thesis"},"uris":["http://www.mendeley.com/documents/?uuid=310e7853-a916-45e1-af2f-53c054d7d436"]}],"mendeley":{"formattedCitation":"[43], [47]","plainTextFormattedCitation":"[43], [47]","previouslyFormattedCitation":"[43], [47]"},"properties":{"noteIndex":0},"schema":"https://github.com/citation-style-language/schema/raw/master/csl-citation.json"}</w:instrText>
      </w:r>
      <w:r w:rsidR="00237509">
        <w:rPr>
          <w:bCs/>
        </w:rPr>
        <w:fldChar w:fldCharType="separate"/>
      </w:r>
      <w:r w:rsidR="00A92DA0" w:rsidRPr="00A92DA0">
        <w:rPr>
          <w:bCs/>
          <w:noProof/>
        </w:rPr>
        <w:t>[43], [47]</w:t>
      </w:r>
      <w:r w:rsidR="00237509">
        <w:rPr>
          <w:bCs/>
        </w:rPr>
        <w:fldChar w:fldCharType="end"/>
      </w:r>
      <w:r w:rsidRPr="004E33F6">
        <w:rPr>
          <w:bCs/>
        </w:rPr>
        <w:t>. At the end, the variables with rates more than and equal to 3 (Neutral (3), important (4) or very important (5)) are considered to be included in the SP experiment design question/scenario (see</w:t>
      </w:r>
      <w:r w:rsidR="00237509" w:rsidRPr="00237509">
        <w:rPr>
          <w:bCs/>
          <w:lang w:val="en-US"/>
        </w:rPr>
        <w:t xml:space="preserve"> </w:t>
      </w:r>
      <w:r w:rsidR="00237509">
        <w:rPr>
          <w:bCs/>
          <w:lang w:val="en-US"/>
        </w:rPr>
        <w:fldChar w:fldCharType="begin" w:fldLock="1"/>
      </w:r>
      <w:r w:rsidR="00A92DA0">
        <w:rPr>
          <w:bCs/>
          <w:lang w:val="en-US"/>
        </w:rPr>
        <w:instrText>ADDIN CSL_CITATION {"citationItems":[{"id":"ITEM-1","itemData":{"DOI":"10.1016/j.procs.2013.06.116","ISSN":"18770509","author":[{"dropping-particle":"","family":"Cavalcante","given":"Rinaldo A.","non-dropping-particle":"","parse-names":false,"suffix":""}],"container-title":"Procedia Computer Science","id":"ITEM-1","issued":{"date-parts":[["2013"]]},"publisher":"University of Toronto","title":"Freight market interactions simulation (FREMIS): An agent- based modeling framework","type":"thesis"},"uris":["http://www.mendeley.com/documents/?uuid=310e7853-a916-45e1-af2f-53c054d7d436"]}],"mendeley":{"formattedCitation":"[43]","plainTextFormattedCitation":"[43]","previouslyFormattedCitation":"[43]"},"properties":{"noteIndex":0},"schema":"https://github.com/citation-style-language/schema/raw/master/csl-citation.json"}</w:instrText>
      </w:r>
      <w:r w:rsidR="00237509">
        <w:rPr>
          <w:bCs/>
          <w:lang w:val="en-US"/>
        </w:rPr>
        <w:fldChar w:fldCharType="separate"/>
      </w:r>
      <w:r w:rsidR="00A92DA0" w:rsidRPr="00A92DA0">
        <w:rPr>
          <w:bCs/>
          <w:noProof/>
          <w:lang w:val="en-US"/>
        </w:rPr>
        <w:t>[43]</w:t>
      </w:r>
      <w:r w:rsidR="00237509">
        <w:rPr>
          <w:bCs/>
          <w:lang w:val="en-US"/>
        </w:rPr>
        <w:fldChar w:fldCharType="end"/>
      </w:r>
      <w:r w:rsidRPr="004E33F6">
        <w:rPr>
          <w:bCs/>
        </w:rPr>
        <w:t>). Then in the next step, in each scenario, respondents are asked to choose between their current residence and a residential location in a neighborhood with mobility hubs while accounting for their preferred commute transportation mode, where the respondent can choose between the car, public transport, cycling and walking (Fig</w:t>
      </w:r>
      <w:r w:rsidR="00D758EE" w:rsidRPr="00D758EE">
        <w:rPr>
          <w:bCs/>
          <w:lang w:val="en-US"/>
        </w:rPr>
        <w:t>.</w:t>
      </w:r>
      <w:r w:rsidRPr="004E33F6">
        <w:rPr>
          <w:bCs/>
        </w:rPr>
        <w:t xml:space="preserve"> 3.1). For the option of the current residential situation, only the observed commute mode which the respondent specified in the RP  part of the experiment is presented. In total, the respondent can either choose to stick with their current residential and commute mode situation or choose to move to the mobility hub neighborhood and pick one of the four available commute modes (See Fig. 3.2)</w:t>
      </w:r>
      <w:r w:rsidR="00C85738" w:rsidRPr="00C85738">
        <w:rPr>
          <w:bCs/>
          <w:lang w:val="en-US"/>
        </w:rPr>
        <w:t>.</w:t>
      </w:r>
      <w:r w:rsidR="00C85738" w:rsidRPr="00C85738">
        <w:rPr>
          <w:noProof/>
          <w:lang w:val="en-US"/>
        </w:rPr>
        <w:t xml:space="preserve"> </w:t>
      </w:r>
    </w:p>
    <w:p w14:paraId="7F085746" w14:textId="18C4C6E8" w:rsidR="00842673" w:rsidRPr="00842673" w:rsidRDefault="00842673" w:rsidP="00842673">
      <w:pPr>
        <w:pStyle w:val="Plattetekst"/>
        <w:rPr>
          <w:bCs/>
          <w:lang w:val="en-US"/>
        </w:rPr>
      </w:pPr>
      <w:r w:rsidRPr="00C43782">
        <w:rPr>
          <w:bCs/>
          <w:noProof/>
          <w:lang w:val="en-GB" w:eastAsia="en-GB"/>
        </w:rPr>
        <w:drawing>
          <wp:anchor distT="45720" distB="45720" distL="114300" distR="114300" simplePos="0" relativeHeight="251725312" behindDoc="0" locked="0" layoutInCell="1" allowOverlap="1" wp14:anchorId="2EA24AC0" wp14:editId="49726673">
            <wp:simplePos x="0" y="0"/>
            <wp:positionH relativeFrom="margin">
              <wp:align>left</wp:align>
            </wp:positionH>
            <wp:positionV relativeFrom="paragraph">
              <wp:posOffset>781050</wp:posOffset>
            </wp:positionV>
            <wp:extent cx="6391275" cy="5019675"/>
            <wp:effectExtent l="0" t="0" r="9525" b="9525"/>
            <wp:wrapSquare wrapText="bothSides"/>
            <wp:docPr id="217" name="Tekstvak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391275" cy="5019675"/>
                    </a:xfrm>
                    <a:prstGeom prst="rect">
                      <a:avLst/>
                    </a:prstGeom>
                    <a:solidFill>
                      <a:srgbClr val="FFFFFF"/>
                    </a:solidFill>
                    <a:ln w="9525">
                      <a:noFill/>
                      <a:miter lim="800%"/>
                      <a:headEnd/>
                      <a:tailEnd/>
                    </a:ln>
                  </wp:spPr>
                  <wp:txbx>
                    <wne:txbxContent>
                      <w:p w14:paraId="774C4DC6" w14:textId="77777777" w:rsidR="00A92FC2" w:rsidRDefault="00A92FC2" w:rsidP="00842673">
                        <w:pPr>
                          <w:keepNext/>
                        </w:pPr>
                        <w:r>
                          <w:rPr>
                            <w:noProof/>
                            <w:lang w:val="en-GB" w:eastAsia="en-GB"/>
                          </w:rPr>
                          <w:drawing>
                            <wp:inline distT="0" distB="0" distL="0" distR="0" wp14:anchorId="4E0097E5" wp14:editId="06F1FD17">
                              <wp:extent cx="6162675" cy="4638675"/>
                              <wp:effectExtent l="0" t="0" r="9525" b="9525"/>
                              <wp:docPr id="212" name="Afbeelding 212"/>
                              <wp:cNvGraphicFramePr/>
                              <a:graphic xmlns:a="http://purl.oclc.org/ooxml/drawingml/main">
                                <a:graphicData uri="http://purl.oclc.org/ooxml/drawingml/picture">
                                  <pic:pic xmlns:pic="http://purl.oclc.org/ooxml/drawingml/picture">
                                    <pic:nvPicPr>
                                      <pic:cNvPr id="3" name="Afbeelding 3"/>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162675" cy="4638675"/>
                                      </a:xfrm>
                                      <a:prstGeom prst="rect">
                                        <a:avLst/>
                                      </a:prstGeom>
                                      <a:noFill/>
                                      <a:ln>
                                        <a:noFill/>
                                      </a:ln>
                                    </pic:spPr>
                                  </pic:pic>
                                </a:graphicData>
                              </a:graphic>
                            </wp:inline>
                          </w:drawing>
                        </w:r>
                      </w:p>
                      <w:p w14:paraId="4550A01D" w14:textId="589B353B" w:rsidR="00A92FC2" w:rsidRPr="00357F65" w:rsidRDefault="00A92FC2" w:rsidP="00842673">
                        <w:r w:rsidRPr="00357F65">
                          <w:t xml:space="preserve">Fig. </w:t>
                        </w:r>
                        <w:r>
                          <w:t>3.1</w:t>
                        </w:r>
                        <w:r w:rsidRPr="00357F65">
                          <w:t>:</w:t>
                        </w:r>
                        <w:r>
                          <w:t xml:space="preserve"> Example of a c</w:t>
                        </w:r>
                        <w:r w:rsidRPr="00357F65">
                          <w:t xml:space="preserve">ombined residential and </w:t>
                        </w:r>
                        <w:r>
                          <w:t xml:space="preserve">commute </w:t>
                        </w:r>
                        <w:r w:rsidRPr="00357F65">
                          <w:t xml:space="preserve">mode choice </w:t>
                        </w:r>
                        <w:r>
                          <w:t>in the stated preference</w:t>
                        </w:r>
                        <w:r w:rsidRPr="00357F65">
                          <w:t xml:space="preserve"> experiment</w:t>
                        </w:r>
                      </w:p>
                      <w:p w14:paraId="411B43B0" w14:textId="77777777" w:rsidR="00A92FC2" w:rsidRPr="00850A9C" w:rsidRDefault="00A92FC2" w:rsidP="00842673"/>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sidR="004E33F6" w:rsidRPr="004E33F6">
        <w:rPr>
          <w:bCs/>
        </w:rPr>
        <w:t xml:space="preserve">During the survey design, several challenges and complexities needed to be addressed. In the SP part of the </w:t>
      </w:r>
      <w:r w:rsidR="004E33F6" w:rsidRPr="004E33F6">
        <w:rPr>
          <w:bCs/>
        </w:rPr>
        <w:t>survey, one of the challenges in the design was making sure the respondent understands what a mobility hub is. Hence, the respondent is introduced to mobility hubs through a combination of text, images, and a video clip of a 3D animation (Fig</w:t>
      </w:r>
      <w:r w:rsidR="004E7903" w:rsidRPr="004E7903">
        <w:rPr>
          <w:bCs/>
          <w:lang w:val="en-US"/>
        </w:rPr>
        <w:t>.</w:t>
      </w:r>
      <w:r w:rsidR="004E33F6" w:rsidRPr="004E33F6">
        <w:rPr>
          <w:bCs/>
        </w:rPr>
        <w:t xml:space="preserve"> 3.</w:t>
      </w:r>
      <w:r w:rsidR="002B6A4B" w:rsidRPr="002B6A4B">
        <w:rPr>
          <w:bCs/>
          <w:lang w:val="en-US"/>
        </w:rPr>
        <w:t>3</w:t>
      </w:r>
      <w:r w:rsidR="004E7903">
        <w:rPr>
          <w:bCs/>
          <w:lang w:val="en-US"/>
        </w:rPr>
        <w:t xml:space="preserve">a </w:t>
      </w:r>
      <w:r w:rsidR="004E33F6" w:rsidRPr="004E33F6">
        <w:rPr>
          <w:bCs/>
        </w:rPr>
        <w:t xml:space="preserve">and </w:t>
      </w:r>
      <w:r w:rsidR="004E7903" w:rsidRPr="004E7903">
        <w:rPr>
          <w:bCs/>
          <w:lang w:val="en-US"/>
        </w:rPr>
        <w:t xml:space="preserve">Fig. </w:t>
      </w:r>
      <w:r w:rsidR="004E7903">
        <w:rPr>
          <w:bCs/>
          <w:lang w:val="en-US"/>
        </w:rPr>
        <w:t>3.3b respectively</w:t>
      </w:r>
      <w:r w:rsidR="004E33F6" w:rsidRPr="004E33F6">
        <w:rPr>
          <w:bCs/>
        </w:rPr>
        <w:t>). An additional challenge was to accommodate the availability of modes (not all modes are available for all origin-destination pairs) and the base value of attributes for a certain commute mode (which are context-dependent). Also, the success of the survey depends on how realistically the survey can be presented so that potential biases in the data are minimized.</w:t>
      </w:r>
      <w:r w:rsidRPr="00842673">
        <w:rPr>
          <w:bCs/>
          <w:lang w:val="en-US"/>
        </w:rPr>
        <w:t xml:space="preserve"> </w:t>
      </w:r>
    </w:p>
    <w:p w14:paraId="3DC28198" w14:textId="449D22DA" w:rsidR="002A771A" w:rsidRPr="00C85738" w:rsidRDefault="002A771A" w:rsidP="002A771A">
      <w:pPr>
        <w:pStyle w:val="Kop2"/>
        <w:rPr>
          <w:lang w:val="nl-NL"/>
        </w:rPr>
      </w:pPr>
      <w:r>
        <w:rPr>
          <w:lang w:val="nl-NL"/>
        </w:rPr>
        <w:t>Model structure</w:t>
      </w:r>
    </w:p>
    <w:p w14:paraId="4FD8B48F" w14:textId="29E02BC2" w:rsidR="008B5B8D" w:rsidRDefault="007D1DDC" w:rsidP="008B5B8D">
      <w:pPr>
        <w:pStyle w:val="Plattetekst"/>
        <w:rPr>
          <w:bCs/>
          <w:lang w:val="en-US"/>
        </w:rPr>
      </w:pPr>
      <w:r w:rsidRPr="007D1DDC">
        <w:rPr>
          <w:bCs/>
          <w:lang w:val="en-US"/>
        </w:rPr>
        <w:t>Given the nature of the data, discrete choice (DC) models were considered to model the joint residential and commute mode choices. Mostly, DC models are based upon Random Utility Theory (RUT)</w:t>
      </w:r>
      <w:r w:rsidR="00237509">
        <w:rPr>
          <w:bCs/>
          <w:lang w:val="en-US"/>
        </w:rPr>
        <w:t xml:space="preserve"> </w:t>
      </w:r>
      <w:r w:rsidR="00237509">
        <w:rPr>
          <w:bCs/>
          <w:lang w:val="en-US"/>
        </w:rPr>
        <w:fldChar w:fldCharType="begin" w:fldLock="1"/>
      </w:r>
      <w:r w:rsidR="00A92DA0">
        <w:rPr>
          <w:bCs/>
          <w:lang w:val="en-US"/>
        </w:rPr>
        <w:instrText>ADDIN CSL_CITATION {"citationItems":[{"id":"ITEM-1","itemData":{"DOI":"10.1037/h0070288","ISSN":"0033295X","abstract":"A new psychological law, called the law of comparative judgment, is presented with some of its special applications in the measurement of psychological values. This law is applicable not only to the comparison of physical stimulus intensities but also to qualitative comparative judgments, such as those of excellence of specimens in an educational scale. It should be possible also to verify it on comparative judgments which involve simultaneous and successive contrast. The law is stated as follows:[Equation omitted]in which S1 and S2 are the psychological scale values of the two compared stimuli; x12 is the sigma value corresponding to the proportion of judgments p1 &gt; p2. ς1 is the discriminal dispersion of stimulus R1 and ς2 is the dispersion of stimulus R2. r is the correlation between the discriminal deviations of R1 and R2 in the same judgment. This law is basic for work on Weber's and Fechner's laws, applies to the judgments of a single observer who compares a series of stimuli by the method of paired comparisons when no \"equal\" judgments are allowed, and is a rational equation for the method of constant stimuli. The law is then applied to five cases each of which involves different assumptions and different degrees of simplification of the law for practical use. The weighting of the observation equations is discussed because the observation equations obtained with the five cases are not of the same reliability and hence should not be equally weighted. (PsycINFO Database Record (c) 2006 APA, all rights reserved). © 1927 American Psychological Association.","author":[{"dropping-particle":"","family":"Thurstone","given":"L. L.","non-dropping-particle":"","parse-names":false,"suffix":""}],"container-title":"Psychological Review","id":"ITEM-1","issued":{"date-parts":[["1927"]]},"title":"A law of comparative judgment","type":"article-journal"},"uris":["http://www.mendeley.com/documents/?uuid=bb34fe7c-c75c-415d-a736-ca41a9e843ae"]},{"id":"ITEM-2","itemData":{"DOI":"10.1108/eb028592","ISBN":"0127761500","ISSN":"10867376","PMID":"5297","abstract":"This paper outlines a general procedure for formulating econometric models of population choice behavior from distributions of individual decision rules. A concrete case with useful empirical properties, conditional logit analysis, is developed in detail. The relevance of these methods to economic anaiysis can be indicated by a list of the consumer choice problems to which conditional logit analysis has been applied: choice of college attended, choice of occupa- tion, labor force participation, choice of geographical location and migration, choice of number of children, housing choice, choice of number and brand of automobiles owned, choice of shopping travel mode and destination.","author":[{"dropping-particle":"","family":"McFadden","given":"Daniel","non-dropping-particle":"","parse-names":false,"suffix":""}],"container-title":"Frontiers in Econometrics","id":"ITEM-2","issued":{"date-parts":[["1973"]]},"title":"Conditional logit analysis of qualitative choice behavior","type":"article"},"uris":["http://www.mendeley.com/documents/?uuid=e802eccd-e800-4c3c-8e44-44a8bbd7ca47"]}],"mendeley":{"formattedCitation":"[48], [49]","plainTextFormattedCitation":"[48], [49]","previouslyFormattedCitation":"[48], [49]"},"properties":{"noteIndex":0},"schema":"https://github.com/citation-style-language/schema/raw/master/csl-citation.json"}</w:instrText>
      </w:r>
      <w:r w:rsidR="00237509">
        <w:rPr>
          <w:bCs/>
          <w:lang w:val="en-US"/>
        </w:rPr>
        <w:fldChar w:fldCharType="separate"/>
      </w:r>
      <w:r w:rsidR="00A92DA0" w:rsidRPr="00A92DA0">
        <w:rPr>
          <w:bCs/>
          <w:noProof/>
          <w:lang w:val="en-US"/>
        </w:rPr>
        <w:t>[48], [49]</w:t>
      </w:r>
      <w:r w:rsidR="00237509">
        <w:rPr>
          <w:bCs/>
          <w:lang w:val="en-US"/>
        </w:rPr>
        <w:fldChar w:fldCharType="end"/>
      </w:r>
      <w:r w:rsidRPr="007D1DDC">
        <w:rPr>
          <w:bCs/>
          <w:lang w:val="en-US"/>
        </w:rPr>
        <w:t xml:space="preserve">, which postulates that a given individual </w:t>
      </w:r>
      <w:r w:rsidRPr="007D1DDC">
        <w:rPr>
          <w:bCs/>
          <w:i/>
          <w:iCs/>
          <w:lang w:val="en-US"/>
        </w:rPr>
        <w:t>q</w:t>
      </w:r>
      <w:r w:rsidRPr="007D1DDC">
        <w:rPr>
          <w:bCs/>
          <w:lang w:val="en-US"/>
        </w:rPr>
        <w:t xml:space="preserve"> selects the alternative </w:t>
      </w:r>
      <w:proofErr w:type="spellStart"/>
      <w:r w:rsidRPr="007D1DDC">
        <w:rPr>
          <w:bCs/>
          <w:i/>
          <w:lang w:val="en-US"/>
        </w:rPr>
        <w:t>i</w:t>
      </w:r>
      <w:proofErr w:type="spellEnd"/>
      <w:r w:rsidRPr="007D1DDC">
        <w:rPr>
          <w:bCs/>
          <w:lang w:val="en-US"/>
        </w:rPr>
        <w:t xml:space="preserve"> out of a choice-set </w:t>
      </w:r>
      <w:proofErr w:type="spellStart"/>
      <w:r w:rsidRPr="007D1DDC">
        <w:rPr>
          <w:bCs/>
          <w:i/>
          <w:lang w:val="en-US"/>
        </w:rPr>
        <w:t>A</w:t>
      </w:r>
      <w:r w:rsidRPr="007D1DDC">
        <w:rPr>
          <w:bCs/>
          <w:i/>
          <w:vertAlign w:val="subscript"/>
          <w:lang w:val="en-US"/>
        </w:rPr>
        <w:t>q</w:t>
      </w:r>
      <w:proofErr w:type="spellEnd"/>
      <w:r w:rsidRPr="007D1DDC">
        <w:rPr>
          <w:bCs/>
          <w:lang w:val="en-US"/>
        </w:rPr>
        <w:t xml:space="preserve">, which maximizes its expected utility; hence, individual </w:t>
      </w:r>
      <w:r w:rsidRPr="007D1DDC">
        <w:rPr>
          <w:bCs/>
          <w:i/>
          <w:iCs/>
          <w:lang w:val="en-US"/>
        </w:rPr>
        <w:t>q</w:t>
      </w:r>
      <w:r w:rsidRPr="007D1DDC">
        <w:rPr>
          <w:bCs/>
          <w:lang w:val="en-US"/>
        </w:rPr>
        <w:t xml:space="preserve"> opts for alternative </w:t>
      </w:r>
      <w:proofErr w:type="spellStart"/>
      <w:r w:rsidRPr="007D1DDC">
        <w:rPr>
          <w:bCs/>
          <w:i/>
          <w:lang w:val="en-US"/>
        </w:rPr>
        <w:t>i</w:t>
      </w:r>
      <w:proofErr w:type="spellEnd"/>
      <w:r w:rsidRPr="007D1DDC">
        <w:rPr>
          <w:bCs/>
          <w:lang w:val="en-US"/>
        </w:rPr>
        <w:t xml:space="preserve"> if and only if its utility </w:t>
      </w:r>
      <w:proofErr w:type="spellStart"/>
      <w:r w:rsidRPr="007D1DDC">
        <w:rPr>
          <w:bCs/>
          <w:i/>
          <w:lang w:val="en-US"/>
        </w:rPr>
        <w:t>U</w:t>
      </w:r>
      <w:r w:rsidRPr="007D1DDC">
        <w:rPr>
          <w:bCs/>
          <w:i/>
          <w:vertAlign w:val="subscript"/>
          <w:lang w:val="en-US"/>
        </w:rPr>
        <w:t>iq</w:t>
      </w:r>
      <w:proofErr w:type="spellEnd"/>
      <w:r w:rsidRPr="007D1DDC">
        <w:rPr>
          <w:bCs/>
          <w:lang w:val="en-US"/>
        </w:rPr>
        <w:t xml:space="preserve"> is larger than the utility of all remaining alternatives </w:t>
      </w:r>
      <w:r w:rsidRPr="007D1DDC">
        <w:rPr>
          <w:bCs/>
          <w:i/>
          <w:lang w:val="en-US"/>
        </w:rPr>
        <w:t>j ϵ A</w:t>
      </w:r>
      <w:r w:rsidRPr="007D1DDC">
        <w:rPr>
          <w:bCs/>
          <w:i/>
          <w:vertAlign w:val="subscript"/>
          <w:lang w:val="en-US"/>
        </w:rPr>
        <w:t>q</w:t>
      </w:r>
      <w:r w:rsidRPr="007D1DDC">
        <w:rPr>
          <w:bCs/>
          <w:lang w:val="en-US"/>
        </w:rPr>
        <w:t>. As the analysist does not count with perfect information,</w:t>
      </w:r>
      <w:r w:rsidRPr="007D1DDC">
        <w:rPr>
          <w:bCs/>
          <w:i/>
          <w:lang w:val="en-US"/>
        </w:rPr>
        <w:t xml:space="preserve"> </w:t>
      </w:r>
      <w:proofErr w:type="spellStart"/>
      <w:r w:rsidRPr="007D1DDC">
        <w:rPr>
          <w:bCs/>
          <w:i/>
          <w:lang w:val="en-US"/>
        </w:rPr>
        <w:t>U</w:t>
      </w:r>
      <w:r w:rsidRPr="007D1DDC">
        <w:rPr>
          <w:bCs/>
          <w:i/>
          <w:vertAlign w:val="subscript"/>
          <w:lang w:val="en-US"/>
        </w:rPr>
        <w:t>iq</w:t>
      </w:r>
      <w:proofErr w:type="spellEnd"/>
      <w:r w:rsidRPr="007D1DDC">
        <w:rPr>
          <w:bCs/>
          <w:lang w:val="en-US"/>
        </w:rPr>
        <w:t xml:space="preserve"> is modeled as a latent variable consisting of a deterministic component - known as representative utility, accounting for all elements of the decision that are known to the modeler - and of an error term, accounting for all elements that are ignored by the analyst including stochastic processes.</w:t>
      </w:r>
      <w:r w:rsidR="00357F65" w:rsidRPr="00357F65">
        <w:rPr>
          <w:bCs/>
          <w:noProof/>
        </w:rPr>
        <w:t xml:space="preserve"> </w:t>
      </w:r>
      <w:r w:rsidRPr="007D1DDC">
        <w:rPr>
          <w:bCs/>
          <w:lang w:val="en-US"/>
        </w:rPr>
        <w:t xml:space="preserve"> Consequentially, and assuming a linear additive representation, </w:t>
      </w:r>
      <w:proofErr w:type="spellStart"/>
      <w:r w:rsidRPr="007D1DDC">
        <w:rPr>
          <w:bCs/>
          <w:i/>
          <w:lang w:val="en-US"/>
        </w:rPr>
        <w:t>U</w:t>
      </w:r>
      <w:r w:rsidRPr="007D1DDC">
        <w:rPr>
          <w:bCs/>
          <w:i/>
          <w:vertAlign w:val="subscript"/>
          <w:lang w:val="en-US"/>
        </w:rPr>
        <w:t>iq</w:t>
      </w:r>
      <w:proofErr w:type="spellEnd"/>
      <w:r w:rsidRPr="007D1DDC">
        <w:rPr>
          <w:bCs/>
          <w:lang w:val="en-US"/>
        </w:rPr>
        <w:t xml:space="preserve"> can be expressed as:</w:t>
      </w:r>
    </w:p>
    <w:p w14:paraId="1404893B" w14:textId="3E0FF1A2" w:rsidR="00877347" w:rsidRDefault="007B604F">
      <w:pPr>
        <w:jc w:val="start"/>
        <w:rPr>
          <w:spacing w:val="-1"/>
          <w:lang w:eastAsia="x-none"/>
        </w:rPr>
      </w:pPr>
      <w:r w:rsidRPr="009957EE">
        <w:rPr>
          <w:bCs/>
          <w:noProof/>
          <w:lang w:val="en-GB" w:eastAsia="en-GB"/>
        </w:rPr>
        <w:lastRenderedPageBreak/>
        <w:drawing>
          <wp:anchor distT="45720" distB="45720" distL="114300" distR="114300" simplePos="0" relativeHeight="251733504" behindDoc="0" locked="0" layoutInCell="1" allowOverlap="1" wp14:anchorId="42C6F453" wp14:editId="49FD311D">
            <wp:simplePos x="0" y="0"/>
            <wp:positionH relativeFrom="margin">
              <wp:align>left</wp:align>
            </wp:positionH>
            <wp:positionV relativeFrom="paragraph">
              <wp:posOffset>6164580</wp:posOffset>
            </wp:positionV>
            <wp:extent cx="6400800" cy="2905125"/>
            <wp:effectExtent l="0" t="0" r="0" b="9525"/>
            <wp:wrapSquare wrapText="bothSides"/>
            <wp:docPr id="41" name="Tekstvak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400800" cy="2905125"/>
                    </a:xfrm>
                    <a:prstGeom prst="rect">
                      <a:avLst/>
                    </a:prstGeom>
                    <a:solidFill>
                      <a:srgbClr val="FFFFFF"/>
                    </a:solidFill>
                    <a:ln w="9525">
                      <a:noFill/>
                      <a:miter lim="800%"/>
                      <a:headEnd/>
                      <a:tailEnd/>
                    </a:ln>
                  </wp:spPr>
                  <wp:txbx>
                    <wne:txbxContent>
                      <w:p w14:paraId="012D4979" w14:textId="77777777" w:rsidR="00A92FC2" w:rsidRDefault="00A92FC2" w:rsidP="00877347">
                        <w:pPr>
                          <w:keepNext/>
                        </w:pPr>
                        <w:r w:rsidRPr="009957EE">
                          <w:rPr>
                            <w:noProof/>
                            <w:lang w:val="en-GB" w:eastAsia="en-GB"/>
                          </w:rPr>
                          <w:drawing>
                            <wp:inline distT="0" distB="0" distL="0" distR="0" wp14:anchorId="08C59EB2" wp14:editId="2AC9FB7E">
                              <wp:extent cx="5775325" cy="2414270"/>
                              <wp:effectExtent l="0" t="0" r="0" b="5080"/>
                              <wp:docPr id="219" name="Afbeelding 21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953"/>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5775325" cy="2414270"/>
                                      </a:xfrm>
                                      <a:prstGeom prst="rect">
                                        <a:avLst/>
                                      </a:prstGeom>
                                      <a:noFill/>
                                      <a:ln>
                                        <a:noFill/>
                                      </a:ln>
                                    </pic:spPr>
                                  </pic:pic>
                                </a:graphicData>
                              </a:graphic>
                            </wp:inline>
                          </w:drawing>
                        </w:r>
                      </w:p>
                      <w:p w14:paraId="41685291" w14:textId="77777777" w:rsidR="00A92FC2" w:rsidRDefault="00A92FC2" w:rsidP="00877347">
                        <w:pPr>
                          <w:pStyle w:val="Bijschrift"/>
                          <w:ind w:firstLine="36pt"/>
                          <w:jc w:val="start"/>
                          <w:rPr>
                            <w:color w:val="auto"/>
                          </w:rPr>
                        </w:pPr>
                        <w:r>
                          <w:rPr>
                            <w:color w:val="auto"/>
                          </w:rPr>
                          <w:t>a</w:t>
                        </w:r>
                        <w:r w:rsidRPr="009957EE">
                          <w:rPr>
                            <w:color w:val="auto"/>
                          </w:rPr>
                          <w:t>: Mobility hub artist impression in survey</w:t>
                        </w:r>
                        <w:r w:rsidRPr="009957EE">
                          <w:rPr>
                            <w:color w:val="auto"/>
                          </w:rPr>
                          <w:tab/>
                        </w:r>
                        <w:r w:rsidRPr="009957EE">
                          <w:rPr>
                            <w:color w:val="auto"/>
                          </w:rPr>
                          <w:tab/>
                        </w:r>
                        <w:r>
                          <w:rPr>
                            <w:color w:val="auto"/>
                          </w:rPr>
                          <w:tab/>
                          <w:t>b</w:t>
                        </w:r>
                        <w:r w:rsidRPr="009957EE">
                          <w:rPr>
                            <w:color w:val="auto"/>
                          </w:rPr>
                          <w:t>: Frames from the 3D animation</w:t>
                        </w:r>
                      </w:p>
                      <w:p w14:paraId="5A345393" w14:textId="77777777" w:rsidR="00A92FC2" w:rsidRPr="009957EE" w:rsidRDefault="00A92FC2" w:rsidP="00877347">
                        <w:pPr>
                          <w:pStyle w:val="Bijschrift"/>
                          <w:rPr>
                            <w:color w:val="auto"/>
                          </w:rPr>
                        </w:pPr>
                        <w:r>
                          <w:rPr>
                            <w:color w:val="auto"/>
                          </w:rPr>
                          <w:t>Fig 3.3: Examples of the demonstration of the mobility hub in the design of the survey</w:t>
                        </w:r>
                      </w:p>
                      <w:p w14:paraId="24771DF9" w14:textId="77777777" w:rsidR="00A92FC2" w:rsidRPr="009957EE" w:rsidRDefault="00A92FC2" w:rsidP="00877347"/>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sidR="00877347" w:rsidRPr="00C85738">
        <w:rPr>
          <w:bCs/>
          <w:noProof/>
          <w:lang w:val="en-GB" w:eastAsia="en-GB"/>
        </w:rPr>
        <w:drawing>
          <wp:anchor distT="45720" distB="45720" distL="114300" distR="114300" simplePos="0" relativeHeight="251731456" behindDoc="0" locked="0" layoutInCell="1" allowOverlap="1" wp14:anchorId="7C5EB782" wp14:editId="58B2E6D8">
            <wp:simplePos x="0" y="0"/>
            <wp:positionH relativeFrom="margin">
              <wp:posOffset>0</wp:posOffset>
            </wp:positionH>
            <wp:positionV relativeFrom="paragraph">
              <wp:posOffset>1905</wp:posOffset>
            </wp:positionV>
            <wp:extent cx="6381750" cy="6105525"/>
            <wp:effectExtent l="0" t="0" r="0" b="9525"/>
            <wp:wrapSquare wrapText="bothSides"/>
            <wp:docPr id="26" name="Tekstvak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381750" cy="6105525"/>
                    </a:xfrm>
                    <a:prstGeom prst="rect">
                      <a:avLst/>
                    </a:prstGeom>
                    <a:solidFill>
                      <a:srgbClr val="FFFFFF"/>
                    </a:solidFill>
                    <a:ln w="9525">
                      <a:noFill/>
                      <a:miter lim="800%"/>
                      <a:headEnd/>
                      <a:tailEnd/>
                    </a:ln>
                  </wp:spPr>
                  <wp:txbx>
                    <wne:txbxContent>
                      <w:p w14:paraId="6381DA62" w14:textId="77777777" w:rsidR="00A92FC2" w:rsidRDefault="00A92FC2" w:rsidP="00877347">
                        <w:pPr>
                          <w:keepNext/>
                        </w:pPr>
                        <w:r>
                          <w:rPr>
                            <w:noProof/>
                            <w:lang w:val="en-GB" w:eastAsia="en-GB"/>
                          </w:rPr>
                          <w:drawing>
                            <wp:inline distT="0" distB="0" distL="0" distR="0" wp14:anchorId="540D0BE5" wp14:editId="0099393E">
                              <wp:extent cx="6225540" cy="5448300"/>
                              <wp:effectExtent l="0" t="0" r="3810" b="0"/>
                              <wp:docPr id="220" name="Afbeelding 220"/>
                              <wp:cNvGraphicFramePr/>
                              <a:graphic xmlns:a="http://purl.oclc.org/ooxml/drawingml/main">
                                <a:graphicData uri="http://purl.oclc.org/ooxml/drawingml/picture">
                                  <pic:pic xmlns:pic="http://purl.oclc.org/ooxml/drawingml/picture">
                                    <pic:nvPicPr>
                                      <pic:cNvPr id="24" name="Afbeelding 24"/>
                                      <pic:cNvPicPr/>
                                    </pic:nvPicPr>
                                    <pic:blipFill>
                                      <a:blip r:embed="rId12">
                                        <a:grayscl/>
                                        <a:extLst>
                                          <a:ext uri="{28A0092B-C50C-407E-A947-70E740481C1C}">
                                            <a14:useLocalDpi xmlns:a14="http://schemas.microsoft.com/office/drawing/2010/main" val="0"/>
                                          </a:ext>
                                        </a:extLst>
                                      </a:blip>
                                      <a:stretch>
                                        <a:fillRect/>
                                      </a:stretch>
                                    </pic:blipFill>
                                    <pic:spPr>
                                      <a:xfrm>
                                        <a:off x="0" y="0"/>
                                        <a:ext cx="6225540" cy="5448300"/>
                                      </a:xfrm>
                                      <a:prstGeom prst="rect">
                                        <a:avLst/>
                                      </a:prstGeom>
                                    </pic:spPr>
                                  </pic:pic>
                                </a:graphicData>
                              </a:graphic>
                            </wp:inline>
                          </w:drawing>
                        </w:r>
                      </w:p>
                      <w:p w14:paraId="5D43C868" w14:textId="7598A0BC" w:rsidR="00A92FC2" w:rsidRPr="002474E5" w:rsidRDefault="00A92FC2" w:rsidP="007B604F">
                        <w:pPr>
                          <w:pStyle w:val="Bijschrift"/>
                          <w:ind w:firstLine="36pt"/>
                          <w:jc w:val="start"/>
                          <w:rPr>
                            <w:color w:val="auto"/>
                            <w:sz w:val="20"/>
                            <w:szCs w:val="20"/>
                          </w:rPr>
                        </w:pPr>
                        <w:r w:rsidRPr="002474E5">
                          <w:rPr>
                            <w:color w:val="auto"/>
                            <w:sz w:val="20"/>
                            <w:szCs w:val="20"/>
                          </w:rPr>
                          <w:t>PT = Public Transport, CBD = Central Business District</w:t>
                        </w:r>
                      </w:p>
                      <w:p w14:paraId="07A3DAC4" w14:textId="4828B8BB" w:rsidR="00A92FC2" w:rsidRPr="008B5B8D" w:rsidRDefault="00A92FC2" w:rsidP="00877347">
                        <w:pPr>
                          <w:pStyle w:val="Bijschrift"/>
                          <w:rPr>
                            <w:color w:val="auto"/>
                          </w:rPr>
                        </w:pPr>
                        <w:r w:rsidRPr="008B5B8D">
                          <w:rPr>
                            <w:color w:val="auto"/>
                          </w:rPr>
                          <w:t xml:space="preserve">Fig. </w:t>
                        </w:r>
                        <w:r>
                          <w:rPr>
                            <w:color w:val="auto"/>
                          </w:rPr>
                          <w:t>3.2</w:t>
                        </w:r>
                        <w:r w:rsidRPr="008B5B8D">
                          <w:rPr>
                            <w:color w:val="auto"/>
                          </w:rPr>
                          <w:t>: Flowchart of the online</w:t>
                        </w:r>
                        <w:r>
                          <w:rPr>
                            <w:color w:val="auto"/>
                          </w:rPr>
                          <w:t xml:space="preserve"> joint revealed and stated preference</w:t>
                        </w:r>
                        <w:r w:rsidRPr="008B5B8D">
                          <w:rPr>
                            <w:color w:val="auto"/>
                          </w:rPr>
                          <w:t xml:space="preserve"> survey</w:t>
                        </w:r>
                      </w:p>
                      <w:p w14:paraId="340C39AA" w14:textId="77777777" w:rsidR="00A92FC2" w:rsidRPr="00850A9C" w:rsidRDefault="00A92FC2" w:rsidP="00877347"/>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sidR="00877347">
        <w:t xml:space="preserve"> </w:t>
      </w:r>
      <w:r w:rsidR="00877347">
        <w:br w:type="page"/>
      </w:r>
    </w:p>
    <w:p w14:paraId="4793BDB2" w14:textId="199195D2" w:rsidR="008B5B8D" w:rsidRDefault="008B5B8D" w:rsidP="008B5B8D">
      <w:pPr>
        <w:pStyle w:val="Plattetekst"/>
        <w:jc w:val="end"/>
        <w:rPr>
          <w:i/>
          <w:color w:val="000000"/>
          <w:lang w:val="en-US"/>
        </w:rPr>
      </w:pPr>
      <w:r w:rsidRPr="00237877">
        <w:rPr>
          <w:position w:val="-14"/>
          <w:lang w:val="en-US"/>
        </w:rPr>
        <mc:AlternateContent>
          <mc:Choice Requires="v">
            <w:object w:dxaOrig="89pt" w:dyaOrig="19pt" w14:anchorId="34326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19.5pt" o:ole="">
                <v:imagedata r:id="rId13" o:title=""/>
              </v:shape>
              <o:OLEObject Type="Embed" ProgID="Equation.DSMT4" ShapeID="_x0000_i1025" DrawAspect="Content" ObjectID="_1641671363" r:id="rId14"/>
            </w:object>
          </mc:Choice>
          <mc:Fallback>
            <w:object>
              <w:drawing>
                <wp:inline distT="0" distB="0" distL="0" distR="0" wp14:anchorId="38063EE2" wp14:editId="62D001DF">
                  <wp:extent cx="1114425" cy="247650"/>
                  <wp:effectExtent l="0" t="0" r="9525" b="0"/>
                  <wp:docPr id="3" name="Object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1"/>
                          <pic:cNvPicPr>
                            <a:picLocks noChangeAspect="1" noChangeArrowheads="1"/>
                            <a:extLst>
                              <a:ext uri="{837473B0-CC2E-450a-ABE3-18F120FF3D37}">
                                <a15:objectPr xmlns:a15="http://schemas.microsoft.com/office/drawing/2012/main" objectId="_1641671363" isActiveX="0" linkType=""/>
                              </a:ext>
                            </a:extLst>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425" cy="247650"/>
                          </a:xfrm>
                          <a:prstGeom prst="rect">
                            <a:avLst/>
                          </a:prstGeom>
                          <a:noFill/>
                          <a:ln>
                            <a:noFill/>
                          </a:ln>
                        </pic:spPr>
                      </pic:pic>
                    </a:graphicData>
                  </a:graphic>
                </wp:inline>
              </w:drawing>
              <w:objectEmbed w:drawAspect="content" r:id="rId14" w:progId="Equation.DSMT4" w:shapeId="3" w:fieldCodes=""/>
            </w:object>
          </mc:Fallback>
        </mc:AlternateContent>
      </w:r>
      <w:r w:rsidRPr="00343FE7">
        <w:rPr>
          <w:color w:val="000000"/>
          <w:lang w:val="en-US"/>
        </w:rPr>
        <w:tab/>
      </w:r>
      <w:r>
        <w:rPr>
          <w:color w:val="000000"/>
          <w:lang w:val="en-US"/>
        </w:rPr>
        <w:tab/>
      </w:r>
      <w:r>
        <w:rPr>
          <w:color w:val="000000"/>
          <w:lang w:val="en-US"/>
        </w:rPr>
        <w:tab/>
      </w:r>
      <w:r w:rsidRPr="00407113">
        <w:rPr>
          <w:i/>
          <w:color w:val="000000"/>
          <w:lang w:val="en-US"/>
        </w:rPr>
        <w:t>(1)</w:t>
      </w:r>
    </w:p>
    <w:p w14:paraId="14B8A454" w14:textId="4AE463D6" w:rsidR="00842673" w:rsidRDefault="00842673" w:rsidP="001C7897">
      <w:pPr>
        <w:jc w:val="start"/>
        <w:rPr>
          <w:bCs/>
        </w:rPr>
      </w:pPr>
    </w:p>
    <w:p w14:paraId="09E13726" w14:textId="59ED69EB" w:rsidR="008B5B8D" w:rsidRDefault="00842673" w:rsidP="00D758EE">
      <w:pPr>
        <w:jc w:val="both"/>
        <w:rPr>
          <w:bCs/>
        </w:rPr>
      </w:pPr>
      <w:r>
        <w:rPr>
          <w:bCs/>
        </w:rPr>
        <w:t>w</w:t>
      </w:r>
      <w:r w:rsidR="007D1DDC" w:rsidRPr="007D1DDC">
        <w:rPr>
          <w:bCs/>
        </w:rPr>
        <w:t>here the first summand stands for the representative utility and co</w:t>
      </w:r>
      <w:r w:rsidR="00357F65" w:rsidRPr="00357F65">
        <w:rPr>
          <w:noProof/>
        </w:rPr>
        <w:t xml:space="preserve"> </w:t>
      </w:r>
      <w:r w:rsidR="007D1DDC" w:rsidRPr="007D1DDC">
        <w:rPr>
          <w:bCs/>
        </w:rPr>
        <w:t xml:space="preserve">nsist of a (1 x </w:t>
      </w:r>
      <w:r w:rsidR="007D1DDC" w:rsidRPr="007D1DDC">
        <w:rPr>
          <w:bCs/>
          <w:i/>
        </w:rPr>
        <w:t>K</w:t>
      </w:r>
      <w:r w:rsidR="007D1DDC" w:rsidRPr="007D1DDC">
        <w:rPr>
          <w:bCs/>
        </w:rPr>
        <w:t xml:space="preserve">) row vector </w:t>
      </w:r>
      <w:r w:rsidR="007D1DDC" w:rsidRPr="00FA2583">
        <w:rPr>
          <w:rFonts w:ascii="Symbol" w:hAnsi="Symbol"/>
          <w:bCs/>
          <w:i/>
        </w:rPr>
        <w:t></w:t>
      </w:r>
      <w:r w:rsidR="007D1DDC" w:rsidRPr="007D1DDC">
        <w:rPr>
          <w:bCs/>
          <w:i/>
          <w:vertAlign w:val="subscript"/>
        </w:rPr>
        <w:t>iq</w:t>
      </w:r>
      <w:r w:rsidR="007D1DDC" w:rsidRPr="007D1DDC">
        <w:rPr>
          <w:bCs/>
        </w:rPr>
        <w:t xml:space="preserve"> of parameters to be estimated (which may or may not be alternative and/or individual specific) multiplied with a (K x 1) column vector of attributes (including a constant) </w:t>
      </w:r>
      <w:r w:rsidR="007D1DDC" w:rsidRPr="007D1DDC">
        <w:rPr>
          <w:bCs/>
          <w:i/>
        </w:rPr>
        <w:t>X</w:t>
      </w:r>
      <w:r w:rsidR="007D1DDC" w:rsidRPr="007D1DDC">
        <w:rPr>
          <w:bCs/>
          <w:i/>
          <w:vertAlign w:val="subscript"/>
        </w:rPr>
        <w:t>iq</w:t>
      </w:r>
      <w:r w:rsidR="007D1DDC" w:rsidRPr="007D1DDC">
        <w:rPr>
          <w:bCs/>
        </w:rPr>
        <w:t xml:space="preserve">. The second summand correspond to the error coefficient for unobserved variation. Assuming independent and identically distributed error terms following an Extreme Value Type 1 distribution (EV1), with scale parameter </w:t>
      </w:r>
      <w:r w:rsidR="007D1DDC" w:rsidRPr="00FA2583">
        <w:rPr>
          <w:rFonts w:ascii="Symbol" w:hAnsi="Symbol"/>
          <w:bCs/>
          <w:i/>
        </w:rPr>
        <w:t></w:t>
      </w:r>
      <w:r w:rsidR="007D1DDC" w:rsidRPr="00FA2583">
        <w:rPr>
          <w:rFonts w:ascii="Symbol" w:hAnsi="Symbol"/>
          <w:bCs/>
        </w:rPr>
        <w:t></w:t>
      </w:r>
      <w:r w:rsidR="007D1DDC" w:rsidRPr="007D1DDC">
        <w:rPr>
          <w:bCs/>
        </w:rPr>
        <w:t xml:space="preserve">and equal mode, leads to the well-known Multinomial Logit (MNL) kernel </w:t>
      </w:r>
      <w:r w:rsidR="00517676">
        <w:rPr>
          <w:bCs/>
        </w:rPr>
        <w:fldChar w:fldCharType="begin" w:fldLock="1"/>
      </w:r>
      <w:r w:rsidR="00A92DA0">
        <w:rPr>
          <w:bCs/>
        </w:rPr>
        <w:instrText>ADDIN CSL_CITATION {"citationItems":[{"id":"ITEM-1","itemData":{"DOI":"10.2307/134305","ISSN":"00084085","abstract":"The book develops a theory of demand, for populations of individual economic consumers, which is believed to be a logical and natural generalization of traditional theory to include choice among discrete alternatives. The theory is developed in the following chapters- (1) the scope and objectives of urban travel demand analysis, (2) a survey of urban travel demand models, (3) a theory of individual travel demand, (4) a theory of population travel demand behavior, (5) statistical estimation of choice probability functions, (6) data, sample and variables, and (7) estimation results and conclusions.","author":[{"dropping-particle":"","family":"Gaudry","given":"Marc","non-dropping-particle":"","parse-names":false,"suffix":""},{"dropping-particle":"","family":"Domencich","given":"Thomas A","non-dropping-particle":"","parse-names":false,"suffix":""},{"dropping-particle":"","family":"McFadden","given":"Daniel","non-dropping-particle":"","parse-names":false,"suffix":""}],"container-title":"The Canadian Journal of Economics","id":"ITEM-1","issued":{"date-parts":[["1977"]]},"title":"Urban Travel Demand: A Behavioral Analysis","type":"article-journal"},"uris":["http://www.mendeley.com/documents/?uuid=b654ab73-fea9-455b-b370-349d3bc9c019"]}],"mendeley":{"formattedCitation":"[50]","plainTextFormattedCitation":"[50]","previouslyFormattedCitation":"[50]"},"properties":{"noteIndex":0},"schema":"https://github.com/citation-style-language/schema/raw/master/csl-citation.json"}</w:instrText>
      </w:r>
      <w:r w:rsidR="00517676">
        <w:rPr>
          <w:bCs/>
        </w:rPr>
        <w:fldChar w:fldCharType="separate"/>
      </w:r>
      <w:r w:rsidR="00A92DA0" w:rsidRPr="00A92DA0">
        <w:rPr>
          <w:bCs/>
          <w:noProof/>
        </w:rPr>
        <w:t>[50]</w:t>
      </w:r>
      <w:r w:rsidR="00517676">
        <w:rPr>
          <w:bCs/>
        </w:rPr>
        <w:fldChar w:fldCharType="end"/>
      </w:r>
      <w:r w:rsidR="00517676">
        <w:rPr>
          <w:bCs/>
        </w:rPr>
        <w:t xml:space="preserve">, </w:t>
      </w:r>
      <w:r w:rsidR="007D1DDC" w:rsidRPr="007D1DDC">
        <w:rPr>
          <w:bCs/>
        </w:rPr>
        <w:t>which is characterized by the following probabilities</w:t>
      </w:r>
      <w:r w:rsidR="00517676">
        <w:rPr>
          <w:bCs/>
        </w:rPr>
        <w:t xml:space="preserve"> </w:t>
      </w:r>
      <w:r w:rsidR="00517676">
        <w:rPr>
          <w:bCs/>
        </w:rPr>
        <w:fldChar w:fldCharType="begin" w:fldLock="1"/>
      </w:r>
      <w:r w:rsidR="00A92DA0">
        <w:rPr>
          <w:bCs/>
        </w:rPr>
        <w:instrText>ADDIN CSL_CITATION {"citationItems":[{"id":"ITEM-1","itemData":{"DOI":"10.1017/CBO9780511805271","ISBN":"9780511805271","abstract":"This book describes the new generation of discrete choice methods, focusing on the many advances that are made possible by simulation. Researchers use these statistical methods to examine the choices that consumers, households, firms, and other agents make. Each of the major models is covered: logit, generalized extreme value, or GEV (including nested and cross-nested logits), probit, and mixed logit, plus a variety of specifications that build on these basics. Recent advances in Bayesian procedures are explored, including the use of the Metropolis-Hastings algorithm and its variant Gibbs sampling. This second edition adds chapters on endogeneity and expectation-maximization (EM) algorithms. No other book incorporates all these fields, which have arisen in the past 25 years. The procedures are applicable in many fields, including energy, transportation, environmental studies, health, labor, and marketing.","author":[{"dropping-particle":"","family":"Train","given":"Kenneth E.","non-dropping-particle":"","parse-names":false,"suffix":""}],"container-title":"Discrete Choice Methods with Simulation, Second Edition","id":"ITEM-1","issued":{"date-parts":[["2009"]]},"number-of-pages":"1-388","title":"Discrete choice methods with simulation, second edition","type":"book","volume":"9780521766"},"uris":["http://www.mendeley.com/documents/?uuid=1b1a39bd-9879-4fd5-bad4-c16981bd9d44"]},{"id":"ITEM-2","itemData":{"DOI":"10.1002/9781119993308","ISBN":"9780470760390","abstract":"Already the market leader in the field, Modelling Transport has become still more indispensible following a thorough and detailed update. Enhancements include two entirely new chapters on modelling for private sector projects and on activity-based modelling; a new section on dynamic assignment and micro-simulation; and sizeable updates to sections on disaggregate modelling and stated preference design and analysis. It also tackles topical issues such as valuation of externalities and the role of GPS in travel time surveys. Providing unrivalled depth and breadth of coverage, each topic is approached as a modelling exercise with discussion of the roles of theory, data, model specification, estimation, validation and application. The authors present the state of the art and its practical application in a pedagogic manner, easily understandable to both students and practitioners. Follows on from the highly successful third edition universally acknowledged as the leading text on transport modelling techniques and applications. Includes two new chapters on modelling for private sector projects and activity based modeling, and numerous updates to existing chapters. Incorporates treatment of recent issues and concerns like risk analysis and the dynamic interaction between land use and transport. Provides comprehensive and rigorous information and guidance, enabling readers to make practical use of every available technique. Relates the topics to new external factors and technologies such as global warming, valuation of externalities and global positioning systems (GPS). © 2011 John Wiley &amp; Sons, Ltd.","author":[{"dropping-particle":"","family":"Ortúzar","given":"Juan de Dios","non-dropping-particle":"","parse-names":false,"suffix":""},{"dropping-particle":"","family":"Willumsen","given":"Luis G.","non-dropping-particle":"","parse-names":false,"suffix":""}],"container-title":"Modelling Transport","id":"ITEM-2","issued":{"date-parts":[["2011"]]},"title":"Modelling Transport","type":"book"},"uris":["http://www.mendeley.com/documents/?uuid=a05df13b-71e1-43d3-b533-aad3afc2a30f"]}],"mendeley":{"formattedCitation":"[51], [52]","plainTextFormattedCitation":"[51], [52]","previouslyFormattedCitation":"[51], [52]"},"properties":{"noteIndex":0},"schema":"https://github.com/citation-style-language/schema/raw/master/csl-citation.json"}</w:instrText>
      </w:r>
      <w:r w:rsidR="00517676">
        <w:rPr>
          <w:bCs/>
        </w:rPr>
        <w:fldChar w:fldCharType="separate"/>
      </w:r>
      <w:r w:rsidR="00A92DA0" w:rsidRPr="00A92DA0">
        <w:rPr>
          <w:bCs/>
          <w:noProof/>
        </w:rPr>
        <w:t>[51], [52]</w:t>
      </w:r>
      <w:r w:rsidR="00517676">
        <w:rPr>
          <w:bCs/>
        </w:rPr>
        <w:fldChar w:fldCharType="end"/>
      </w:r>
      <w:r w:rsidR="007D1DDC" w:rsidRPr="007D1DDC">
        <w:rPr>
          <w:bCs/>
        </w:rPr>
        <w:t>:</w:t>
      </w:r>
    </w:p>
    <w:p w14:paraId="246B7637" w14:textId="77777777" w:rsidR="00F867D5" w:rsidRPr="007D1DDC" w:rsidRDefault="00F867D5" w:rsidP="00D758EE">
      <w:pPr>
        <w:jc w:val="both"/>
        <w:rPr>
          <w:bCs/>
        </w:rPr>
      </w:pPr>
    </w:p>
    <w:p w14:paraId="200D6C59" w14:textId="179B3B98" w:rsidR="008B5B8D" w:rsidRDefault="008B5B8D" w:rsidP="008B5B8D">
      <w:pPr>
        <w:spacing w:line="24pt" w:lineRule="auto"/>
        <w:jc w:val="end"/>
        <w:rPr>
          <w:i/>
          <w:color w:val="000000"/>
        </w:rPr>
      </w:pPr>
      <w:r w:rsidRPr="00237877">
        <w:rPr>
          <w:position w:val="-58"/>
        </w:rPr>
        <mc:AlternateContent>
          <mc:Choice Requires="v">
            <w:object w:dxaOrig="85.95pt" w:dyaOrig="53pt" w14:anchorId="3B5B9574">
              <v:shape id="_x0000_i1026" type="#_x0000_t75" style="width:85.5pt;height:54pt" o:ole="">
                <v:imagedata r:id="rId16" o:title=""/>
              </v:shape>
              <o:OLEObject Type="Embed" ProgID="Equation.DSMT4" ShapeID="_x0000_i1026" DrawAspect="Content" ObjectID="_1641671364" r:id="rId17"/>
            </w:object>
          </mc:Choice>
          <mc:Fallback>
            <w:object>
              <w:drawing>
                <wp:inline distT="0" distB="0" distL="0" distR="0" wp14:anchorId="612331C6" wp14:editId="0C0CF068">
                  <wp:extent cx="1085850" cy="685800"/>
                  <wp:effectExtent l="0" t="0" r="0" b="0"/>
                  <wp:docPr id="3" name="Object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2"/>
                          <pic:cNvPicPr>
                            <a:picLocks noChangeAspect="1" noChangeArrowheads="1"/>
                            <a:extLst>
                              <a:ext uri="{837473B0-CC2E-450a-ABE3-18F120FF3D37}">
                                <a15:objectPr xmlns:a15="http://schemas.microsoft.com/office/drawing/2012/main" objectId="_1641671364" isActiveX="0" linkType=""/>
                              </a:ext>
                            </a:extLst>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5850" cy="685800"/>
                          </a:xfrm>
                          <a:prstGeom prst="rect">
                            <a:avLst/>
                          </a:prstGeom>
                          <a:noFill/>
                          <a:ln>
                            <a:noFill/>
                          </a:ln>
                        </pic:spPr>
                      </pic:pic>
                    </a:graphicData>
                  </a:graphic>
                </wp:inline>
              </w:drawing>
              <w:objectEmbed w:drawAspect="content" r:id="rId17" w:progId="Equation.DSMT4" w:shapeId="3" w:fieldCodes=""/>
            </w:object>
          </mc:Fallback>
        </mc:AlternateContent>
      </w:r>
      <w:r>
        <w:tab/>
      </w:r>
      <w:r>
        <w:rPr>
          <w:color w:val="000000"/>
        </w:rPr>
        <w:tab/>
      </w:r>
      <w:r w:rsidRPr="00337EE8">
        <w:rPr>
          <w:i/>
          <w:color w:val="000000"/>
        </w:rPr>
        <w:t>(</w:t>
      </w:r>
      <w:r>
        <w:rPr>
          <w:i/>
          <w:color w:val="000000"/>
        </w:rPr>
        <w:t>2</w:t>
      </w:r>
      <w:r w:rsidRPr="00337EE8">
        <w:rPr>
          <w:i/>
          <w:color w:val="000000"/>
        </w:rPr>
        <w:t>)</w:t>
      </w:r>
    </w:p>
    <w:p w14:paraId="3E024702" w14:textId="1803834B" w:rsidR="007D1DDC" w:rsidRPr="007D1DDC" w:rsidRDefault="007D1DDC" w:rsidP="007D1DDC">
      <w:pPr>
        <w:pStyle w:val="Plattetekst"/>
        <w:rPr>
          <w:bCs/>
          <w:lang w:val="en-US"/>
        </w:rPr>
      </w:pPr>
      <w:r w:rsidRPr="007D1DDC">
        <w:rPr>
          <w:bCs/>
          <w:lang w:val="en-US"/>
        </w:rPr>
        <w:t>where</w:t>
      </w:r>
      <w:r w:rsidRPr="007D1DDC">
        <w:rPr>
          <w:bCs/>
          <w:i/>
          <w:lang w:val="en-US"/>
        </w:rPr>
        <w:t xml:space="preserve"> </w:t>
      </w:r>
      <w:r w:rsidRPr="00FA2583">
        <w:rPr>
          <w:rFonts w:ascii="Symbol" w:hAnsi="Symbol"/>
          <w:bCs/>
          <w:i/>
          <w:lang w:val="en-US"/>
        </w:rPr>
        <w:t></w:t>
      </w:r>
      <w:r w:rsidRPr="00FA2583">
        <w:rPr>
          <w:rFonts w:ascii="Symbol" w:hAnsi="Symbol"/>
          <w:bCs/>
          <w:i/>
          <w:lang w:val="en-US"/>
        </w:rPr>
        <w:t></w:t>
      </w:r>
      <w:r w:rsidRPr="007D1DDC">
        <w:rPr>
          <w:bCs/>
          <w:lang w:val="en-US"/>
        </w:rPr>
        <w:t xml:space="preserve">is not identifiable and can be fixed at 1 without loss of generality. Note that no restriction applies to the vector </w:t>
      </w:r>
      <w:r w:rsidRPr="007D1DDC">
        <w:rPr>
          <w:bCs/>
          <w:i/>
          <w:lang w:val="en-US"/>
        </w:rPr>
        <w:t>X</w:t>
      </w:r>
      <w:r w:rsidRPr="007D1DDC">
        <w:rPr>
          <w:bCs/>
          <w:i/>
          <w:vertAlign w:val="subscript"/>
          <w:lang w:val="en-US"/>
        </w:rPr>
        <w:t xml:space="preserve">iq </w:t>
      </w:r>
      <w:r w:rsidRPr="007D1DDC">
        <w:rPr>
          <w:bCs/>
          <w:lang w:val="en-US"/>
        </w:rPr>
        <w:t>as long as it is linearly independent across alternatives and across observations. Consequentially, it may be specified in such way that a certain element is given by the product of other elements. A particular case is given when a certain element stands for the product of a numerical variable with a dichotomous variable representing a given group of individuals. This specification allows capturing systematic taste variations across the population.</w:t>
      </w:r>
    </w:p>
    <w:p w14:paraId="786AE5CC" w14:textId="77777777" w:rsidR="007D1DDC" w:rsidRPr="007D1DDC" w:rsidRDefault="007D1DDC" w:rsidP="007D1DDC">
      <w:pPr>
        <w:pStyle w:val="Plattetekst"/>
        <w:rPr>
          <w:bCs/>
          <w:lang w:val="en-US"/>
        </w:rPr>
      </w:pPr>
      <w:r w:rsidRPr="007D1DDC">
        <w:rPr>
          <w:bCs/>
          <w:lang w:val="en-US"/>
        </w:rPr>
        <w:t xml:space="preserve">The main limitation of this framework is, however, the assumption of i.i.d error terms. Given the nature of our experiment, four out of five alternatives are associated with a change of the home location to a house located near a mobility hub, while two alternatives (the current alternative and one of the new location alternatives) are associated with the same transportation mode. Consequentially, it is possible that the alternatives associated with the same location or the same transportation mode may be correlated. </w:t>
      </w:r>
    </w:p>
    <w:p w14:paraId="37FECDA7" w14:textId="42844D35" w:rsidR="007D1DDC" w:rsidRPr="007D1DDC" w:rsidRDefault="007D1DDC" w:rsidP="007D1DDC">
      <w:pPr>
        <w:pStyle w:val="Plattetekst"/>
        <w:rPr>
          <w:bCs/>
          <w:lang w:val="en-US"/>
        </w:rPr>
      </w:pPr>
      <w:r w:rsidRPr="007D1DDC">
        <w:rPr>
          <w:bCs/>
          <w:lang w:val="en-US"/>
        </w:rPr>
        <w:t xml:space="preserve">The Nested Logit (NL) model </w:t>
      </w:r>
      <w:r w:rsidR="00237509">
        <w:rPr>
          <w:bCs/>
          <w:lang w:val="en-US"/>
        </w:rPr>
        <w:fldChar w:fldCharType="begin" w:fldLock="1"/>
      </w:r>
      <w:r w:rsidR="00A92DA0">
        <w:rPr>
          <w:bCs/>
          <w:lang w:val="en-US"/>
        </w:rPr>
        <w:instrText>ADDIN CSL_CITATION {"citationItems":[{"id":"ITEM-1","itemData":{"DOI":"10.1068/a090285","ISSN":"0308-518X","abstract":"This paper examines a variety of issues within the context of two main themes: the formation of travel demand and economic evaluation measures which are mutually consistent within a theory of rational choice; and a consideration of the structure of models which are representations of the trip decision process over several dimensions: location, mode, and route. Random utility theory is invoked to explore both the role and properties of composite costs or index prices in the 'recursive' approach to the structuring of travel choice models, and their significance in the economic evaluation problem. It is shown that the specification of these costs must be made very precisely, with respect to the demand model form chosen, in order to retain the underlying assumption that the traveller is an optimal decisionmaker. It is argued that the structure of 'simultaneous' models currently in use is inconsistent with the form of utility function assumed to generate these models. Furthermore, it is shown that the 'simultaneous' and 'recursive' forms are special cases of a more general choice model structure which takes specific account of correlation or 'commonality' of trip attributes. A number of applications are discussed in which consistent demand models and perceived user benefit measures are constructed. These include the formation of strategic transport planning models and of models for mixed-mode, multimode, and multiroute systems. The formalism allows definitive answers to be given to a number of problems of current interest in transportation planning, which have been incorrectly or incompletely treated.","author":[{"dropping-particle":"","family":"Williams","given":"H C W L","non-dropping-particle":"","parse-names":false,"suffix":""}],"container-title":"Environment and Planning A: Economy and Space","id":"ITEM-1","issued":{"date-parts":[["1977"]]},"title":"On the Formation of Travel Demand Models and Economic Evaluation Measures of User Benefit","type":"article-journal"},"uris":["http://www.mendeley.com/documents/?uuid=81e4c34d-0a4e-4958-bba0-d2af6e00ffa5"]}],"mendeley":{"formattedCitation":"[53]","plainTextFormattedCitation":"[53]","previouslyFormattedCitation":"[53]"},"properties":{"noteIndex":0},"schema":"https://github.com/citation-style-language/schema/raw/master/csl-citation.json"}</w:instrText>
      </w:r>
      <w:r w:rsidR="00237509">
        <w:rPr>
          <w:bCs/>
          <w:lang w:val="en-US"/>
        </w:rPr>
        <w:fldChar w:fldCharType="separate"/>
      </w:r>
      <w:r w:rsidR="00A92DA0" w:rsidRPr="00A92DA0">
        <w:rPr>
          <w:bCs/>
          <w:noProof/>
          <w:lang w:val="en-US"/>
        </w:rPr>
        <w:t>[53]</w:t>
      </w:r>
      <w:r w:rsidR="00237509">
        <w:rPr>
          <w:bCs/>
          <w:lang w:val="en-US"/>
        </w:rPr>
        <w:fldChar w:fldCharType="end"/>
      </w:r>
      <w:r w:rsidRPr="007D1DDC">
        <w:rPr>
          <w:bCs/>
          <w:lang w:val="en-US"/>
        </w:rPr>
        <w:t xml:space="preserve"> allows to treat correlation by grouping the alternatives into non overlapping-nests </w:t>
      </w:r>
      <w:r w:rsidRPr="007D1DDC">
        <w:rPr>
          <w:bCs/>
          <w:i/>
          <w:lang w:val="en-US"/>
        </w:rPr>
        <w:t xml:space="preserve">n </w:t>
      </w:r>
      <w:r w:rsidRPr="007D1DDC">
        <w:rPr>
          <w:bCs/>
          <w:lang w:val="en-US"/>
        </w:rPr>
        <w:t>and by specifying the error terms as:</w:t>
      </w:r>
    </w:p>
    <w:p w14:paraId="452453F6" w14:textId="77777777" w:rsidR="00814BFE" w:rsidRDefault="00814BFE" w:rsidP="00814BFE">
      <w:pPr>
        <w:spacing w:line="24pt" w:lineRule="auto"/>
        <w:jc w:val="end"/>
        <w:rPr>
          <w:i/>
          <w:color w:val="000000"/>
        </w:rPr>
      </w:pPr>
      <w:r w:rsidRPr="00237877">
        <w:rPr>
          <w:position w:val="-16"/>
        </w:rPr>
        <mc:AlternateContent>
          <mc:Choice Requires="v">
            <w:object w:dxaOrig="64pt" w:dyaOrig="21pt" w14:anchorId="4381454D">
              <v:shape id="_x0000_i1027" type="#_x0000_t75" style="width:63pt;height:21.75pt" o:ole="">
                <v:imagedata r:id="rId19" o:title=""/>
              </v:shape>
              <o:OLEObject Type="Embed" ProgID="Equation.DSMT4" ShapeID="_x0000_i1027" DrawAspect="Content" ObjectID="_1641671365" r:id="rId20"/>
            </w:object>
          </mc:Choice>
          <mc:Fallback>
            <w:object>
              <w:drawing>
                <wp:inline distT="0" distB="0" distL="0" distR="0" wp14:anchorId="057E9DCA" wp14:editId="6B686454">
                  <wp:extent cx="800100" cy="276225"/>
                  <wp:effectExtent l="0" t="0" r="0" b="9525"/>
                  <wp:docPr id="3" name="Object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3"/>
                          <pic:cNvPicPr>
                            <a:picLocks noChangeAspect="1" noChangeArrowheads="1"/>
                            <a:extLst>
                              <a:ext uri="{837473B0-CC2E-450a-ABE3-18F120FF3D37}">
                                <a15:objectPr xmlns:a15="http://schemas.microsoft.com/office/drawing/2012/main" objectId="_1641671365" isActiveX="0" linkType=""/>
                              </a:ext>
                            </a:extLst>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objectEmbed w:drawAspect="content" r:id="rId20" w:progId="Equation.DSMT4" w:shapeId="3" w:fieldCodes=""/>
            </w:object>
          </mc:Fallback>
        </mc:AlternateContent>
      </w:r>
      <w:r w:rsidRPr="00343FE7">
        <w:rPr>
          <w:color w:val="000000"/>
        </w:rPr>
        <w:tab/>
      </w:r>
      <w:r w:rsidRPr="00343FE7">
        <w:rPr>
          <w:color w:val="000000"/>
        </w:rPr>
        <w:tab/>
      </w:r>
      <w:r>
        <w:rPr>
          <w:color w:val="000000"/>
        </w:rPr>
        <w:tab/>
      </w:r>
      <w:r w:rsidRPr="00337EE8">
        <w:rPr>
          <w:i/>
          <w:color w:val="000000"/>
        </w:rPr>
        <w:t>(</w:t>
      </w:r>
      <w:r>
        <w:rPr>
          <w:i/>
          <w:color w:val="000000"/>
        </w:rPr>
        <w:t>3</w:t>
      </w:r>
      <w:r w:rsidRPr="00337EE8">
        <w:rPr>
          <w:i/>
          <w:color w:val="000000"/>
        </w:rPr>
        <w:t>)</w:t>
      </w:r>
    </w:p>
    <w:p w14:paraId="6C016906" w14:textId="12A85AFA" w:rsidR="001C7897" w:rsidRDefault="007D1DDC" w:rsidP="00842673">
      <w:pPr>
        <w:pStyle w:val="Plattetekst"/>
      </w:pPr>
      <w:r w:rsidRPr="007D1DDC">
        <w:rPr>
          <w:bCs/>
          <w:lang w:val="en-US"/>
        </w:rPr>
        <w:t xml:space="preserve">where the error term </w:t>
      </w:r>
      <w:r w:rsidRPr="00FA2583">
        <w:rPr>
          <w:rFonts w:ascii="Symbol" w:hAnsi="Symbol"/>
          <w:bCs/>
          <w:i/>
          <w:lang w:val="en-US"/>
        </w:rPr>
        <w:t></w:t>
      </w:r>
      <w:r w:rsidRPr="007D1DDC">
        <w:rPr>
          <w:bCs/>
          <w:i/>
          <w:vertAlign w:val="superscript"/>
          <w:lang w:val="en-US"/>
        </w:rPr>
        <w:t>*</w:t>
      </w:r>
      <w:r w:rsidRPr="007D1DDC">
        <w:rPr>
          <w:bCs/>
          <w:i/>
          <w:vertAlign w:val="subscript"/>
          <w:lang w:val="en-US"/>
        </w:rPr>
        <w:t>iq</w:t>
      </w:r>
      <w:r w:rsidRPr="007D1DDC">
        <w:rPr>
          <w:bCs/>
          <w:lang w:val="en-US"/>
        </w:rPr>
        <w:t xml:space="preserve"> is independently and identically distributed across alternatives belonging to the same nest </w:t>
      </w:r>
      <w:r w:rsidRPr="007D1DDC">
        <w:rPr>
          <w:bCs/>
          <w:i/>
          <w:lang w:val="en-US"/>
        </w:rPr>
        <w:t>n</w:t>
      </w:r>
      <w:r w:rsidRPr="007D1DDC">
        <w:rPr>
          <w:bCs/>
          <w:lang w:val="en-US"/>
        </w:rPr>
        <w:t xml:space="preserve">, and it follows an EV1 distribution with equal mode and same nest-specific scale parameter </w:t>
      </w:r>
      <w:r w:rsidRPr="00FA2583">
        <w:rPr>
          <w:rFonts w:ascii="Symbol" w:hAnsi="Symbol"/>
          <w:bCs/>
          <w:i/>
          <w:lang w:val="en-US"/>
        </w:rPr>
        <w:t></w:t>
      </w:r>
      <w:r w:rsidRPr="00FA2583">
        <w:rPr>
          <w:rFonts w:ascii="Symbol" w:hAnsi="Symbol"/>
          <w:bCs/>
          <w:i/>
          <w:vertAlign w:val="subscript"/>
          <w:lang w:val="en-US"/>
        </w:rPr>
        <w:t></w:t>
      </w:r>
      <w:r w:rsidRPr="007D1DDC">
        <w:rPr>
          <w:bCs/>
          <w:lang w:val="en-US"/>
        </w:rPr>
        <w:t xml:space="preserve">. </w:t>
      </w:r>
      <w:r w:rsidRPr="00FA2583">
        <w:rPr>
          <w:rFonts w:ascii="Symbol" w:hAnsi="Symbol"/>
          <w:bCs/>
          <w:i/>
          <w:lang w:val="en-US"/>
        </w:rPr>
        <w:t></w:t>
      </w:r>
      <w:r w:rsidRPr="007D1DDC">
        <w:rPr>
          <w:bCs/>
          <w:i/>
          <w:vertAlign w:val="subscript"/>
          <w:lang w:val="en-US"/>
        </w:rPr>
        <w:t>n</w:t>
      </w:r>
      <w:r w:rsidRPr="007D1DDC">
        <w:rPr>
          <w:bCs/>
          <w:lang w:val="en-US"/>
        </w:rPr>
        <w:t xml:space="preserve">, in turn, is common to all alternatives belonging to </w:t>
      </w:r>
      <w:r w:rsidRPr="007D1DDC">
        <w:rPr>
          <w:bCs/>
          <w:i/>
          <w:lang w:val="en-US"/>
        </w:rPr>
        <w:t>n</w:t>
      </w:r>
      <w:r w:rsidRPr="007D1DDC">
        <w:rPr>
          <w:bCs/>
          <w:lang w:val="en-US"/>
        </w:rPr>
        <w:t xml:space="preserve"> and follows a distribution such that added up with the distribution of </w:t>
      </w:r>
      <w:r w:rsidRPr="00FA2583">
        <w:rPr>
          <w:rFonts w:ascii="Symbol" w:hAnsi="Symbol"/>
          <w:bCs/>
          <w:i/>
          <w:lang w:val="en-US"/>
        </w:rPr>
        <w:t></w:t>
      </w:r>
      <w:r w:rsidRPr="007D1DDC">
        <w:rPr>
          <w:bCs/>
          <w:i/>
          <w:vertAlign w:val="superscript"/>
          <w:lang w:val="en-US"/>
        </w:rPr>
        <w:t>*</w:t>
      </w:r>
      <w:r w:rsidRPr="007D1DDC">
        <w:rPr>
          <w:bCs/>
          <w:i/>
          <w:vertAlign w:val="subscript"/>
          <w:lang w:val="en-US"/>
        </w:rPr>
        <w:t>iq</w:t>
      </w:r>
      <w:r w:rsidRPr="007D1DDC">
        <w:rPr>
          <w:bCs/>
          <w:lang w:val="en-US"/>
        </w:rPr>
        <w:t xml:space="preserve">, it leads to an EV1 distribution with equal mode and scale parameter </w:t>
      </w:r>
      <w:r w:rsidRPr="00FA2583">
        <w:rPr>
          <w:rFonts w:ascii="Symbol" w:hAnsi="Symbol"/>
          <w:bCs/>
          <w:i/>
          <w:lang w:val="en-US"/>
        </w:rPr>
        <w:t></w:t>
      </w:r>
      <w:r w:rsidRPr="00FA2583">
        <w:rPr>
          <w:rFonts w:ascii="Symbol" w:hAnsi="Symbol"/>
          <w:bCs/>
          <w:i/>
          <w:lang w:val="en-US"/>
        </w:rPr>
        <w:t></w:t>
      </w:r>
      <w:r w:rsidRPr="007D1DDC">
        <w:rPr>
          <w:bCs/>
          <w:i/>
          <w:vertAlign w:val="superscript"/>
          <w:lang w:val="en-US"/>
        </w:rPr>
        <w:footnoteReference w:id="1"/>
      </w:r>
      <w:r w:rsidRPr="007D1DDC">
        <w:rPr>
          <w:bCs/>
          <w:lang w:val="en-US"/>
        </w:rPr>
        <w:t xml:space="preserve"> Consequentially, the choice probability of alternative </w:t>
      </w:r>
      <w:r w:rsidRPr="007D1DDC">
        <w:rPr>
          <w:bCs/>
          <w:i/>
          <w:lang w:val="en-US"/>
        </w:rPr>
        <w:t>i</w:t>
      </w:r>
      <w:r w:rsidRPr="007D1DDC">
        <w:rPr>
          <w:bCs/>
          <w:lang w:val="en-US"/>
        </w:rPr>
        <w:t xml:space="preserve"> belonging to the nest </w:t>
      </w:r>
      <w:r w:rsidRPr="007D1DDC">
        <w:rPr>
          <w:bCs/>
          <w:i/>
          <w:lang w:val="en-US"/>
        </w:rPr>
        <w:t xml:space="preserve">n </w:t>
      </w:r>
      <w:r w:rsidRPr="007D1DDC">
        <w:rPr>
          <w:bCs/>
          <w:lang w:val="en-US"/>
        </w:rPr>
        <w:t>is given by</w:t>
      </w:r>
      <w:r w:rsidR="00517676">
        <w:rPr>
          <w:bCs/>
          <w:lang w:val="en-US"/>
        </w:rPr>
        <w:t xml:space="preserve"> </w:t>
      </w:r>
      <w:r w:rsidR="00517676">
        <w:rPr>
          <w:bCs/>
          <w:lang w:val="en-US"/>
        </w:rPr>
        <w:fldChar w:fldCharType="begin" w:fldLock="1"/>
      </w:r>
      <w:r w:rsidR="00A92DA0">
        <w:rPr>
          <w:bCs/>
          <w:lang w:val="en-US"/>
        </w:rPr>
        <w:instrText>ADDIN CSL_CITATION {"citationItems":[{"id":"ITEM-1","itemData":{"DOI":"10.1080/01441640110091224","ISSN":"01441647","abstract":"The popular hierarchical or nested logit model that has been the recent source of heated discussions in the literature is reviewed and critically examined. The fundamental underpinnings of the model are first presented in a concise and easy-to-understand fashion and then used to assess each controversy in turn. Monte Carlo simulation is also used to examine some problems that are not possible to address by just resorting to the theory. The main conclusion is that all the model hypotheses are both essential and unambiguous and should not be ignored for a correct use of the model in practice.","author":[{"dropping-particle":"","family":"Carrasco","given":"Juan Antonio","non-dropping-particle":"","parse-names":false,"suffix":""},{"dropping-particle":"","family":"Dios Ortuzar","given":"Juan","non-dropping-particle":"De","parse-names":false,"suffix":""}],"container-title":"Transport Reviews","id":"ITEM-1","issue":"2","issued":{"date-parts":[["2002"]]},"page":"197-218","title":"Review and assessment of the nested logit model","type":"article-journal","volume":"22"},"uris":["http://www.mendeley.com/documents/?uuid=f5fa3c51-5ee4-450f-b3b8-ed7445f3ffb2"]}],"mendeley":{"formattedCitation":"[54]","plainTextFormattedCitation":"[54]","previouslyFormattedCitation":"[54]"},"properties":{"noteIndex":0},"schema":"https://github.com/citation-style-language/schema/raw/master/csl-citation.json"}</w:instrText>
      </w:r>
      <w:r w:rsidR="00517676">
        <w:rPr>
          <w:bCs/>
          <w:lang w:val="en-US"/>
        </w:rPr>
        <w:fldChar w:fldCharType="separate"/>
      </w:r>
      <w:r w:rsidR="00A92DA0" w:rsidRPr="00A92DA0">
        <w:rPr>
          <w:bCs/>
          <w:noProof/>
          <w:lang w:val="en-US"/>
        </w:rPr>
        <w:t>[54]</w:t>
      </w:r>
      <w:r w:rsidR="00517676">
        <w:rPr>
          <w:bCs/>
          <w:lang w:val="en-US"/>
        </w:rPr>
        <w:fldChar w:fldCharType="end"/>
      </w:r>
      <w:r w:rsidRPr="007D1DDC">
        <w:rPr>
          <w:bCs/>
          <w:lang w:val="en-US"/>
        </w:rPr>
        <w:t>:</w:t>
      </w:r>
    </w:p>
    <w:p w14:paraId="67173208" w14:textId="35D5F414" w:rsidR="007D1DDC" w:rsidRPr="007D1DDC" w:rsidRDefault="00814BFE" w:rsidP="00814BFE">
      <w:pPr>
        <w:spacing w:line="24pt" w:lineRule="auto"/>
        <w:ind w:end="15pt"/>
        <w:jc w:val="end"/>
        <w:rPr>
          <w:bCs/>
          <w:i/>
        </w:rPr>
      </w:pPr>
      <w:r w:rsidRPr="00237877">
        <w:rPr>
          <w:position w:val="-66"/>
        </w:rPr>
        <mc:AlternateContent>
          <mc:Choice Requires="v">
            <w:object w:dxaOrig="180pt" w:dyaOrig="64pt" w14:anchorId="514C83B9">
              <v:shape id="_x0000_i1028" type="#_x0000_t75" style="width:177.75pt;height:65.25pt" o:ole="">
                <v:imagedata r:id="rId22" o:title=""/>
              </v:shape>
              <o:OLEObject Type="Embed" ProgID="Equation.DSMT4" ShapeID="_x0000_i1028" DrawAspect="Content" ObjectID="_1641671366" r:id="rId23"/>
            </w:object>
          </mc:Choice>
          <mc:Fallback>
            <w:object>
              <w:drawing>
                <wp:inline distT="0" distB="0" distL="0" distR="0" wp14:anchorId="16F5C474" wp14:editId="0CA3D7AD">
                  <wp:extent cx="2257425" cy="828675"/>
                  <wp:effectExtent l="0" t="0" r="9525" b="9525"/>
                  <wp:docPr id="4" name="Object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4"/>
                          <pic:cNvPicPr>
                            <a:picLocks noChangeAspect="1" noChangeArrowheads="1"/>
                            <a:extLst>
                              <a:ext uri="{837473B0-CC2E-450a-ABE3-18F120FF3D37}">
                                <a15:objectPr xmlns:a15="http://schemas.microsoft.com/office/drawing/2012/main" objectId="_1641671366" isActiveX="0" linkType=""/>
                              </a:ext>
                            </a:extLst>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7425" cy="828675"/>
                          </a:xfrm>
                          <a:prstGeom prst="rect">
                            <a:avLst/>
                          </a:prstGeom>
                          <a:noFill/>
                          <a:ln>
                            <a:noFill/>
                          </a:ln>
                        </pic:spPr>
                      </pic:pic>
                    </a:graphicData>
                  </a:graphic>
                </wp:inline>
              </w:drawing>
              <w:objectEmbed w:drawAspect="content" r:id="rId23" w:progId="Equation.DSMT4" w:shapeId="4" w:fieldCodes=""/>
            </w:object>
          </mc:Fallback>
        </mc:AlternateContent>
      </w:r>
      <w:r>
        <w:rPr>
          <w:color w:val="000000"/>
        </w:rPr>
        <w:tab/>
        <w:t xml:space="preserve">  </w:t>
      </w:r>
      <w:r>
        <w:rPr>
          <w:i/>
          <w:color w:val="000000"/>
        </w:rPr>
        <w:t>(4)</w:t>
      </w:r>
    </w:p>
    <w:p w14:paraId="7FE75C22" w14:textId="34B231B1" w:rsidR="007D1DDC" w:rsidRPr="007D1DDC" w:rsidRDefault="007D1DDC" w:rsidP="007D1DDC">
      <w:pPr>
        <w:pStyle w:val="Plattetekst"/>
        <w:rPr>
          <w:bCs/>
          <w:lang w:val="en-US"/>
        </w:rPr>
      </w:pPr>
      <w:r w:rsidRPr="007D1DDC">
        <w:rPr>
          <w:bCs/>
          <w:lang w:val="en-US"/>
        </w:rPr>
        <w:t xml:space="preserve">where </w:t>
      </w:r>
      <w:r w:rsidRPr="007D1DDC">
        <w:rPr>
          <w:bCs/>
          <w:i/>
          <w:lang w:val="en-US"/>
        </w:rPr>
        <w:t>N</w:t>
      </w:r>
      <w:r w:rsidRPr="007D1DDC">
        <w:rPr>
          <w:bCs/>
          <w:lang w:val="en-US"/>
        </w:rPr>
        <w:t xml:space="preserve"> stands for the set of non-overlapping-nests. Here, all </w:t>
      </w:r>
      <w:r w:rsidRPr="00FA2583">
        <w:rPr>
          <w:rFonts w:ascii="Symbol" w:hAnsi="Symbol"/>
          <w:bCs/>
          <w:i/>
          <w:lang w:val="en-US"/>
        </w:rPr>
        <w:t></w:t>
      </w:r>
      <w:r w:rsidRPr="007D1DDC">
        <w:rPr>
          <w:bCs/>
          <w:lang w:val="en-US"/>
        </w:rPr>
        <w:t xml:space="preserve"> and </w:t>
      </w:r>
      <w:r w:rsidRPr="00FA2583">
        <w:rPr>
          <w:rFonts w:ascii="Symbol" w:hAnsi="Symbol"/>
          <w:bCs/>
          <w:i/>
          <w:lang w:val="en-US"/>
        </w:rPr>
        <w:t></w:t>
      </w:r>
      <w:r w:rsidRPr="007D1DDC">
        <w:rPr>
          <w:bCs/>
          <w:i/>
          <w:vertAlign w:val="subscript"/>
          <w:lang w:val="en-US"/>
        </w:rPr>
        <w:t>n</w:t>
      </w:r>
      <w:r w:rsidRPr="007D1DDC">
        <w:rPr>
          <w:bCs/>
          <w:lang w:val="en-US"/>
        </w:rPr>
        <w:t xml:space="preserve"> parameters but one are identifiable. Consequentially, it is convenient to normalize </w:t>
      </w:r>
      <w:r w:rsidRPr="00FA2583">
        <w:rPr>
          <w:rFonts w:ascii="Symbol" w:hAnsi="Symbol"/>
          <w:bCs/>
          <w:i/>
          <w:lang w:val="en-US"/>
        </w:rPr>
        <w:t></w:t>
      </w:r>
      <w:r w:rsidRPr="007D1DDC">
        <w:rPr>
          <w:bCs/>
          <w:lang w:val="en-US"/>
        </w:rPr>
        <w:t xml:space="preserve"> at 1 without loss of generality and to estimate the parameters</w:t>
      </w:r>
      <w:r w:rsidRPr="00FA2583">
        <w:rPr>
          <w:rFonts w:ascii="Symbol" w:hAnsi="Symbol"/>
          <w:bCs/>
          <w:i/>
          <w:lang w:val="en-US"/>
        </w:rPr>
        <w:t></w:t>
      </w:r>
      <w:r w:rsidRPr="00FA2583">
        <w:rPr>
          <w:rFonts w:ascii="Symbol" w:hAnsi="Symbol"/>
          <w:bCs/>
          <w:i/>
          <w:lang w:val="en-US"/>
        </w:rPr>
        <w:t></w:t>
      </w:r>
      <w:r w:rsidRPr="00FA2583">
        <w:rPr>
          <w:rFonts w:ascii="Symbol" w:hAnsi="Symbol"/>
          <w:bCs/>
          <w:i/>
          <w:vertAlign w:val="subscript"/>
          <w:lang w:val="en-US"/>
        </w:rPr>
        <w:t></w:t>
      </w:r>
      <w:r w:rsidRPr="00FA2583">
        <w:rPr>
          <w:rFonts w:ascii="Symbol" w:hAnsi="Symbol"/>
          <w:bCs/>
          <w:i/>
          <w:lang w:val="en-US"/>
        </w:rPr>
        <w:t></w:t>
      </w:r>
      <w:r w:rsidRPr="00FA2583">
        <w:rPr>
          <w:rFonts w:ascii="Symbol" w:hAnsi="Symbol"/>
          <w:bCs/>
          <w:i/>
          <w:lang w:val="en-US"/>
        </w:rPr>
        <w:t></w:t>
      </w:r>
      <w:r w:rsidRPr="00FA2583">
        <w:rPr>
          <w:rFonts w:ascii="Symbol" w:hAnsi="Symbol"/>
          <w:bCs/>
          <w:i/>
          <w:lang w:val="en-US"/>
        </w:rPr>
        <w:t></w:t>
      </w:r>
      <w:r w:rsidRPr="00FA2583">
        <w:rPr>
          <w:rFonts w:ascii="Symbol" w:hAnsi="Symbol"/>
          <w:bCs/>
          <w:i/>
          <w:lang w:val="en-US"/>
        </w:rPr>
        <w:t></w:t>
      </w:r>
      <w:r w:rsidRPr="00FA2583">
        <w:rPr>
          <w:rFonts w:ascii="Symbol" w:hAnsi="Symbol"/>
          <w:bCs/>
          <w:i/>
          <w:lang w:val="en-US"/>
        </w:rPr>
        <w:t></w:t>
      </w:r>
      <w:r w:rsidRPr="00FA2583">
        <w:rPr>
          <w:rFonts w:ascii="Symbol" w:hAnsi="Symbol"/>
          <w:bCs/>
          <w:i/>
          <w:lang w:val="en-US"/>
        </w:rPr>
        <w:t></w:t>
      </w:r>
      <w:r w:rsidRPr="00FA2583">
        <w:rPr>
          <w:rFonts w:ascii="Symbol" w:hAnsi="Symbol"/>
          <w:bCs/>
          <w:i/>
          <w:lang w:val="en-US"/>
        </w:rPr>
        <w:t></w:t>
      </w:r>
      <w:r w:rsidRPr="00FA2583">
        <w:rPr>
          <w:rFonts w:ascii="Symbol" w:hAnsi="Symbol"/>
          <w:bCs/>
          <w:i/>
          <w:lang w:val="en-US"/>
        </w:rPr>
        <w:t></w:t>
      </w:r>
      <w:r w:rsidRPr="007D1DDC">
        <w:rPr>
          <w:bCs/>
          <w:i/>
          <w:vertAlign w:val="subscript"/>
          <w:lang w:val="en-US"/>
        </w:rPr>
        <w:t>n</w:t>
      </w:r>
      <w:r w:rsidRPr="007D1DDC">
        <w:rPr>
          <w:bCs/>
          <w:lang w:val="en-US"/>
        </w:rPr>
        <w:t xml:space="preserve">, which are defined between 0 and 1 (as </w:t>
      </w:r>
      <w:r w:rsidRPr="00FA2583">
        <w:rPr>
          <w:rFonts w:ascii="Symbol" w:hAnsi="Symbol"/>
          <w:bCs/>
          <w:i/>
          <w:lang w:val="en-US"/>
        </w:rPr>
        <w:t></w:t>
      </w:r>
      <w:r w:rsidRPr="007D1DDC">
        <w:rPr>
          <w:bCs/>
          <w:i/>
          <w:vertAlign w:val="subscript"/>
          <w:lang w:val="en-US"/>
        </w:rPr>
        <w:t>n</w:t>
      </w:r>
      <w:r w:rsidRPr="007D1DDC">
        <w:rPr>
          <w:bCs/>
          <w:lang w:val="en-US"/>
        </w:rPr>
        <w:t xml:space="preserve"> is forcedly larger than </w:t>
      </w:r>
      <w:r w:rsidRPr="00FA2583">
        <w:rPr>
          <w:rFonts w:ascii="Symbol" w:hAnsi="Symbol"/>
          <w:bCs/>
          <w:i/>
          <w:lang w:val="en-US"/>
        </w:rPr>
        <w:t></w:t>
      </w:r>
      <w:r w:rsidRPr="007D1DDC">
        <w:rPr>
          <w:bCs/>
          <w:lang w:val="en-US"/>
        </w:rPr>
        <w:t xml:space="preserve"> given that the variance of </w:t>
      </w:r>
      <w:r w:rsidRPr="00FA2583">
        <w:rPr>
          <w:rFonts w:ascii="Symbol" w:hAnsi="Symbol"/>
          <w:bCs/>
          <w:i/>
          <w:lang w:val="en-US"/>
        </w:rPr>
        <w:t></w:t>
      </w:r>
      <w:r w:rsidRPr="007D1DDC">
        <w:rPr>
          <w:bCs/>
          <w:i/>
          <w:vertAlign w:val="superscript"/>
          <w:lang w:val="en-US"/>
        </w:rPr>
        <w:t>*</w:t>
      </w:r>
      <w:r w:rsidRPr="007D1DDC">
        <w:rPr>
          <w:bCs/>
          <w:i/>
          <w:vertAlign w:val="subscript"/>
          <w:lang w:val="en-US"/>
        </w:rPr>
        <w:t xml:space="preserve">iq </w:t>
      </w:r>
      <w:r w:rsidRPr="007D1DDC">
        <w:rPr>
          <w:bCs/>
          <w:lang w:val="en-US"/>
        </w:rPr>
        <w:t xml:space="preserve">is smaller than the variance of </w:t>
      </w:r>
      <w:r w:rsidRPr="00FA2583">
        <w:rPr>
          <w:rFonts w:ascii="Symbol" w:hAnsi="Symbol"/>
          <w:bCs/>
          <w:i/>
          <w:lang w:val="en-US"/>
        </w:rPr>
        <w:t></w:t>
      </w:r>
      <w:r w:rsidRPr="007D1DDC">
        <w:rPr>
          <w:bCs/>
          <w:i/>
          <w:vertAlign w:val="subscript"/>
          <w:lang w:val="en-US"/>
        </w:rPr>
        <w:t xml:space="preserve">iq </w:t>
      </w:r>
      <w:r w:rsidRPr="007D1DDC">
        <w:rPr>
          <w:bCs/>
          <w:lang w:val="en-US"/>
        </w:rPr>
        <w:t xml:space="preserve">– see eq. 3). When all </w:t>
      </w:r>
      <w:r w:rsidRPr="00FA2583">
        <w:rPr>
          <w:rFonts w:ascii="Symbol" w:hAnsi="Symbol"/>
          <w:bCs/>
          <w:i/>
          <w:lang w:val="en-US"/>
        </w:rPr>
        <w:t></w:t>
      </w:r>
      <w:r w:rsidRPr="007D1DDC">
        <w:rPr>
          <w:bCs/>
          <w:i/>
          <w:vertAlign w:val="subscript"/>
          <w:lang w:val="en-US"/>
        </w:rPr>
        <w:t>n</w:t>
      </w:r>
      <w:r w:rsidRPr="007D1DDC">
        <w:rPr>
          <w:bCs/>
          <w:lang w:val="en-US"/>
        </w:rPr>
        <w:t xml:space="preserve"> approach 1, the NL collapses to the MNL; i.e. no correlation exists.</w:t>
      </w:r>
    </w:p>
    <w:p w14:paraId="69C66E86" w14:textId="77777777" w:rsidR="007D1DDC" w:rsidRDefault="007D1DDC" w:rsidP="007D1DDC">
      <w:pPr>
        <w:pStyle w:val="Plattetekst"/>
        <w:rPr>
          <w:bCs/>
          <w:lang w:val="en-US"/>
        </w:rPr>
      </w:pPr>
      <w:r w:rsidRPr="007D1DDC">
        <w:rPr>
          <w:bCs/>
          <w:lang w:val="en-US"/>
        </w:rPr>
        <w:t xml:space="preserve">While the MNL allows capturing systematic taste variations across population groups that can be directly observed by the analysist (and therefore be classified making use of dichotomous variables as part of </w:t>
      </w:r>
      <w:r w:rsidRPr="007D1DDC">
        <w:rPr>
          <w:bCs/>
          <w:i/>
          <w:lang w:val="en-US"/>
        </w:rPr>
        <w:t>X</w:t>
      </w:r>
      <w:r w:rsidRPr="007D1DDC">
        <w:rPr>
          <w:bCs/>
          <w:i/>
          <w:vertAlign w:val="subscript"/>
          <w:lang w:val="en-US"/>
        </w:rPr>
        <w:t>iq</w:t>
      </w:r>
      <w:r w:rsidRPr="007D1DDC">
        <w:rPr>
          <w:bCs/>
          <w:lang w:val="en-US"/>
        </w:rPr>
        <w:t>), systematic taste variation can also exist across groups that are not directly identifiable. The treatment of so-called latent groups or latent classes requires an additional modeling step. First, an additional latent variable a.k.a. classifying function is considered, which can be represented as:</w:t>
      </w:r>
      <w:r w:rsidRPr="007D1DDC">
        <w:rPr>
          <w:bCs/>
          <w:lang w:val="en-US"/>
        </w:rPr>
        <w:tab/>
      </w:r>
      <w:r w:rsidRPr="007D1DDC">
        <w:rPr>
          <w:bCs/>
          <w:lang w:val="en-US"/>
        </w:rPr>
        <w:tab/>
      </w:r>
    </w:p>
    <w:p w14:paraId="7C8AF35A" w14:textId="77777777" w:rsidR="00814BFE" w:rsidRDefault="00814BFE" w:rsidP="00814BFE">
      <w:pPr>
        <w:spacing w:line="24pt" w:lineRule="auto"/>
        <w:jc w:val="end"/>
        <w:rPr>
          <w:i/>
          <w:color w:val="000000"/>
        </w:rPr>
      </w:pPr>
      <w:r w:rsidRPr="00337EE8">
        <w:rPr>
          <w:position w:val="-14"/>
        </w:rPr>
        <mc:AlternateContent>
          <mc:Choice Requires="v">
            <w:object w:dxaOrig="76pt" w:dyaOrig="19pt" w14:anchorId="7F66277F">
              <v:shape id="_x0000_i1029" type="#_x0000_t75" style="width:75.75pt;height:19.5pt" o:ole="">
                <v:imagedata r:id="rId25" o:title=""/>
              </v:shape>
              <o:OLEObject Type="Embed" ProgID="Equation.DSMT4" ShapeID="_x0000_i1029" DrawAspect="Content" ObjectID="_1641671367" r:id="rId26"/>
            </w:object>
          </mc:Choice>
          <mc:Fallback>
            <w:object>
              <w:drawing>
                <wp:inline distT="0" distB="0" distL="0" distR="0" wp14:anchorId="62B83B4B" wp14:editId="4652ABBF">
                  <wp:extent cx="962025" cy="247650"/>
                  <wp:effectExtent l="0" t="0" r="9525" b="0"/>
                  <wp:docPr id="5" name="Object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5"/>
                          <pic:cNvPicPr>
                            <a:picLocks noChangeAspect="1" noChangeArrowheads="1"/>
                            <a:extLst>
                              <a:ext uri="{837473B0-CC2E-450a-ABE3-18F120FF3D37}">
                                <a15:objectPr xmlns:a15="http://schemas.microsoft.com/office/drawing/2012/main" objectId="_1641671367" isActiveX="0" linkType=""/>
                              </a:ext>
                            </a:extLst>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2025" cy="247650"/>
                          </a:xfrm>
                          <a:prstGeom prst="rect">
                            <a:avLst/>
                          </a:prstGeom>
                          <a:noFill/>
                          <a:ln>
                            <a:noFill/>
                          </a:ln>
                        </pic:spPr>
                      </pic:pic>
                    </a:graphicData>
                  </a:graphic>
                </wp:inline>
              </w:drawing>
              <w:objectEmbed w:drawAspect="content" r:id="rId26" w:progId="Equation.DSMT4" w:shapeId="5" w:fieldCodes=""/>
            </w:object>
          </mc:Fallback>
        </mc:AlternateContent>
      </w:r>
      <w:r w:rsidRPr="00343FE7">
        <w:rPr>
          <w:color w:val="000000"/>
        </w:rPr>
        <w:tab/>
      </w:r>
      <w:r w:rsidRPr="00343FE7">
        <w:rPr>
          <w:color w:val="000000"/>
        </w:rPr>
        <w:tab/>
      </w:r>
      <w:r w:rsidRPr="00337EE8">
        <w:rPr>
          <w:i/>
          <w:color w:val="000000"/>
        </w:rPr>
        <w:t>(</w:t>
      </w:r>
      <w:r>
        <w:rPr>
          <w:i/>
          <w:color w:val="000000"/>
        </w:rPr>
        <w:t>5</w:t>
      </w:r>
      <w:r w:rsidRPr="00337EE8">
        <w:rPr>
          <w:i/>
          <w:color w:val="000000"/>
        </w:rPr>
        <w:t>)</w:t>
      </w:r>
    </w:p>
    <w:p w14:paraId="79A6BA61" w14:textId="77777777" w:rsidR="00814BFE" w:rsidRDefault="007D1DDC" w:rsidP="00814BFE">
      <w:pPr>
        <w:pStyle w:val="Plattetekst"/>
        <w:rPr>
          <w:bCs/>
          <w:lang w:val="en-US"/>
        </w:rPr>
      </w:pPr>
      <w:r w:rsidRPr="007D1DDC">
        <w:rPr>
          <w:bCs/>
          <w:lang w:val="en-US"/>
        </w:rPr>
        <w:t xml:space="preserve">Note that in eq. (5), opposite to eq. (1), elements do not depend on the alternatives (as only individuals are being classified into distinct unobserved behavioral classes), but the internal logic is analogous. Hence, assuming EV1 error terms, the likelihood that an individual belong to class </w:t>
      </w:r>
      <w:r w:rsidRPr="007D1DDC">
        <w:rPr>
          <w:bCs/>
          <w:i/>
          <w:lang w:val="en-US"/>
        </w:rPr>
        <w:t>c</w:t>
      </w:r>
      <w:r w:rsidRPr="007D1DDC">
        <w:rPr>
          <w:bCs/>
          <w:lang w:val="en-US"/>
        </w:rPr>
        <w:t xml:space="preserve"> (opposite to class </w:t>
      </w:r>
      <w:r w:rsidRPr="007D1DDC">
        <w:rPr>
          <w:bCs/>
          <w:i/>
          <w:lang w:val="en-US"/>
        </w:rPr>
        <w:t>d</w:t>
      </w:r>
      <w:r w:rsidRPr="007D1DDC">
        <w:rPr>
          <w:bCs/>
          <w:lang w:val="en-US"/>
        </w:rPr>
        <w:t>)</w:t>
      </w:r>
      <w:r w:rsidRPr="007D1DDC">
        <w:rPr>
          <w:bCs/>
          <w:i/>
          <w:lang w:val="en-US"/>
        </w:rPr>
        <w:t xml:space="preserve"> </w:t>
      </w:r>
      <w:r w:rsidRPr="007D1DDC">
        <w:rPr>
          <w:bCs/>
          <w:lang w:val="en-US"/>
        </w:rPr>
        <w:t xml:space="preserve">is given by: </w:t>
      </w:r>
    </w:p>
    <w:p w14:paraId="0C4910A8" w14:textId="77777777" w:rsidR="00814BFE" w:rsidRPr="00814BFE" w:rsidRDefault="007D1DDC" w:rsidP="00814BFE">
      <w:pPr>
        <w:pStyle w:val="Plattetekst"/>
        <w:jc w:val="end"/>
        <w:rPr>
          <w:bCs/>
          <w:lang w:val="en-US"/>
        </w:rPr>
      </w:pPr>
      <w:r w:rsidRPr="007D1DDC">
        <w:rPr>
          <w:bCs/>
          <w:lang w:val="en-US"/>
        </w:rPr>
        <w:tab/>
      </w:r>
      <w:r w:rsidR="00814BFE" w:rsidRPr="00237877">
        <w:rPr>
          <w:position w:val="-30"/>
          <w:lang w:val="en-US"/>
        </w:rPr>
        <mc:AlternateContent>
          <mc:Choice Requires="v">
            <w:object w:dxaOrig="78pt" w:dyaOrig="39pt" w14:anchorId="0D06246F">
              <v:shape id="_x0000_i1030" type="#_x0000_t75" style="width:76.5pt;height:39.75pt" o:ole="">
                <v:imagedata r:id="rId28" o:title=""/>
              </v:shape>
              <o:OLEObject Type="Embed" ProgID="Equation.DSMT4" ShapeID="_x0000_i1030" DrawAspect="Content" ObjectID="_1641671368" r:id="rId29"/>
            </w:object>
          </mc:Choice>
          <mc:Fallback>
            <w:object>
              <w:drawing>
                <wp:inline distT="0" distB="0" distL="0" distR="0" wp14:anchorId="55A56199" wp14:editId="60B4565C">
                  <wp:extent cx="971550" cy="504825"/>
                  <wp:effectExtent l="0" t="0" r="0" b="9525"/>
                  <wp:docPr id="3" name="Object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6"/>
                          <pic:cNvPicPr>
                            <a:picLocks noChangeAspect="1" noChangeArrowheads="1"/>
                            <a:extLst>
                              <a:ext uri="{837473B0-CC2E-450a-ABE3-18F120FF3D37}">
                                <a15:objectPr xmlns:a15="http://schemas.microsoft.com/office/drawing/2012/main" objectId="_1641671368" isActiveX="0" linkType=""/>
                              </a:ext>
                            </a:extLst>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1550" cy="504825"/>
                          </a:xfrm>
                          <a:prstGeom prst="rect">
                            <a:avLst/>
                          </a:prstGeom>
                          <a:noFill/>
                          <a:ln>
                            <a:noFill/>
                          </a:ln>
                        </pic:spPr>
                      </pic:pic>
                    </a:graphicData>
                  </a:graphic>
                </wp:inline>
              </w:drawing>
              <w:objectEmbed w:drawAspect="content" r:id="rId29" w:progId="Equation.DSMT4" w:shapeId="3" w:fieldCodes=""/>
            </w:object>
          </mc:Fallback>
        </mc:AlternateContent>
      </w:r>
      <w:r w:rsidR="00814BFE">
        <w:rPr>
          <w:lang w:val="en-US"/>
        </w:rPr>
        <w:tab/>
      </w:r>
      <w:r w:rsidR="00814BFE">
        <w:rPr>
          <w:lang w:val="en-US"/>
        </w:rPr>
        <w:tab/>
      </w:r>
      <w:r w:rsidR="00814BFE" w:rsidRPr="00337EE8">
        <w:rPr>
          <w:i/>
          <w:color w:val="000000"/>
          <w:lang w:val="en-US"/>
        </w:rPr>
        <w:t>(</w:t>
      </w:r>
      <w:r w:rsidR="00814BFE">
        <w:rPr>
          <w:i/>
          <w:color w:val="000000"/>
          <w:lang w:val="en-US"/>
        </w:rPr>
        <w:t>6</w:t>
      </w:r>
      <w:r w:rsidR="00814BFE" w:rsidRPr="00337EE8">
        <w:rPr>
          <w:i/>
          <w:color w:val="000000"/>
          <w:lang w:val="en-US"/>
        </w:rPr>
        <w:t>)</w:t>
      </w:r>
    </w:p>
    <w:p w14:paraId="6A10A26B" w14:textId="77777777" w:rsidR="007D1DDC" w:rsidRDefault="007D1DDC" w:rsidP="007D1DDC">
      <w:pPr>
        <w:pStyle w:val="Plattetekst"/>
        <w:rPr>
          <w:bCs/>
          <w:lang w:val="en-US"/>
        </w:rPr>
      </w:pPr>
      <w:r w:rsidRPr="007D1DDC">
        <w:rPr>
          <w:bCs/>
          <w:lang w:val="en-US"/>
        </w:rPr>
        <w:t xml:space="preserve">Then, assuming that both classes are characterized by different sets of behavioral parameters </w:t>
      </w:r>
      <w:r w:rsidRPr="00FA2583">
        <w:rPr>
          <w:rFonts w:ascii="Symbol" w:hAnsi="Symbol"/>
          <w:bCs/>
          <w:i/>
          <w:lang w:val="en-US"/>
        </w:rPr>
        <w:t></w:t>
      </w:r>
      <w:r w:rsidRPr="007D1DDC">
        <w:rPr>
          <w:bCs/>
          <w:i/>
          <w:vertAlign w:val="subscript"/>
          <w:lang w:val="en-US"/>
        </w:rPr>
        <w:t>ic</w:t>
      </w:r>
      <w:r w:rsidRPr="007D1DDC">
        <w:rPr>
          <w:bCs/>
          <w:lang w:val="en-US"/>
        </w:rPr>
        <w:t xml:space="preserve"> and </w:t>
      </w:r>
      <w:r w:rsidRPr="00FA2583">
        <w:rPr>
          <w:rFonts w:ascii="Symbol" w:hAnsi="Symbol"/>
          <w:bCs/>
          <w:i/>
          <w:lang w:val="en-US"/>
        </w:rPr>
        <w:t></w:t>
      </w:r>
      <w:r w:rsidRPr="007D1DDC">
        <w:rPr>
          <w:bCs/>
          <w:i/>
          <w:vertAlign w:val="subscript"/>
          <w:lang w:val="en-US"/>
        </w:rPr>
        <w:t>id</w:t>
      </w:r>
      <w:r w:rsidRPr="007D1DDC">
        <w:rPr>
          <w:bCs/>
          <w:lang w:val="en-US"/>
        </w:rPr>
        <w:t xml:space="preserve"> the choice probability of alternative </w:t>
      </w:r>
      <w:r w:rsidRPr="007D1DDC">
        <w:rPr>
          <w:bCs/>
          <w:i/>
          <w:lang w:val="en-US"/>
        </w:rPr>
        <w:t>i</w:t>
      </w:r>
      <w:r w:rsidRPr="007D1DDC">
        <w:rPr>
          <w:bCs/>
          <w:lang w:val="en-US"/>
        </w:rPr>
        <w:t xml:space="preserve"> is given by (assuming uncorrelated error terms):</w:t>
      </w:r>
    </w:p>
    <w:p w14:paraId="1B33D537" w14:textId="77777777" w:rsidR="007D1DDC" w:rsidRPr="007D1DDC" w:rsidRDefault="00814BFE" w:rsidP="007D1DDC">
      <w:pPr>
        <w:pStyle w:val="Plattetekst"/>
        <w:jc w:val="end"/>
        <w:rPr>
          <w:bCs/>
          <w:lang w:val="en-US"/>
        </w:rPr>
      </w:pPr>
      <w:r w:rsidRPr="00337EE8">
        <w:rPr>
          <w:position w:val="-58"/>
          <w:lang w:val="en-US"/>
        </w:rPr>
        <mc:AlternateContent>
          <mc:Choice Requires="v">
            <w:object w:dxaOrig="217pt" w:dyaOrig="53pt" w14:anchorId="3FB05C03">
              <v:shape id="_x0000_i1031" type="#_x0000_t75" style="width:213.75pt;height:54pt" o:ole="">
                <v:imagedata r:id="rId31" o:title=""/>
              </v:shape>
              <o:OLEObject Type="Embed" ProgID="Equation.DSMT4" ShapeID="_x0000_i1031" DrawAspect="Content" ObjectID="_1641671369" r:id="rId32"/>
            </w:object>
          </mc:Choice>
          <mc:Fallback>
            <w:object>
              <w:drawing>
                <wp:inline distT="0" distB="0" distL="0" distR="0" wp14:anchorId="7F8DB2CD" wp14:editId="486F91D3">
                  <wp:extent cx="2714625" cy="685800"/>
                  <wp:effectExtent l="0" t="0" r="9525" b="0"/>
                  <wp:docPr id="7" name="Object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7"/>
                          <pic:cNvPicPr>
                            <a:picLocks noChangeAspect="1" noChangeArrowheads="1"/>
                            <a:extLst>
                              <a:ext uri="{837473B0-CC2E-450a-ABE3-18F120FF3D37}">
                                <a15:objectPr xmlns:a15="http://schemas.microsoft.com/office/drawing/2012/main" objectId="_1641671369" isActiveX="0" linkType=""/>
                              </a:ext>
                            </a:extLst>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4625" cy="685800"/>
                          </a:xfrm>
                          <a:prstGeom prst="rect">
                            <a:avLst/>
                          </a:prstGeom>
                          <a:noFill/>
                          <a:ln>
                            <a:noFill/>
                          </a:ln>
                        </pic:spPr>
                      </pic:pic>
                    </a:graphicData>
                  </a:graphic>
                </wp:inline>
              </w:drawing>
              <w:objectEmbed w:drawAspect="content" r:id="rId32" w:progId="Equation.DSMT4" w:shapeId="7" w:fieldCodes=""/>
            </w:object>
          </mc:Fallback>
        </mc:AlternateContent>
      </w:r>
      <w:r w:rsidR="007D1DDC" w:rsidRPr="007D1DDC">
        <w:rPr>
          <w:bCs/>
          <w:i/>
          <w:lang w:val="en-US"/>
        </w:rPr>
        <w:t xml:space="preserve"> (7)</w:t>
      </w:r>
    </w:p>
    <w:p w14:paraId="2E875980" w14:textId="4CB87D4C" w:rsidR="007D1DDC" w:rsidRDefault="007D1DDC" w:rsidP="007D1DDC">
      <w:pPr>
        <w:pStyle w:val="Plattetekst"/>
        <w:rPr>
          <w:bCs/>
          <w:lang w:val="en-US"/>
        </w:rPr>
      </w:pPr>
      <w:r w:rsidRPr="007D1DDC">
        <w:rPr>
          <w:bCs/>
          <w:lang w:val="en-US"/>
        </w:rPr>
        <w:t>Note that eqs. (5-7) have been derived for two latent classes only, but its straightforward to extend the formulation for more behavioral classes, making use of e.g. an ordered Logit model. Note also, that the choice probabilities given by eq. (2) are equivalent to the choice probabilities within each latent class in eq. (7). Consequentially, it is also straightforward to replace the choice probabilities associated the MNL by the choice probabilities arising from the NL, so that:</w:t>
      </w:r>
    </w:p>
    <w:p w14:paraId="08FB3173" w14:textId="08E115C9" w:rsidR="005E51B2" w:rsidRPr="005E51B2" w:rsidRDefault="00694733" w:rsidP="005E51B2">
      <w:pPr>
        <w:jc w:val="end"/>
      </w:pPr>
      <m:oMathPara>
        <m:oMathParaPr>
          <m:jc m:val="center"/>
        </m:oMathParaPr>
        <m:oMath>
          <m:sSub>
            <m:sSubPr>
              <m:ctrlPr>
                <w:rPr>
                  <w:rFonts w:ascii="Cambria Math" w:hAnsi="Cambria Math"/>
                  <w:i/>
                </w:rPr>
              </m:ctrlPr>
            </m:sSubPr>
            <m:e>
              <m:r>
                <w:rPr>
                  <w:rFonts w:ascii="Cambria Math"/>
                </w:rPr>
                <m:t>P</m:t>
              </m:r>
            </m:e>
            <m:sub>
              <m:r>
                <w:rPr>
                  <w:rFonts w:ascii="Cambria Math"/>
                </w:rPr>
                <m:t>iq</m:t>
              </m:r>
            </m:sub>
          </m:sSub>
          <m:r>
            <w:rPr>
              <w:rFonts w:ascii="Cambria Math"/>
            </w:rPr>
            <m:t>=</m:t>
          </m:r>
          <m:sSub>
            <m:sSubPr>
              <m:ctrlPr>
                <w:rPr>
                  <w:rFonts w:ascii="Cambria Math" w:hAnsi="Cambria Math"/>
                  <w:i/>
                </w:rPr>
              </m:ctrlPr>
            </m:sSubPr>
            <m:e>
              <m:r>
                <w:rPr>
                  <w:rFonts w:ascii="Cambria Math"/>
                </w:rPr>
                <m:t>P</m:t>
              </m:r>
            </m:e>
            <m:sub>
              <m:r>
                <w:rPr>
                  <w:rFonts w:ascii="Cambria Math"/>
                </w:rPr>
                <m:t>cq</m:t>
              </m:r>
            </m:sub>
          </m:sSub>
          <m:r>
            <w:rPr>
              <w:rFonts w:ascii="Cambria Math" w:hAnsi="Cambria Math" w:cs="Cambria Math"/>
            </w:rPr>
            <m:t>⋅</m:t>
          </m:r>
          <m:f>
            <m:fPr>
              <m:ctrlPr>
                <w:rPr>
                  <w:rFonts w:ascii="Cambria Math" w:hAnsi="Cambria Math"/>
                  <w:i/>
                </w:rPr>
              </m:ctrlPr>
            </m:fPr>
            <m:num>
              <m:sSup>
                <m:sSupPr>
                  <m:ctrlPr>
                    <w:rPr>
                      <w:rFonts w:ascii="Cambria Math" w:hAnsi="Cambria Math"/>
                      <w:i/>
                    </w:rPr>
                  </m:ctrlPr>
                </m:sSupPr>
                <m:e>
                  <m:r>
                    <w:rPr>
                      <w:rFonts w:ascii="Cambria Math"/>
                    </w:rPr>
                    <m:t>e</m:t>
                  </m:r>
                </m:e>
                <m:sup>
                  <m:f>
                    <m:fPr>
                      <m:ctrlPr>
                        <w:rPr>
                          <w:rFonts w:ascii="Cambria Math" w:hAnsi="Cambria Math"/>
                          <w:i/>
                        </w:rPr>
                      </m:ctrlPr>
                    </m:fPr>
                    <m:num>
                      <m:r>
                        <w:rPr>
                          <w:rFonts w:ascii="Cambria Math"/>
                        </w:rPr>
                        <m:t>λ</m:t>
                      </m:r>
                    </m:num>
                    <m:den>
                      <m:sSub>
                        <m:sSubPr>
                          <m:ctrlPr>
                            <w:rPr>
                              <w:rFonts w:ascii="Cambria Math" w:hAnsi="Cambria Math"/>
                              <w:i/>
                            </w:rPr>
                          </m:ctrlPr>
                        </m:sSubPr>
                        <m:e>
                          <m:r>
                            <w:rPr>
                              <w:rFonts w:ascii="Cambria Math"/>
                            </w:rPr>
                            <m:t>θ</m:t>
                          </m:r>
                        </m:e>
                        <m:sub>
                          <m:sSub>
                            <m:sSubPr>
                              <m:ctrlPr>
                                <w:rPr>
                                  <w:rFonts w:ascii="Cambria Math" w:hAnsi="Cambria Math"/>
                                  <w:i/>
                                </w:rPr>
                              </m:ctrlPr>
                            </m:sSubPr>
                            <m:e>
                              <m:r>
                                <w:rPr>
                                  <w:rFonts w:ascii="Cambria Math"/>
                                </w:rPr>
                                <m:t>n</m:t>
                              </m:r>
                            </m:e>
                            <m:sub>
                              <m:r>
                                <w:rPr>
                                  <w:rFonts w:ascii="Cambria Math"/>
                                </w:rPr>
                                <m:t>c</m:t>
                              </m:r>
                            </m:sub>
                          </m:sSub>
                        </m:sub>
                      </m:sSub>
                    </m:den>
                  </m:f>
                  <m:r>
                    <w:rPr>
                      <w:rFonts w:ascii="Cambria Math" w:hAnsi="Cambria Math" w:cs="Cambria Math"/>
                    </w:rPr>
                    <m:t>⋅</m:t>
                  </m:r>
                  <m:func>
                    <m:funcPr>
                      <m:ctrlPr>
                        <w:rPr>
                          <w:rFonts w:ascii="Cambria Math" w:hAnsi="Cambria Math"/>
                          <w:i/>
                        </w:rPr>
                      </m:ctrlPr>
                    </m:funcPr>
                    <m:fName>
                      <m:r>
                        <w:rPr>
                          <w:rFonts w:ascii="Cambria Math"/>
                        </w:rPr>
                        <m:t>log</m:t>
                      </m:r>
                    </m:fName>
                    <m:e>
                      <m:nary>
                        <m:naryPr>
                          <m:chr m:val="∑"/>
                          <m:supHide m:val="1"/>
                          <m:ctrlPr>
                            <w:rPr>
                              <w:rFonts w:ascii="Cambria Math" w:hAnsi="Cambria Math"/>
                              <w:i/>
                            </w:rPr>
                          </m:ctrlPr>
                        </m:naryPr>
                        <m:sub>
                          <m:r>
                            <w:rPr>
                              <w:rFonts w:ascii="Cambria Math"/>
                            </w:rPr>
                            <m:t>i</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c</m:t>
                              </m:r>
                            </m:sub>
                          </m:sSub>
                        </m:sub>
                        <m:sup/>
                        <m:e>
                          <m:sSup>
                            <m:sSupPr>
                              <m:ctrlPr>
                                <w:rPr>
                                  <w:rFonts w:ascii="Cambria Math" w:hAnsi="Cambria Math"/>
                                  <w:i/>
                                </w:rPr>
                              </m:ctrlPr>
                            </m:sSupPr>
                            <m:e>
                              <m:r>
                                <w:rPr>
                                  <w:rFonts w:ascii="Cambria Math"/>
                                </w:rPr>
                                <m:t>e</m:t>
                              </m:r>
                            </m:e>
                            <m:sup>
                              <m:sSub>
                                <m:sSubPr>
                                  <m:ctrlPr>
                                    <w:rPr>
                                      <w:rFonts w:ascii="Cambria Math" w:hAnsi="Cambria Math"/>
                                      <w:i/>
                                    </w:rPr>
                                  </m:ctrlPr>
                                </m:sSubPr>
                                <m:e>
                                  <m:r>
                                    <w:rPr>
                                      <w:rFonts w:ascii="Cambria Math"/>
                                    </w:rPr>
                                    <m:t>θ</m:t>
                                  </m:r>
                                </m:e>
                                <m:sub>
                                  <m:sSub>
                                    <m:sSubPr>
                                      <m:ctrlPr>
                                        <w:rPr>
                                          <w:rFonts w:ascii="Cambria Math" w:hAnsi="Cambria Math"/>
                                          <w:i/>
                                        </w:rPr>
                                      </m:ctrlPr>
                                    </m:sSubPr>
                                    <m:e>
                                      <m:r>
                                        <w:rPr>
                                          <w:rFonts w:ascii="Cambria Math"/>
                                        </w:rPr>
                                        <m:t>n</m:t>
                                      </m:r>
                                    </m:e>
                                    <m:sub>
                                      <m:r>
                                        <w:rPr>
                                          <w:rFonts w:ascii="Cambria Math"/>
                                        </w:rPr>
                                        <m:t>c</m:t>
                                      </m:r>
                                    </m:sub>
                                  </m:sSub>
                                </m:sub>
                              </m:sSub>
                              <m:r>
                                <w:rPr>
                                  <w:rFonts w:ascii="Cambria Math" w:hAnsi="Cambria Math" w:cs="Cambria Math"/>
                                </w:rPr>
                                <m:t>⋅</m:t>
                              </m:r>
                              <m:d>
                                <m:dPr>
                                  <m:ctrlPr>
                                    <w:rPr>
                                      <w:rFonts w:ascii="Cambria Math" w:hAnsi="Cambria Math"/>
                                      <w:i/>
                                    </w:rPr>
                                  </m:ctrlPr>
                                </m:dPr>
                                <m:e>
                                  <m:sSub>
                                    <m:sSubPr>
                                      <m:ctrlPr>
                                        <w:rPr>
                                          <w:rFonts w:ascii="Cambria Math" w:hAnsi="Cambria Math"/>
                                          <w:i/>
                                        </w:rPr>
                                      </m:ctrlPr>
                                    </m:sSubPr>
                                    <m:e>
                                      <m:r>
                                        <w:rPr>
                                          <w:rFonts w:ascii="Cambria Math"/>
                                        </w:rPr>
                                        <m:t>β</m:t>
                                      </m:r>
                                    </m:e>
                                    <m:sub>
                                      <m:r>
                                        <w:rPr>
                                          <w:rFonts w:ascii="Cambria Math"/>
                                        </w:rPr>
                                        <m:t>ic</m:t>
                                      </m:r>
                                    </m:sub>
                                  </m:sSub>
                                  <m:r>
                                    <w:rPr>
                                      <w:rFonts w:ascii="Cambria Math" w:hAnsi="Cambria Math" w:cs="Cambria Math"/>
                                    </w:rPr>
                                    <m:t>⋅</m:t>
                                  </m:r>
                                  <m:sSub>
                                    <m:sSubPr>
                                      <m:ctrlPr>
                                        <w:rPr>
                                          <w:rFonts w:ascii="Cambria Math" w:hAnsi="Cambria Math"/>
                                          <w:i/>
                                        </w:rPr>
                                      </m:ctrlPr>
                                    </m:sSubPr>
                                    <m:e>
                                      <m:r>
                                        <w:rPr>
                                          <w:rFonts w:ascii="Cambria Math"/>
                                        </w:rPr>
                                        <m:t>X</m:t>
                                      </m:r>
                                    </m:e>
                                    <m:sub>
                                      <m:r>
                                        <w:rPr>
                                          <w:rFonts w:ascii="Cambria Math"/>
                                        </w:rPr>
                                        <m:t>iq</m:t>
                                      </m:r>
                                    </m:sub>
                                  </m:sSub>
                                </m:e>
                              </m:d>
                            </m:sup>
                          </m:sSup>
                        </m:e>
                      </m:nary>
                    </m:e>
                  </m:func>
                </m:sup>
              </m:sSup>
            </m:num>
            <m:den>
              <m:nary>
                <m:naryPr>
                  <m:chr m:val="∑"/>
                  <m:supHide m:val="1"/>
                  <m:ctrlPr>
                    <w:rPr>
                      <w:rFonts w:ascii="Cambria Math" w:hAnsi="Cambria Math"/>
                      <w:i/>
                    </w:rPr>
                  </m:ctrlPr>
                </m:naryPr>
                <m:sub>
                  <m:r>
                    <w:rPr>
                      <w:rFonts w:ascii="Cambria Math"/>
                    </w:rPr>
                    <m:t>m</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c</m:t>
                      </m:r>
                    </m:sub>
                  </m:sSub>
                </m:sub>
                <m:sup/>
                <m:e>
                  <m:sSup>
                    <m:sSupPr>
                      <m:ctrlPr>
                        <w:rPr>
                          <w:rFonts w:ascii="Cambria Math" w:hAnsi="Cambria Math"/>
                          <w:i/>
                        </w:rPr>
                      </m:ctrlPr>
                    </m:sSupPr>
                    <m:e>
                      <m:r>
                        <w:rPr>
                          <w:rFonts w:ascii="Cambria Math"/>
                        </w:rPr>
                        <m:t>e</m:t>
                      </m:r>
                    </m:e>
                    <m:sup>
                      <m:f>
                        <m:fPr>
                          <m:ctrlPr>
                            <w:rPr>
                              <w:rFonts w:ascii="Cambria Math" w:hAnsi="Cambria Math"/>
                              <w:i/>
                            </w:rPr>
                          </m:ctrlPr>
                        </m:fPr>
                        <m:num>
                          <m:r>
                            <w:rPr>
                              <w:rFonts w:ascii="Cambria Math"/>
                            </w:rPr>
                            <m:t>λ</m:t>
                          </m:r>
                        </m:num>
                        <m:den>
                          <m:sSub>
                            <m:sSubPr>
                              <m:ctrlPr>
                                <w:rPr>
                                  <w:rFonts w:ascii="Cambria Math" w:hAnsi="Cambria Math"/>
                                  <w:i/>
                                </w:rPr>
                              </m:ctrlPr>
                            </m:sSubPr>
                            <m:e>
                              <m:r>
                                <w:rPr>
                                  <w:rFonts w:ascii="Cambria Math"/>
                                </w:rPr>
                                <m:t>θ</m:t>
                              </m:r>
                            </m:e>
                            <m:sub>
                              <m:r>
                                <w:rPr>
                                  <w:rFonts w:ascii="Cambria Math"/>
                                </w:rPr>
                                <m:t>m</m:t>
                              </m:r>
                            </m:sub>
                          </m:sSub>
                        </m:den>
                      </m:f>
                      <m:r>
                        <w:rPr>
                          <w:rFonts w:ascii="Cambria Math" w:hAnsi="Cambria Math" w:cs="Cambria Math"/>
                        </w:rPr>
                        <m:t>⋅</m:t>
                      </m:r>
                      <m:func>
                        <m:funcPr>
                          <m:ctrlPr>
                            <w:rPr>
                              <w:rFonts w:ascii="Cambria Math" w:hAnsi="Cambria Math"/>
                              <w:i/>
                            </w:rPr>
                          </m:ctrlPr>
                        </m:funcPr>
                        <m:fName>
                          <m:r>
                            <w:rPr>
                              <w:rFonts w:ascii="Cambria Math"/>
                            </w:rPr>
                            <m:t>log</m:t>
                          </m:r>
                        </m:fName>
                        <m:e>
                          <m:nary>
                            <m:naryPr>
                              <m:chr m:val="∑"/>
                              <m:supHide m:val="1"/>
                              <m:ctrlPr>
                                <w:rPr>
                                  <w:rFonts w:ascii="Cambria Math" w:hAnsi="Cambria Math"/>
                                  <w:i/>
                                </w:rPr>
                              </m:ctrlPr>
                            </m:naryPr>
                            <m:sub>
                              <m:r>
                                <w:rPr>
                                  <w:rFonts w:ascii="Cambria Math"/>
                                </w:rPr>
                                <m:t>i</m:t>
                              </m:r>
                              <m:r>
                                <w:rPr>
                                  <w:rFonts w:ascii="Cambria Math" w:hAnsi="Cambria Math" w:cs="Cambria Math"/>
                                </w:rPr>
                                <m:t>∈</m:t>
                              </m:r>
                              <m:r>
                                <w:rPr>
                                  <w:rFonts w:ascii="Cambria Math"/>
                                </w:rPr>
                                <m:t>m</m:t>
                              </m:r>
                            </m:sub>
                            <m:sup/>
                            <m:e>
                              <m:sSup>
                                <m:sSupPr>
                                  <m:ctrlPr>
                                    <w:rPr>
                                      <w:rFonts w:ascii="Cambria Math" w:hAnsi="Cambria Math"/>
                                      <w:i/>
                                    </w:rPr>
                                  </m:ctrlPr>
                                </m:sSupPr>
                                <m:e>
                                  <m:r>
                                    <w:rPr>
                                      <w:rFonts w:ascii="Cambria Math"/>
                                    </w:rPr>
                                    <m:t>e</m:t>
                                  </m:r>
                                </m:e>
                                <m:sup>
                                  <m:sSub>
                                    <m:sSubPr>
                                      <m:ctrlPr>
                                        <w:rPr>
                                          <w:rFonts w:ascii="Cambria Math" w:hAnsi="Cambria Math"/>
                                          <w:i/>
                                        </w:rPr>
                                      </m:ctrlPr>
                                    </m:sSubPr>
                                    <m:e>
                                      <m:r>
                                        <w:rPr>
                                          <w:rFonts w:ascii="Cambria Math"/>
                                        </w:rPr>
                                        <m:t>θ</m:t>
                                      </m:r>
                                    </m:e>
                                    <m:sub>
                                      <m:r>
                                        <w:rPr>
                                          <w:rFonts w:ascii="Cambria Math"/>
                                        </w:rPr>
                                        <m:t>m</m:t>
                                      </m:r>
                                    </m:sub>
                                  </m:sSub>
                                  <m:r>
                                    <w:rPr>
                                      <w:rFonts w:ascii="Cambria Math" w:hAnsi="Cambria Math" w:cs="Cambria Math"/>
                                    </w:rPr>
                                    <m:t>⋅</m:t>
                                  </m:r>
                                  <m:d>
                                    <m:dPr>
                                      <m:ctrlPr>
                                        <w:rPr>
                                          <w:rFonts w:ascii="Cambria Math" w:hAnsi="Cambria Math"/>
                                          <w:i/>
                                        </w:rPr>
                                      </m:ctrlPr>
                                    </m:dPr>
                                    <m:e>
                                      <m:sSub>
                                        <m:sSubPr>
                                          <m:ctrlPr>
                                            <w:rPr>
                                              <w:rFonts w:ascii="Cambria Math" w:hAnsi="Cambria Math"/>
                                              <w:i/>
                                            </w:rPr>
                                          </m:ctrlPr>
                                        </m:sSubPr>
                                        <m:e>
                                          <m:r>
                                            <w:rPr>
                                              <w:rFonts w:ascii="Cambria Math"/>
                                            </w:rPr>
                                            <m:t>β</m:t>
                                          </m:r>
                                        </m:e>
                                        <m:sub>
                                          <m:r>
                                            <w:rPr>
                                              <w:rFonts w:ascii="Cambria Math"/>
                                            </w:rPr>
                                            <m:t>jc</m:t>
                                          </m:r>
                                        </m:sub>
                                      </m:sSub>
                                      <m:r>
                                        <w:rPr>
                                          <w:rFonts w:ascii="Cambria Math" w:hAnsi="Cambria Math" w:cs="Cambria Math"/>
                                        </w:rPr>
                                        <m:t>⋅</m:t>
                                      </m:r>
                                      <m:sSub>
                                        <m:sSubPr>
                                          <m:ctrlPr>
                                            <w:rPr>
                                              <w:rFonts w:ascii="Cambria Math" w:hAnsi="Cambria Math"/>
                                              <w:i/>
                                            </w:rPr>
                                          </m:ctrlPr>
                                        </m:sSubPr>
                                        <m:e>
                                          <m:r>
                                            <w:rPr>
                                              <w:rFonts w:ascii="Cambria Math"/>
                                            </w:rPr>
                                            <m:t>X</m:t>
                                          </m:r>
                                        </m:e>
                                        <m:sub>
                                          <m:r>
                                            <w:rPr>
                                              <w:rFonts w:ascii="Cambria Math"/>
                                            </w:rPr>
                                            <m:t>iq</m:t>
                                          </m:r>
                                        </m:sub>
                                      </m:sSub>
                                    </m:e>
                                  </m:d>
                                </m:sup>
                              </m:sSup>
                            </m:e>
                          </m:nary>
                        </m:e>
                      </m:func>
                    </m:sup>
                  </m:sSup>
                </m:e>
              </m:nary>
            </m:den>
          </m:f>
          <m:r>
            <w:rPr>
              <w:rFonts w:ascii="Cambria Math" w:hAnsi="Cambria Math" w:cs="Cambria Math"/>
            </w:rPr>
            <m:t>⋅</m:t>
          </m:r>
          <m:r>
            <m:rPr>
              <m:sty m:val="p"/>
            </m:rPr>
            <w:br/>
          </m:r>
        </m:oMath>
      </m:oMathPara>
    </w:p>
    <w:p w14:paraId="4020BEA2" w14:textId="2CBA79D8" w:rsidR="005E51B2" w:rsidRPr="005E51B2" w:rsidRDefault="00694733" w:rsidP="005E51B2">
      <w:pPr>
        <w:jc w:val="end"/>
      </w:pPr>
      <m:oMath>
        <m:f>
          <m:fPr>
            <m:ctrlPr>
              <w:rPr>
                <w:rFonts w:ascii="Cambria Math" w:hAnsi="Cambria Math"/>
                <w:i/>
              </w:rPr>
            </m:ctrlPr>
          </m:fPr>
          <m:num>
            <m:sSup>
              <m:sSupPr>
                <m:ctrlPr>
                  <w:rPr>
                    <w:rFonts w:ascii="Cambria Math" w:hAnsi="Cambria Math"/>
                    <w:i/>
                  </w:rPr>
                </m:ctrlPr>
              </m:sSupPr>
              <m:e>
                <m:r>
                  <w:rPr>
                    <w:rFonts w:ascii="Cambria Math"/>
                  </w:rPr>
                  <m:t>e</m:t>
                </m:r>
              </m:e>
              <m:sup>
                <m:sSub>
                  <m:sSubPr>
                    <m:ctrlPr>
                      <w:rPr>
                        <w:rFonts w:ascii="Cambria Math" w:hAnsi="Cambria Math"/>
                        <w:i/>
                      </w:rPr>
                    </m:ctrlPr>
                  </m:sSubPr>
                  <m:e>
                    <m:r>
                      <w:rPr>
                        <w:rFonts w:ascii="Cambria Math"/>
                      </w:rPr>
                      <m:t>θ</m:t>
                    </m:r>
                  </m:e>
                  <m:sub>
                    <m:sSub>
                      <m:sSubPr>
                        <m:ctrlPr>
                          <w:rPr>
                            <w:rFonts w:ascii="Cambria Math" w:hAnsi="Cambria Math"/>
                            <w:i/>
                          </w:rPr>
                        </m:ctrlPr>
                      </m:sSubPr>
                      <m:e>
                        <m:r>
                          <w:rPr>
                            <w:rFonts w:ascii="Cambria Math"/>
                          </w:rPr>
                          <m:t>n</m:t>
                        </m:r>
                      </m:e>
                      <m:sub>
                        <m:r>
                          <w:rPr>
                            <w:rFonts w:ascii="Cambria Math"/>
                          </w:rPr>
                          <m:t>c</m:t>
                        </m:r>
                      </m:sub>
                    </m:sSub>
                  </m:sub>
                </m:sSub>
                <m:r>
                  <w:rPr>
                    <w:rFonts w:ascii="Cambria Math" w:hAnsi="Cambria Math" w:cs="Cambria Math"/>
                  </w:rPr>
                  <m:t>⋅</m:t>
                </m:r>
                <m:d>
                  <m:dPr>
                    <m:ctrlPr>
                      <w:rPr>
                        <w:rFonts w:ascii="Cambria Math" w:hAnsi="Cambria Math"/>
                        <w:i/>
                      </w:rPr>
                    </m:ctrlPr>
                  </m:dPr>
                  <m:e>
                    <m:sSub>
                      <m:sSubPr>
                        <m:ctrlPr>
                          <w:rPr>
                            <w:rFonts w:ascii="Cambria Math" w:hAnsi="Cambria Math"/>
                            <w:i/>
                          </w:rPr>
                        </m:ctrlPr>
                      </m:sSubPr>
                      <m:e>
                        <m:r>
                          <w:rPr>
                            <w:rFonts w:ascii="Cambria Math"/>
                          </w:rPr>
                          <m:t>β</m:t>
                        </m:r>
                      </m:e>
                      <m:sub>
                        <m:r>
                          <w:rPr>
                            <w:rFonts w:ascii="Cambria Math"/>
                          </w:rPr>
                          <m:t>ic</m:t>
                        </m:r>
                      </m:sub>
                    </m:sSub>
                    <m:r>
                      <w:rPr>
                        <w:rFonts w:ascii="Cambria Math" w:hAnsi="Cambria Math" w:cs="Cambria Math"/>
                      </w:rPr>
                      <m:t>⋅</m:t>
                    </m:r>
                    <m:sSub>
                      <m:sSubPr>
                        <m:ctrlPr>
                          <w:rPr>
                            <w:rFonts w:ascii="Cambria Math" w:hAnsi="Cambria Math"/>
                            <w:i/>
                          </w:rPr>
                        </m:ctrlPr>
                      </m:sSubPr>
                      <m:e>
                        <m:r>
                          <w:rPr>
                            <w:rFonts w:ascii="Cambria Math"/>
                          </w:rPr>
                          <m:t>X</m:t>
                        </m:r>
                      </m:e>
                      <m:sub>
                        <m:r>
                          <w:rPr>
                            <w:rFonts w:ascii="Cambria Math"/>
                          </w:rPr>
                          <m:t>iq</m:t>
                        </m:r>
                      </m:sub>
                    </m:sSub>
                  </m:e>
                </m:d>
              </m:sup>
            </m:sSup>
          </m:num>
          <m:den>
            <m:nary>
              <m:naryPr>
                <m:chr m:val="∑"/>
                <m:supHide m:val="1"/>
                <m:ctrlPr>
                  <w:rPr>
                    <w:rFonts w:ascii="Cambria Math" w:hAnsi="Cambria Math"/>
                    <w:i/>
                  </w:rPr>
                </m:ctrlPr>
              </m:naryPr>
              <m:sub>
                <m:r>
                  <w:rPr>
                    <w:rFonts w:ascii="Cambria Math"/>
                  </w:rPr>
                  <m:t>j</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c</m:t>
                    </m:r>
                  </m:sub>
                </m:sSub>
              </m:sub>
              <m:sup/>
              <m:e>
                <m:sSup>
                  <m:sSupPr>
                    <m:ctrlPr>
                      <w:rPr>
                        <w:rFonts w:ascii="Cambria Math" w:hAnsi="Cambria Math"/>
                        <w:i/>
                      </w:rPr>
                    </m:ctrlPr>
                  </m:sSupPr>
                  <m:e>
                    <m:r>
                      <w:rPr>
                        <w:rFonts w:ascii="Cambria Math"/>
                      </w:rPr>
                      <m:t>e</m:t>
                    </m:r>
                  </m:e>
                  <m:sup>
                    <m:sSub>
                      <m:sSubPr>
                        <m:ctrlPr>
                          <w:rPr>
                            <w:rFonts w:ascii="Cambria Math" w:hAnsi="Cambria Math"/>
                            <w:i/>
                          </w:rPr>
                        </m:ctrlPr>
                      </m:sSubPr>
                      <m:e>
                        <m:r>
                          <w:rPr>
                            <w:rFonts w:ascii="Cambria Math"/>
                          </w:rPr>
                          <m:t>θ</m:t>
                        </m:r>
                      </m:e>
                      <m:sub>
                        <m:sSub>
                          <m:sSubPr>
                            <m:ctrlPr>
                              <w:rPr>
                                <w:rFonts w:ascii="Cambria Math" w:hAnsi="Cambria Math"/>
                                <w:i/>
                              </w:rPr>
                            </m:ctrlPr>
                          </m:sSubPr>
                          <m:e>
                            <m:r>
                              <w:rPr>
                                <w:rFonts w:ascii="Cambria Math"/>
                              </w:rPr>
                              <m:t>n</m:t>
                            </m:r>
                          </m:e>
                          <m:sub>
                            <m:r>
                              <w:rPr>
                                <w:rFonts w:ascii="Cambria Math"/>
                              </w:rPr>
                              <m:t>c</m:t>
                            </m:r>
                          </m:sub>
                        </m:sSub>
                      </m:sub>
                    </m:sSub>
                    <m:r>
                      <w:rPr>
                        <w:rFonts w:ascii="Cambria Math" w:hAnsi="Cambria Math" w:cs="Cambria Math"/>
                      </w:rPr>
                      <m:t>⋅</m:t>
                    </m:r>
                    <m:d>
                      <m:dPr>
                        <m:ctrlPr>
                          <w:rPr>
                            <w:rFonts w:ascii="Cambria Math" w:hAnsi="Cambria Math"/>
                            <w:i/>
                          </w:rPr>
                        </m:ctrlPr>
                      </m:dPr>
                      <m:e>
                        <m:sSub>
                          <m:sSubPr>
                            <m:ctrlPr>
                              <w:rPr>
                                <w:rFonts w:ascii="Cambria Math" w:hAnsi="Cambria Math"/>
                                <w:i/>
                              </w:rPr>
                            </m:ctrlPr>
                          </m:sSubPr>
                          <m:e>
                            <m:r>
                              <w:rPr>
                                <w:rFonts w:ascii="Cambria Math"/>
                              </w:rPr>
                              <m:t>β</m:t>
                            </m:r>
                          </m:e>
                          <m:sub>
                            <m:r>
                              <w:rPr>
                                <w:rFonts w:ascii="Cambria Math"/>
                              </w:rPr>
                              <m:t>jc</m:t>
                            </m:r>
                          </m:sub>
                        </m:sSub>
                        <m:r>
                          <w:rPr>
                            <w:rFonts w:ascii="Cambria Math" w:hAnsi="Cambria Math" w:cs="Cambria Math"/>
                          </w:rPr>
                          <m:t>⋅</m:t>
                        </m:r>
                        <m:sSub>
                          <m:sSubPr>
                            <m:ctrlPr>
                              <w:rPr>
                                <w:rFonts w:ascii="Cambria Math" w:hAnsi="Cambria Math"/>
                                <w:i/>
                              </w:rPr>
                            </m:ctrlPr>
                          </m:sSubPr>
                          <m:e>
                            <m:r>
                              <w:rPr>
                                <w:rFonts w:ascii="Cambria Math"/>
                              </w:rPr>
                              <m:t>X</m:t>
                            </m:r>
                          </m:e>
                          <m:sub>
                            <m:r>
                              <w:rPr>
                                <w:rFonts w:ascii="Cambria Math"/>
                              </w:rPr>
                              <m:t>iq</m:t>
                            </m:r>
                          </m:sub>
                        </m:sSub>
                      </m:e>
                    </m:d>
                  </m:sup>
                </m:sSup>
              </m:e>
            </m:nary>
          </m:den>
        </m:f>
        <m:r>
          <w:rPr>
            <w:rFonts w:ascii="Cambria Math"/>
          </w:rPr>
          <m:t>+</m:t>
        </m:r>
        <m:d>
          <m:dPr>
            <m:ctrlPr>
              <w:rPr>
                <w:rFonts w:ascii="Cambria Math" w:hAnsi="Cambria Math"/>
                <w:i/>
              </w:rPr>
            </m:ctrlPr>
          </m:dPr>
          <m:e>
            <m:r>
              <w:rPr>
                <w:rFonts w:ascii="Cambria Math"/>
              </w:rPr>
              <m:t>1</m:t>
            </m:r>
            <m:r>
              <w:rPr>
                <w:rFonts w:ascii="Cambria Math"/>
              </w:rPr>
              <m:t>-</m:t>
            </m:r>
            <m:sSub>
              <m:sSubPr>
                <m:ctrlPr>
                  <w:rPr>
                    <w:rFonts w:ascii="Cambria Math" w:hAnsi="Cambria Math"/>
                    <w:i/>
                  </w:rPr>
                </m:ctrlPr>
              </m:sSubPr>
              <m:e>
                <m:r>
                  <w:rPr>
                    <w:rFonts w:ascii="Cambria Math"/>
                  </w:rPr>
                  <m:t>P</m:t>
                </m:r>
              </m:e>
              <m:sub>
                <m:r>
                  <w:rPr>
                    <w:rFonts w:ascii="Cambria Math"/>
                  </w:rPr>
                  <m:t>cq</m:t>
                </m:r>
              </m:sub>
            </m:sSub>
          </m:e>
        </m:d>
        <m:r>
          <w:rPr>
            <w:rFonts w:ascii="Cambria Math" w:hAnsi="Cambria Math" w:cs="Cambria Math"/>
          </w:rPr>
          <m:t>⋅</m:t>
        </m:r>
      </m:oMath>
      <w:r w:rsidR="005E51B2">
        <w:rPr>
          <w:i/>
        </w:rPr>
        <w:t xml:space="preserve">                </w:t>
      </w:r>
      <w:r w:rsidR="005E51B2" w:rsidRPr="005E51B2">
        <w:rPr>
          <w:i/>
        </w:rPr>
        <w:t>(7)</w:t>
      </w:r>
      <w:r w:rsidR="005E51B2">
        <w:rPr>
          <w:i/>
        </w:rPr>
        <w:br/>
      </w:r>
    </w:p>
    <w:p w14:paraId="6F63EFA8" w14:textId="2837EE02" w:rsidR="005E51B2" w:rsidRPr="005E51B2" w:rsidRDefault="00694733" w:rsidP="005E51B2">
      <m:oMathPara>
        <m:oMathParaPr>
          <m:jc m:val="center"/>
        </m:oMathParaPr>
        <m:oMath>
          <m:f>
            <m:fPr>
              <m:ctrlPr>
                <w:rPr>
                  <w:rFonts w:ascii="Cambria Math" w:hAnsi="Cambria Math"/>
                  <w:i/>
                </w:rPr>
              </m:ctrlPr>
            </m:fPr>
            <m:num>
              <m:sSup>
                <m:sSupPr>
                  <m:ctrlPr>
                    <w:rPr>
                      <w:rFonts w:ascii="Cambria Math" w:hAnsi="Cambria Math"/>
                      <w:i/>
                    </w:rPr>
                  </m:ctrlPr>
                </m:sSupPr>
                <m:e>
                  <m:r>
                    <w:rPr>
                      <w:rFonts w:ascii="Cambria Math"/>
                    </w:rPr>
                    <m:t>e</m:t>
                  </m:r>
                </m:e>
                <m:sup>
                  <m:f>
                    <m:fPr>
                      <m:ctrlPr>
                        <w:rPr>
                          <w:rFonts w:ascii="Cambria Math" w:hAnsi="Cambria Math"/>
                          <w:i/>
                        </w:rPr>
                      </m:ctrlPr>
                    </m:fPr>
                    <m:num>
                      <m:r>
                        <w:rPr>
                          <w:rFonts w:ascii="Cambria Math"/>
                        </w:rPr>
                        <m:t>λ</m:t>
                      </m:r>
                    </m:num>
                    <m:den>
                      <m:sSub>
                        <m:sSubPr>
                          <m:ctrlPr>
                            <w:rPr>
                              <w:rFonts w:ascii="Cambria Math" w:hAnsi="Cambria Math"/>
                              <w:i/>
                            </w:rPr>
                          </m:ctrlPr>
                        </m:sSubPr>
                        <m:e>
                          <m:r>
                            <w:rPr>
                              <w:rFonts w:ascii="Cambria Math"/>
                            </w:rPr>
                            <m:t>θ</m:t>
                          </m:r>
                        </m:e>
                        <m:sub>
                          <m:sSub>
                            <m:sSubPr>
                              <m:ctrlPr>
                                <w:rPr>
                                  <w:rFonts w:ascii="Cambria Math" w:hAnsi="Cambria Math"/>
                                  <w:i/>
                                </w:rPr>
                              </m:ctrlPr>
                            </m:sSubPr>
                            <m:e>
                              <m:r>
                                <w:rPr>
                                  <w:rFonts w:ascii="Cambria Math"/>
                                </w:rPr>
                                <m:t>n</m:t>
                              </m:r>
                            </m:e>
                            <m:sub>
                              <m:r>
                                <w:rPr>
                                  <w:rFonts w:ascii="Cambria Math"/>
                                </w:rPr>
                                <m:t>d</m:t>
                              </m:r>
                            </m:sub>
                          </m:sSub>
                        </m:sub>
                      </m:sSub>
                    </m:den>
                  </m:f>
                  <m:r>
                    <w:rPr>
                      <w:rFonts w:ascii="Cambria Math" w:hAnsi="Cambria Math" w:cs="Cambria Math"/>
                    </w:rPr>
                    <m:t>⋅</m:t>
                  </m:r>
                  <m:func>
                    <m:funcPr>
                      <m:ctrlPr>
                        <w:rPr>
                          <w:rFonts w:ascii="Cambria Math" w:hAnsi="Cambria Math"/>
                          <w:i/>
                        </w:rPr>
                      </m:ctrlPr>
                    </m:funcPr>
                    <m:fName>
                      <m:r>
                        <w:rPr>
                          <w:rFonts w:ascii="Cambria Math"/>
                        </w:rPr>
                        <m:t>log</m:t>
                      </m:r>
                    </m:fName>
                    <m:e>
                      <m:nary>
                        <m:naryPr>
                          <m:chr m:val="∑"/>
                          <m:supHide m:val="1"/>
                          <m:ctrlPr>
                            <w:rPr>
                              <w:rFonts w:ascii="Cambria Math" w:hAnsi="Cambria Math"/>
                              <w:i/>
                            </w:rPr>
                          </m:ctrlPr>
                        </m:naryPr>
                        <m:sub>
                          <m:r>
                            <w:rPr>
                              <w:rFonts w:ascii="Cambria Math"/>
                            </w:rPr>
                            <m:t>i</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d</m:t>
                              </m:r>
                            </m:sub>
                          </m:sSub>
                        </m:sub>
                        <m:sup/>
                        <m:e>
                          <m:sSup>
                            <m:sSupPr>
                              <m:ctrlPr>
                                <w:rPr>
                                  <w:rFonts w:ascii="Cambria Math" w:hAnsi="Cambria Math"/>
                                  <w:i/>
                                </w:rPr>
                              </m:ctrlPr>
                            </m:sSupPr>
                            <m:e>
                              <m:r>
                                <w:rPr>
                                  <w:rFonts w:ascii="Cambria Math"/>
                                </w:rPr>
                                <m:t>e</m:t>
                              </m:r>
                            </m:e>
                            <m:sup>
                              <m:sSub>
                                <m:sSubPr>
                                  <m:ctrlPr>
                                    <w:rPr>
                                      <w:rFonts w:ascii="Cambria Math" w:hAnsi="Cambria Math"/>
                                      <w:i/>
                                    </w:rPr>
                                  </m:ctrlPr>
                                </m:sSubPr>
                                <m:e>
                                  <m:r>
                                    <w:rPr>
                                      <w:rFonts w:ascii="Cambria Math"/>
                                    </w:rPr>
                                    <m:t>θ</m:t>
                                  </m:r>
                                </m:e>
                                <m:sub>
                                  <m:sSub>
                                    <m:sSubPr>
                                      <m:ctrlPr>
                                        <w:rPr>
                                          <w:rFonts w:ascii="Cambria Math" w:hAnsi="Cambria Math"/>
                                          <w:i/>
                                        </w:rPr>
                                      </m:ctrlPr>
                                    </m:sSubPr>
                                    <m:e>
                                      <m:r>
                                        <w:rPr>
                                          <w:rFonts w:ascii="Cambria Math"/>
                                        </w:rPr>
                                        <m:t>n</m:t>
                                      </m:r>
                                    </m:e>
                                    <m:sub>
                                      <m:r>
                                        <w:rPr>
                                          <w:rFonts w:ascii="Cambria Math"/>
                                        </w:rPr>
                                        <m:t>d</m:t>
                                      </m:r>
                                    </m:sub>
                                  </m:sSub>
                                </m:sub>
                              </m:sSub>
                              <m:r>
                                <w:rPr>
                                  <w:rFonts w:ascii="Cambria Math" w:hAnsi="Cambria Math" w:cs="Cambria Math"/>
                                </w:rPr>
                                <m:t>⋅</m:t>
                              </m:r>
                              <m:d>
                                <m:dPr>
                                  <m:ctrlPr>
                                    <w:rPr>
                                      <w:rFonts w:ascii="Cambria Math" w:hAnsi="Cambria Math"/>
                                      <w:i/>
                                    </w:rPr>
                                  </m:ctrlPr>
                                </m:dPr>
                                <m:e>
                                  <m:sSub>
                                    <m:sSubPr>
                                      <m:ctrlPr>
                                        <w:rPr>
                                          <w:rFonts w:ascii="Cambria Math" w:hAnsi="Cambria Math"/>
                                          <w:i/>
                                        </w:rPr>
                                      </m:ctrlPr>
                                    </m:sSubPr>
                                    <m:e>
                                      <m:r>
                                        <w:rPr>
                                          <w:rFonts w:ascii="Cambria Math"/>
                                        </w:rPr>
                                        <m:t>β</m:t>
                                      </m:r>
                                    </m:e>
                                    <m:sub>
                                      <m:r>
                                        <w:rPr>
                                          <w:rFonts w:ascii="Cambria Math"/>
                                        </w:rPr>
                                        <m:t>id</m:t>
                                      </m:r>
                                    </m:sub>
                                  </m:sSub>
                                  <m:r>
                                    <w:rPr>
                                      <w:rFonts w:ascii="Cambria Math" w:hAnsi="Cambria Math" w:cs="Cambria Math"/>
                                    </w:rPr>
                                    <m:t>⋅</m:t>
                                  </m:r>
                                  <m:sSub>
                                    <m:sSubPr>
                                      <m:ctrlPr>
                                        <w:rPr>
                                          <w:rFonts w:ascii="Cambria Math" w:hAnsi="Cambria Math"/>
                                          <w:i/>
                                        </w:rPr>
                                      </m:ctrlPr>
                                    </m:sSubPr>
                                    <m:e>
                                      <m:r>
                                        <w:rPr>
                                          <w:rFonts w:ascii="Cambria Math"/>
                                        </w:rPr>
                                        <m:t>X</m:t>
                                      </m:r>
                                    </m:e>
                                    <m:sub>
                                      <m:r>
                                        <w:rPr>
                                          <w:rFonts w:ascii="Cambria Math"/>
                                        </w:rPr>
                                        <m:t>iq</m:t>
                                      </m:r>
                                    </m:sub>
                                  </m:sSub>
                                </m:e>
                              </m:d>
                            </m:sup>
                          </m:sSup>
                        </m:e>
                      </m:nary>
                    </m:e>
                  </m:func>
                </m:sup>
              </m:sSup>
            </m:num>
            <m:den>
              <m:nary>
                <m:naryPr>
                  <m:chr m:val="∑"/>
                  <m:supHide m:val="1"/>
                  <m:ctrlPr>
                    <w:rPr>
                      <w:rFonts w:ascii="Cambria Math" w:hAnsi="Cambria Math"/>
                      <w:i/>
                    </w:rPr>
                  </m:ctrlPr>
                </m:naryPr>
                <m:sub>
                  <m:r>
                    <w:rPr>
                      <w:rFonts w:ascii="Cambria Math"/>
                    </w:rPr>
                    <m:t>m</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d</m:t>
                      </m:r>
                    </m:sub>
                  </m:sSub>
                </m:sub>
                <m:sup/>
                <m:e>
                  <m:sSup>
                    <m:sSupPr>
                      <m:ctrlPr>
                        <w:rPr>
                          <w:rFonts w:ascii="Cambria Math" w:hAnsi="Cambria Math"/>
                          <w:i/>
                        </w:rPr>
                      </m:ctrlPr>
                    </m:sSupPr>
                    <m:e>
                      <m:r>
                        <w:rPr>
                          <w:rFonts w:ascii="Cambria Math"/>
                        </w:rPr>
                        <m:t>e</m:t>
                      </m:r>
                    </m:e>
                    <m:sup>
                      <m:f>
                        <m:fPr>
                          <m:ctrlPr>
                            <w:rPr>
                              <w:rFonts w:ascii="Cambria Math" w:hAnsi="Cambria Math"/>
                              <w:i/>
                            </w:rPr>
                          </m:ctrlPr>
                        </m:fPr>
                        <m:num>
                          <m:r>
                            <w:rPr>
                              <w:rFonts w:ascii="Cambria Math"/>
                            </w:rPr>
                            <m:t>λ</m:t>
                          </m:r>
                        </m:num>
                        <m:den>
                          <m:sSub>
                            <m:sSubPr>
                              <m:ctrlPr>
                                <w:rPr>
                                  <w:rFonts w:ascii="Cambria Math" w:hAnsi="Cambria Math"/>
                                  <w:i/>
                                </w:rPr>
                              </m:ctrlPr>
                            </m:sSubPr>
                            <m:e>
                              <m:r>
                                <w:rPr>
                                  <w:rFonts w:ascii="Cambria Math"/>
                                </w:rPr>
                                <m:t>θ</m:t>
                              </m:r>
                            </m:e>
                            <m:sub>
                              <m:r>
                                <w:rPr>
                                  <w:rFonts w:ascii="Cambria Math"/>
                                </w:rPr>
                                <m:t>m</m:t>
                              </m:r>
                            </m:sub>
                          </m:sSub>
                        </m:den>
                      </m:f>
                      <m:r>
                        <w:rPr>
                          <w:rFonts w:ascii="Cambria Math" w:hAnsi="Cambria Math" w:cs="Cambria Math"/>
                        </w:rPr>
                        <m:t>⋅</m:t>
                      </m:r>
                      <m:func>
                        <m:funcPr>
                          <m:ctrlPr>
                            <w:rPr>
                              <w:rFonts w:ascii="Cambria Math" w:hAnsi="Cambria Math"/>
                              <w:i/>
                            </w:rPr>
                          </m:ctrlPr>
                        </m:funcPr>
                        <m:fName>
                          <m:r>
                            <w:rPr>
                              <w:rFonts w:ascii="Cambria Math"/>
                            </w:rPr>
                            <m:t>log</m:t>
                          </m:r>
                        </m:fName>
                        <m:e>
                          <m:nary>
                            <m:naryPr>
                              <m:chr m:val="∑"/>
                              <m:supHide m:val="1"/>
                              <m:ctrlPr>
                                <w:rPr>
                                  <w:rFonts w:ascii="Cambria Math" w:hAnsi="Cambria Math"/>
                                  <w:i/>
                                </w:rPr>
                              </m:ctrlPr>
                            </m:naryPr>
                            <m:sub>
                              <m:r>
                                <w:rPr>
                                  <w:rFonts w:ascii="Cambria Math"/>
                                </w:rPr>
                                <m:t>i</m:t>
                              </m:r>
                              <m:r>
                                <w:rPr>
                                  <w:rFonts w:ascii="Cambria Math" w:hAnsi="Cambria Math" w:cs="Cambria Math"/>
                                </w:rPr>
                                <m:t>∈</m:t>
                              </m:r>
                              <m:r>
                                <w:rPr>
                                  <w:rFonts w:ascii="Cambria Math"/>
                                </w:rPr>
                                <m:t>m</m:t>
                              </m:r>
                            </m:sub>
                            <m:sup/>
                            <m:e>
                              <m:sSup>
                                <m:sSupPr>
                                  <m:ctrlPr>
                                    <w:rPr>
                                      <w:rFonts w:ascii="Cambria Math" w:hAnsi="Cambria Math"/>
                                      <w:i/>
                                    </w:rPr>
                                  </m:ctrlPr>
                                </m:sSupPr>
                                <m:e>
                                  <m:r>
                                    <w:rPr>
                                      <w:rFonts w:ascii="Cambria Math"/>
                                    </w:rPr>
                                    <m:t>e</m:t>
                                  </m:r>
                                </m:e>
                                <m:sup>
                                  <m:sSub>
                                    <m:sSubPr>
                                      <m:ctrlPr>
                                        <w:rPr>
                                          <w:rFonts w:ascii="Cambria Math" w:hAnsi="Cambria Math"/>
                                          <w:i/>
                                        </w:rPr>
                                      </m:ctrlPr>
                                    </m:sSubPr>
                                    <m:e>
                                      <m:r>
                                        <w:rPr>
                                          <w:rFonts w:ascii="Cambria Math"/>
                                        </w:rPr>
                                        <m:t>θ</m:t>
                                      </m:r>
                                    </m:e>
                                    <m:sub>
                                      <m:r>
                                        <w:rPr>
                                          <w:rFonts w:ascii="Cambria Math"/>
                                        </w:rPr>
                                        <m:t>m</m:t>
                                      </m:r>
                                    </m:sub>
                                  </m:sSub>
                                  <m:r>
                                    <w:rPr>
                                      <w:rFonts w:ascii="Cambria Math" w:hAnsi="Cambria Math" w:cs="Cambria Math"/>
                                    </w:rPr>
                                    <m:t>⋅</m:t>
                                  </m:r>
                                  <m:d>
                                    <m:dPr>
                                      <m:ctrlPr>
                                        <w:rPr>
                                          <w:rFonts w:ascii="Cambria Math" w:hAnsi="Cambria Math"/>
                                          <w:i/>
                                        </w:rPr>
                                      </m:ctrlPr>
                                    </m:dPr>
                                    <m:e>
                                      <m:sSub>
                                        <m:sSubPr>
                                          <m:ctrlPr>
                                            <w:rPr>
                                              <w:rFonts w:ascii="Cambria Math" w:hAnsi="Cambria Math"/>
                                              <w:i/>
                                            </w:rPr>
                                          </m:ctrlPr>
                                        </m:sSubPr>
                                        <m:e>
                                          <m:r>
                                            <w:rPr>
                                              <w:rFonts w:ascii="Cambria Math"/>
                                            </w:rPr>
                                            <m:t>β</m:t>
                                          </m:r>
                                        </m:e>
                                        <m:sub>
                                          <m:r>
                                            <w:rPr>
                                              <w:rFonts w:ascii="Cambria Math"/>
                                            </w:rPr>
                                            <m:t>jd</m:t>
                                          </m:r>
                                        </m:sub>
                                      </m:sSub>
                                      <m:r>
                                        <w:rPr>
                                          <w:rFonts w:ascii="Cambria Math" w:hAnsi="Cambria Math" w:cs="Cambria Math"/>
                                        </w:rPr>
                                        <m:t>⋅</m:t>
                                      </m:r>
                                      <m:sSub>
                                        <m:sSubPr>
                                          <m:ctrlPr>
                                            <w:rPr>
                                              <w:rFonts w:ascii="Cambria Math" w:hAnsi="Cambria Math"/>
                                              <w:i/>
                                            </w:rPr>
                                          </m:ctrlPr>
                                        </m:sSubPr>
                                        <m:e>
                                          <m:r>
                                            <w:rPr>
                                              <w:rFonts w:ascii="Cambria Math"/>
                                            </w:rPr>
                                            <m:t>X</m:t>
                                          </m:r>
                                        </m:e>
                                        <m:sub>
                                          <m:r>
                                            <w:rPr>
                                              <w:rFonts w:ascii="Cambria Math"/>
                                            </w:rPr>
                                            <m:t>iq</m:t>
                                          </m:r>
                                        </m:sub>
                                      </m:sSub>
                                    </m:e>
                                  </m:d>
                                </m:sup>
                              </m:sSup>
                            </m:e>
                          </m:nary>
                        </m:e>
                      </m:func>
                    </m:sup>
                  </m:sSup>
                </m:e>
              </m:nary>
            </m:den>
          </m:f>
          <m:r>
            <w:rPr>
              <w:rFonts w:ascii="Cambria Math" w:hAnsi="Cambria Math" w:cs="Cambria Math"/>
            </w:rPr>
            <m:t>⋅</m:t>
          </m:r>
          <m:f>
            <m:fPr>
              <m:ctrlPr>
                <w:rPr>
                  <w:rFonts w:ascii="Cambria Math" w:hAnsi="Cambria Math"/>
                  <w:i/>
                </w:rPr>
              </m:ctrlPr>
            </m:fPr>
            <m:num>
              <m:sSup>
                <m:sSupPr>
                  <m:ctrlPr>
                    <w:rPr>
                      <w:rFonts w:ascii="Cambria Math" w:hAnsi="Cambria Math"/>
                      <w:i/>
                    </w:rPr>
                  </m:ctrlPr>
                </m:sSupPr>
                <m:e>
                  <m:r>
                    <w:rPr>
                      <w:rFonts w:ascii="Cambria Math"/>
                    </w:rPr>
                    <m:t>e</m:t>
                  </m:r>
                </m:e>
                <m:sup>
                  <m:sSub>
                    <m:sSubPr>
                      <m:ctrlPr>
                        <w:rPr>
                          <w:rFonts w:ascii="Cambria Math" w:hAnsi="Cambria Math"/>
                          <w:i/>
                        </w:rPr>
                      </m:ctrlPr>
                    </m:sSubPr>
                    <m:e>
                      <m:r>
                        <w:rPr>
                          <w:rFonts w:ascii="Cambria Math"/>
                        </w:rPr>
                        <m:t>θ</m:t>
                      </m:r>
                    </m:e>
                    <m:sub>
                      <m:sSub>
                        <m:sSubPr>
                          <m:ctrlPr>
                            <w:rPr>
                              <w:rFonts w:ascii="Cambria Math" w:hAnsi="Cambria Math"/>
                              <w:i/>
                            </w:rPr>
                          </m:ctrlPr>
                        </m:sSubPr>
                        <m:e>
                          <m:r>
                            <w:rPr>
                              <w:rFonts w:ascii="Cambria Math"/>
                            </w:rPr>
                            <m:t>n</m:t>
                          </m:r>
                        </m:e>
                        <m:sub>
                          <m:r>
                            <w:rPr>
                              <w:rFonts w:ascii="Cambria Math"/>
                            </w:rPr>
                            <m:t>d</m:t>
                          </m:r>
                        </m:sub>
                      </m:sSub>
                    </m:sub>
                  </m:sSub>
                  <m:r>
                    <w:rPr>
                      <w:rFonts w:ascii="Cambria Math" w:hAnsi="Cambria Math" w:cs="Cambria Math"/>
                    </w:rPr>
                    <m:t>⋅</m:t>
                  </m:r>
                  <m:d>
                    <m:dPr>
                      <m:ctrlPr>
                        <w:rPr>
                          <w:rFonts w:ascii="Cambria Math" w:hAnsi="Cambria Math"/>
                          <w:i/>
                        </w:rPr>
                      </m:ctrlPr>
                    </m:dPr>
                    <m:e>
                      <m:sSub>
                        <m:sSubPr>
                          <m:ctrlPr>
                            <w:rPr>
                              <w:rFonts w:ascii="Cambria Math" w:hAnsi="Cambria Math"/>
                              <w:i/>
                            </w:rPr>
                          </m:ctrlPr>
                        </m:sSubPr>
                        <m:e>
                          <m:r>
                            <w:rPr>
                              <w:rFonts w:ascii="Cambria Math"/>
                            </w:rPr>
                            <m:t>β</m:t>
                          </m:r>
                        </m:e>
                        <m:sub>
                          <m:r>
                            <w:rPr>
                              <w:rFonts w:ascii="Cambria Math"/>
                            </w:rPr>
                            <m:t>id</m:t>
                          </m:r>
                        </m:sub>
                      </m:sSub>
                      <m:r>
                        <w:rPr>
                          <w:rFonts w:ascii="Cambria Math" w:hAnsi="Cambria Math" w:cs="Cambria Math"/>
                        </w:rPr>
                        <m:t>⋅</m:t>
                      </m:r>
                      <m:sSub>
                        <m:sSubPr>
                          <m:ctrlPr>
                            <w:rPr>
                              <w:rFonts w:ascii="Cambria Math" w:hAnsi="Cambria Math"/>
                              <w:i/>
                            </w:rPr>
                          </m:ctrlPr>
                        </m:sSubPr>
                        <m:e>
                          <m:r>
                            <w:rPr>
                              <w:rFonts w:ascii="Cambria Math"/>
                            </w:rPr>
                            <m:t>X</m:t>
                          </m:r>
                        </m:e>
                        <m:sub>
                          <m:r>
                            <w:rPr>
                              <w:rFonts w:ascii="Cambria Math"/>
                            </w:rPr>
                            <m:t>iq</m:t>
                          </m:r>
                        </m:sub>
                      </m:sSub>
                    </m:e>
                  </m:d>
                </m:sup>
              </m:sSup>
            </m:num>
            <m:den>
              <m:nary>
                <m:naryPr>
                  <m:chr m:val="∑"/>
                  <m:supHide m:val="1"/>
                  <m:ctrlPr>
                    <w:rPr>
                      <w:rFonts w:ascii="Cambria Math" w:hAnsi="Cambria Math"/>
                      <w:i/>
                    </w:rPr>
                  </m:ctrlPr>
                </m:naryPr>
                <m:sub>
                  <m:r>
                    <w:rPr>
                      <w:rFonts w:ascii="Cambria Math"/>
                    </w:rPr>
                    <m:t>j</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d</m:t>
                      </m:r>
                    </m:sub>
                  </m:sSub>
                </m:sub>
                <m:sup/>
                <m:e>
                  <m:sSup>
                    <m:sSupPr>
                      <m:ctrlPr>
                        <w:rPr>
                          <w:rFonts w:ascii="Cambria Math" w:hAnsi="Cambria Math"/>
                          <w:i/>
                        </w:rPr>
                      </m:ctrlPr>
                    </m:sSupPr>
                    <m:e>
                      <m:r>
                        <w:rPr>
                          <w:rFonts w:ascii="Cambria Math"/>
                        </w:rPr>
                        <m:t>e</m:t>
                      </m:r>
                    </m:e>
                    <m:sup>
                      <m:sSub>
                        <m:sSubPr>
                          <m:ctrlPr>
                            <w:rPr>
                              <w:rFonts w:ascii="Cambria Math" w:hAnsi="Cambria Math"/>
                              <w:i/>
                            </w:rPr>
                          </m:ctrlPr>
                        </m:sSubPr>
                        <m:e>
                          <m:r>
                            <w:rPr>
                              <w:rFonts w:ascii="Cambria Math"/>
                            </w:rPr>
                            <m:t>θ</m:t>
                          </m:r>
                        </m:e>
                        <m:sub>
                          <m:r>
                            <w:rPr>
                              <w:rFonts w:ascii="Cambria Math"/>
                            </w:rPr>
                            <m:t>n</m:t>
                          </m:r>
                        </m:sub>
                      </m:sSub>
                      <m:r>
                        <w:rPr>
                          <w:rFonts w:ascii="Cambria Math" w:hAnsi="Cambria Math" w:cs="Cambria Math"/>
                        </w:rPr>
                        <m:t>⋅</m:t>
                      </m:r>
                      <m:d>
                        <m:dPr>
                          <m:ctrlPr>
                            <w:rPr>
                              <w:rFonts w:ascii="Cambria Math" w:hAnsi="Cambria Math"/>
                              <w:i/>
                            </w:rPr>
                          </m:ctrlPr>
                        </m:dPr>
                        <m:e>
                          <m:sSub>
                            <m:sSubPr>
                              <m:ctrlPr>
                                <w:rPr>
                                  <w:rFonts w:ascii="Cambria Math" w:hAnsi="Cambria Math"/>
                                  <w:i/>
                                </w:rPr>
                              </m:ctrlPr>
                            </m:sSubPr>
                            <m:e>
                              <m:r>
                                <w:rPr>
                                  <w:rFonts w:ascii="Cambria Math"/>
                                </w:rPr>
                                <m:t>β</m:t>
                              </m:r>
                            </m:e>
                            <m:sub>
                              <m:r>
                                <w:rPr>
                                  <w:rFonts w:ascii="Cambria Math"/>
                                </w:rPr>
                                <m:t>jd</m:t>
                              </m:r>
                            </m:sub>
                          </m:sSub>
                          <m:r>
                            <w:rPr>
                              <w:rFonts w:ascii="Cambria Math" w:hAnsi="Cambria Math" w:cs="Cambria Math"/>
                            </w:rPr>
                            <m:t>⋅</m:t>
                          </m:r>
                          <m:sSub>
                            <m:sSubPr>
                              <m:ctrlPr>
                                <w:rPr>
                                  <w:rFonts w:ascii="Cambria Math" w:hAnsi="Cambria Math"/>
                                  <w:i/>
                                </w:rPr>
                              </m:ctrlPr>
                            </m:sSubPr>
                            <m:e>
                              <m:r>
                                <w:rPr>
                                  <w:rFonts w:ascii="Cambria Math"/>
                                </w:rPr>
                                <m:t>X</m:t>
                              </m:r>
                            </m:e>
                            <m:sub>
                              <m:r>
                                <w:rPr>
                                  <w:rFonts w:ascii="Cambria Math"/>
                                </w:rPr>
                                <m:t>iq</m:t>
                              </m:r>
                            </m:sub>
                          </m:sSub>
                        </m:e>
                      </m:d>
                    </m:sup>
                  </m:sSup>
                </m:e>
              </m:nary>
            </m:den>
          </m:f>
        </m:oMath>
      </m:oMathPara>
    </w:p>
    <w:p w14:paraId="26FDA1D1" w14:textId="58202E72" w:rsidR="005E51B2" w:rsidRDefault="005E51B2" w:rsidP="007D1DDC">
      <w:pPr>
        <w:pStyle w:val="Plattetekst"/>
        <w:rPr>
          <w:bCs/>
          <w:lang w:val="en-US"/>
        </w:rPr>
      </w:pPr>
    </w:p>
    <w:p w14:paraId="19815806" w14:textId="2C9EA59D" w:rsidR="007D1DDC" w:rsidRPr="007D1DDC" w:rsidRDefault="007D1DDC" w:rsidP="007D1DDC">
      <w:pPr>
        <w:pStyle w:val="Plattetekst"/>
        <w:rPr>
          <w:bCs/>
          <w:lang w:val="en-US"/>
        </w:rPr>
      </w:pPr>
      <w:r w:rsidRPr="007D1DDC">
        <w:rPr>
          <w:bCs/>
          <w:lang w:val="en-US"/>
        </w:rPr>
        <w:t>which is called  a latent class nested logit model (LCNL). Note that the nest structure may vary across latent classes and also that the model may collapse to the MNL for a given latent class, while still exhibiting a nested structure for the other.</w:t>
      </w:r>
    </w:p>
    <w:p w14:paraId="121A8D76" w14:textId="3B57F94E" w:rsidR="004E33F6" w:rsidRDefault="007D1DDC" w:rsidP="007D1DDC">
      <w:pPr>
        <w:pStyle w:val="Plattetekst"/>
        <w:rPr>
          <w:bCs/>
          <w:lang w:val="en-US"/>
        </w:rPr>
      </w:pPr>
      <w:r w:rsidRPr="007D1DDC">
        <w:rPr>
          <w:bCs/>
          <w:lang w:val="en-US"/>
        </w:rPr>
        <w:t xml:space="preserve">Finally, the model is estimated by maximizing the log-likelihood across the entire sample making use of PandasBiogeme 3.2.3 </w:t>
      </w:r>
      <w:r w:rsidRPr="007D1DDC">
        <w:rPr>
          <w:bCs/>
          <w:lang w:val="en-US"/>
        </w:rPr>
        <w:fldChar w:fldCharType="begin" w:fldLock="1"/>
      </w:r>
      <w:r w:rsidR="00A92DA0">
        <w:rPr>
          <w:bCs/>
          <w:lang w:val="en-US"/>
        </w:rPr>
        <w:instrText>ADDIN CSL_CITATION {"citationItems":[{"id":"ITEM-1","itemData":{"author":[{"dropping-particle":"","family":"Bierlaire","given":"Michel","non-dropping-particle":"","parse-names":false,"suffix":""}],"container-title":"Technical report TRANSP-OR 181219","id":"ITEM-1","issued":{"date-parts":[["2018"]]},"title":"PandasBiogeme: a short introduction","type":"article-journal"},"uris":["http://www.mendeley.com/documents/?uuid=df4a56d4-8a5c-4447-b2d5-a66c107059d1"]}],"mendeley":{"formattedCitation":"[55]","plainTextFormattedCitation":"[55]","previouslyFormattedCitation":"[55]"},"properties":{"noteIndex":0},"schema":"https://github.com/citation-style-language/schema/raw/master/csl-citation.json"}</w:instrText>
      </w:r>
      <w:r w:rsidRPr="007D1DDC">
        <w:rPr>
          <w:bCs/>
          <w:lang w:val="en-US"/>
        </w:rPr>
        <w:fldChar w:fldCharType="separate"/>
      </w:r>
      <w:r w:rsidR="00A92DA0" w:rsidRPr="00A92DA0">
        <w:rPr>
          <w:bCs/>
          <w:noProof/>
          <w:lang w:val="en-US"/>
        </w:rPr>
        <w:t>[55]</w:t>
      </w:r>
      <w:r w:rsidRPr="007D1DDC">
        <w:rPr>
          <w:bCs/>
        </w:rPr>
        <w:fldChar w:fldCharType="end"/>
      </w:r>
      <w:r w:rsidRPr="007D1DDC">
        <w:rPr>
          <w:bCs/>
          <w:lang w:val="en-US"/>
        </w:rPr>
        <w:t>.</w:t>
      </w:r>
    </w:p>
    <w:p w14:paraId="1FB1B2F3" w14:textId="529FEF34" w:rsidR="00103DA8" w:rsidRDefault="00103DA8" w:rsidP="00103DA8">
      <w:pPr>
        <w:pStyle w:val="Kop1"/>
      </w:pPr>
      <w:r>
        <w:t>Data and empirical analysis</w:t>
      </w:r>
    </w:p>
    <w:p w14:paraId="7F2AC7E6" w14:textId="77777777" w:rsidR="00103DA8" w:rsidRPr="00103DA8" w:rsidRDefault="00103DA8" w:rsidP="00103DA8">
      <w:pPr>
        <w:pStyle w:val="Kop2"/>
      </w:pPr>
      <w:r>
        <w:t>Sample format and descriptive analysis</w:t>
      </w:r>
    </w:p>
    <w:p w14:paraId="2743C887" w14:textId="7F90E9F2" w:rsidR="00103DA8" w:rsidRPr="00103DA8" w:rsidRDefault="007B604F" w:rsidP="00103DA8">
      <w:pPr>
        <w:pStyle w:val="Plattetekst"/>
        <w:rPr>
          <w:bCs/>
        </w:rPr>
      </w:pPr>
      <w:r w:rsidRPr="007B604F">
        <w:rPr>
          <w:bCs/>
          <w:lang w:val="en-US"/>
        </w:rPr>
        <w:t>TABLE</w:t>
      </w:r>
      <w:r w:rsidR="00103DA8" w:rsidRPr="00103DA8">
        <w:rPr>
          <w:bCs/>
        </w:rPr>
        <w:t xml:space="preserve"> 4.1 presents the descriptive analysis of the data. In the sample, the average age is 44 years old (σ = 13 years), with 43% of the data above 50 years old. Moreover, 61% of the data are females. The group with an income between €20,000 and €40,000 accounts for over half the sample (53%) and the data is consistent with more educated people (58%) (postgraduate and above). </w:t>
      </w:r>
    </w:p>
    <w:p w14:paraId="6E70B430" w14:textId="61C45236" w:rsidR="00103DA8" w:rsidRDefault="00103DA8" w:rsidP="00103DA8">
      <w:pPr>
        <w:pStyle w:val="Plattetekst"/>
        <w:rPr>
          <w:bCs/>
        </w:rPr>
      </w:pPr>
      <w:r w:rsidRPr="00103DA8">
        <w:rPr>
          <w:bCs/>
        </w:rPr>
        <w:t xml:space="preserve">Respondents are observed to live an average of 12 kilometers away from the CBD of the city of Utrecht (σ = 9.9 km), while the choice results indicate that on average, the respondents preferred to leave closer to the center (9.9 km, σ = 9.3 km). The inverse is happening with the parking costs, observed averaging at €4.50 per month (σ = €17). The results from the choice preferences show that parking costs jump up to an average of €22.20 per month (σ = €40). The finding that the parking costs are higher in current observed data (RP) than in preference choice (SP) data falls within the line of expectation since a distinct feature of mobility hubs is the high costs for parking. An interesting finding is that in general, an increase in travel time is observed when the mobility hub alternatives are presented. The car is an exception, where a reduction of 3% from RP to SP can be observed. In the three other commute modes, the travel time strongly increases, indicating that overall the accessibility of the work location of the respondent is negatively affected by moving to the neighborhood with mobility hubs. These results are unexpected since the existing literature shows results where the travel distance and travel time to work negatively affect the value of a residential location </w:t>
      </w:r>
      <w:r w:rsidRPr="00103DA8">
        <w:rPr>
          <w:bCs/>
        </w:rPr>
        <w:fldChar w:fldCharType="begin" w:fldLock="1"/>
      </w:r>
      <w:r w:rsidR="00517676">
        <w:rPr>
          <w:bCs/>
        </w:rPr>
        <w:instrText>ADDIN CSL_CITATION {"citationItems":[{"id":"ITEM-1","itemData":{"DOI":"10.3929/ethz-a-010782581","ISBN":"8610828378018","abstract":"In the context of a land use – transport simulation for the Greater Zurich area that is currently being developed at ETH Zurich, multinomial logit models of residential location choice havebeen estimated. The estimations were based on two datasets: a household survey conducted in 2005 and real estate offers collected from the Internet in 2004 and 2005. Drawing on these data sources, a number of different variable combinations were tested in order to obtain models with satisfactory explanatory power. In addition, estimation results for specific household types werecompared. A core set of variables was used as a starting point to explore the significance of variouscharacteristics of household, dwelling and location. This core set was then tentatively extended by adding further variables. Variables that proved significant comprised mostly location-related attributes like various densities or travel time to city centre but also characteristics of municipalities like the rate of vacant rental units or the tax index and housing unit’s features such as price and size. Interaction terms with sociodemographic attributes of the decision-making households were introduced to improve the explanatory power of the models. More detailed results were obtained by estimating separate models for different household types. Those types were formed regarding sociodemographic and socioeconomic features. For choice set selection, random sampling was applied. This approach might later be extended to include stratified sampling strategies making use of similarities between chosen and non-chosen alternatives. For carrying out the sampling procedures a custom made Java programmewas developed. The models resulting from the estimation process are presented and evaluated in the paper athand.","author":[{"dropping-particle":"","family":"Bürgle","given":"Michaela","non-dropping-particle":"","parse-names":false,"suffix":""}],"container-title":"Swiss Transport Research Conference","id":"ITEM-1","issued":{"date-parts":[["2006"]]},"page":"12-19","title":"Residential location choice model for the Greater Zurich area","type":"article-journal"},"uris":["http://www.mendeley.com/documents/?uuid=285de8cb-cf79-4f44-8a6d-885c4d4bdb9a"]}],"mendeley":{"formattedCitation":"[24]","plainTextFormattedCitation":"[24]","previouslyFormattedCitation":"[24]"},"properties":{"noteIndex":0},"schema":"https://github.com/citation-style-language/schema/raw/master/csl-citation.json"}</w:instrText>
      </w:r>
      <w:r w:rsidRPr="00103DA8">
        <w:rPr>
          <w:bCs/>
        </w:rPr>
        <w:fldChar w:fldCharType="separate"/>
      </w:r>
      <w:r w:rsidR="00F02ABA" w:rsidRPr="00F02ABA">
        <w:rPr>
          <w:bCs/>
          <w:noProof/>
        </w:rPr>
        <w:t>[24]</w:t>
      </w:r>
      <w:r w:rsidRPr="00103DA8">
        <w:rPr>
          <w:bCs/>
        </w:rPr>
        <w:fldChar w:fldCharType="end"/>
      </w:r>
      <w:r w:rsidRPr="00103DA8">
        <w:rPr>
          <w:bCs/>
        </w:rPr>
        <w:t xml:space="preserve">. Another interesting finding is a decrease in preference toward apartments (10%) and an increase in preference toward detached houses (9% ) between data. This finding shows that, if given the possibility, the respondents would move away from apartments. The monthly commuting costs are similar between RP and SP in the car as a commute mode choice. In public transportation as a mode choice, the monthly commuting costs decrease by 13%, indicating an improvement from RP to SP. </w:t>
      </w:r>
    </w:p>
    <w:p w14:paraId="74BD8AC6" w14:textId="77777777" w:rsidR="00103DA8" w:rsidRPr="00103DA8" w:rsidRDefault="00103DA8" w:rsidP="00103DA8">
      <w:pPr>
        <w:pStyle w:val="Kop2"/>
      </w:pPr>
      <w:r>
        <w:t>Sensitivity analysis</w:t>
      </w:r>
    </w:p>
    <w:p w14:paraId="59A8E44F" w14:textId="51A9D6AC" w:rsidR="006C342D" w:rsidRPr="00103DA8" w:rsidRDefault="00103DA8" w:rsidP="00636A31">
      <w:pPr>
        <w:pStyle w:val="Plattetekst"/>
        <w:rPr>
          <w:bCs/>
        </w:rPr>
      </w:pPr>
      <w:r w:rsidRPr="00103DA8">
        <w:rPr>
          <w:bCs/>
        </w:rPr>
        <w:t>The neighborhood with mobility hubs mostly attracts younger respondents. 34% of the younger respondents move to the neighborhood with mobility hubs (Fig</w:t>
      </w:r>
      <w:r w:rsidR="004E7903" w:rsidRPr="004E7903">
        <w:rPr>
          <w:bCs/>
          <w:lang w:val="en-US"/>
        </w:rPr>
        <w:t>.</w:t>
      </w:r>
      <w:r w:rsidRPr="00103DA8">
        <w:rPr>
          <w:bCs/>
        </w:rPr>
        <w:t xml:space="preserve"> 4.1</w:t>
      </w:r>
      <w:r w:rsidR="00675EFD" w:rsidRPr="00675EFD">
        <w:rPr>
          <w:bCs/>
          <w:lang w:val="en-US"/>
        </w:rPr>
        <w:t>a</w:t>
      </w:r>
      <w:r w:rsidRPr="00103DA8">
        <w:rPr>
          <w:bCs/>
        </w:rPr>
        <w:t>). Half of this group chooses the bicycle as their mode. Among middle-aged respondents, 22% decides to move. Respondents with an age of over 50 years old have the biggest tendency to stick with their current situation, with 15% of this group switching to the mobility hub neighborhood. The data show that within the current situation and the car as a mode the most prominent group is older people (56%), within the public transport the largest group is middle-aged people (43%), and within the bicycle, as mode, younger people are the most prevalent (46%). This pattern is less pronounced among the respondents who choose the mobility hub neighborhood.</w:t>
      </w:r>
      <w:r w:rsidR="00636A31">
        <w:rPr>
          <w:bCs/>
        </w:rPr>
        <w:tab/>
      </w:r>
      <w:r w:rsidR="00636A31" w:rsidRPr="00636A31">
        <w:t xml:space="preserve"> </w:t>
      </w:r>
      <w:r w:rsidR="00636A31">
        <w:tab/>
      </w:r>
    </w:p>
    <w:p w14:paraId="35BA7F38" w14:textId="463DDB31" w:rsidR="00636A31" w:rsidRDefault="00103DA8" w:rsidP="00636A31">
      <w:pPr>
        <w:pStyle w:val="Plattetekst"/>
        <w:rPr>
          <w:bCs/>
        </w:rPr>
      </w:pPr>
      <w:r w:rsidRPr="00103DA8">
        <w:rPr>
          <w:bCs/>
        </w:rPr>
        <w:t>The middle income and high-income groups are the most likely to move to the proposed residential area, with respectively 27% and 24% of the groups opting to move (Fig</w:t>
      </w:r>
      <w:r w:rsidR="004E7903" w:rsidRPr="004E7903">
        <w:rPr>
          <w:bCs/>
          <w:lang w:val="en-US"/>
        </w:rPr>
        <w:t>.</w:t>
      </w:r>
      <w:r w:rsidRPr="00103DA8">
        <w:rPr>
          <w:bCs/>
        </w:rPr>
        <w:t xml:space="preserve"> 4.</w:t>
      </w:r>
      <w:r w:rsidR="00675EFD">
        <w:rPr>
          <w:bCs/>
          <w:lang w:val="en-US"/>
        </w:rPr>
        <w:t>1b</w:t>
      </w:r>
      <w:r w:rsidRPr="00103DA8">
        <w:rPr>
          <w:bCs/>
        </w:rPr>
        <w:t>). Among low-income respondents, 15% decide to move. The move can be costly with potentially high housing costs, travel costs and parking costs, which may have deterred the low-income group from moving. The bicycle option mitigates the parking costs and travel costs and is a popular choice among all three income groups.</w:t>
      </w:r>
    </w:p>
    <w:p w14:paraId="6ACC6C0B" w14:textId="005214E2" w:rsidR="006C342D" w:rsidRDefault="00103DA8" w:rsidP="00636A31">
      <w:pPr>
        <w:pStyle w:val="Plattetekst"/>
        <w:rPr>
          <w:bCs/>
        </w:rPr>
      </w:pPr>
      <w:r w:rsidRPr="00103DA8">
        <w:rPr>
          <w:bCs/>
        </w:rPr>
        <w:t>27% of the respondents with higher education and 23% with no higher education move to the mobility hub residential location (Fig</w:t>
      </w:r>
      <w:r w:rsidR="004E7903" w:rsidRPr="004E7903">
        <w:rPr>
          <w:bCs/>
          <w:lang w:val="en-US"/>
        </w:rPr>
        <w:t>.</w:t>
      </w:r>
      <w:r w:rsidRPr="00103DA8">
        <w:rPr>
          <w:bCs/>
        </w:rPr>
        <w:t xml:space="preserve"> 4.</w:t>
      </w:r>
      <w:r w:rsidR="00675EFD" w:rsidRPr="00675EFD">
        <w:rPr>
          <w:bCs/>
          <w:lang w:val="en-US"/>
        </w:rPr>
        <w:t>1</w:t>
      </w:r>
      <w:r w:rsidR="00675EFD">
        <w:rPr>
          <w:bCs/>
          <w:lang w:val="en-US"/>
        </w:rPr>
        <w:t>c</w:t>
      </w:r>
      <w:r w:rsidRPr="00103DA8">
        <w:rPr>
          <w:bCs/>
        </w:rPr>
        <w:t>). An interesting finding is that publi</w:t>
      </w:r>
      <w:r w:rsidR="00636A31" w:rsidRPr="00636A31">
        <w:rPr>
          <w:bCs/>
          <w:lang w:val="en-US"/>
        </w:rPr>
        <w:t>c</w:t>
      </w:r>
      <w:r w:rsidR="00E20D4C">
        <w:rPr>
          <w:bCs/>
        </w:rPr>
        <w:br/>
      </w:r>
      <w:r w:rsidRPr="00103DA8">
        <w:rPr>
          <w:bCs/>
        </w:rPr>
        <w:t>transit is observably more prevalent among respondents with higher education (22%) than among those with no higher education (10%). The inverse happens for the car as mode, where car users account for 54% within the no higher education group and 43% in the higher education group.</w:t>
      </w:r>
    </w:p>
    <w:p w14:paraId="76223207" w14:textId="310B095E" w:rsidR="006C342D" w:rsidRDefault="006C342D" w:rsidP="00636A31">
      <w:pPr>
        <w:pStyle w:val="Plattetekst"/>
        <w:rPr>
          <w:bCs/>
        </w:rPr>
      </w:pPr>
      <w:r w:rsidRPr="00103DA8">
        <w:rPr>
          <w:bCs/>
        </w:rPr>
        <w:t>The revealed housing costs are frequently lower than the housing costs in the proposed neighborhood (</w:t>
      </w:r>
      <w:r w:rsidR="004E7903" w:rsidRPr="004E7903">
        <w:rPr>
          <w:bCs/>
          <w:lang w:val="en-US"/>
        </w:rPr>
        <w:t>Fi</w:t>
      </w:r>
      <w:r w:rsidR="004E7903">
        <w:rPr>
          <w:bCs/>
          <w:lang w:val="en-US"/>
        </w:rPr>
        <w:t>g.</w:t>
      </w:r>
      <w:r w:rsidRPr="00103DA8">
        <w:rPr>
          <w:bCs/>
        </w:rPr>
        <w:t xml:space="preserve"> 4.</w:t>
      </w:r>
      <w:r w:rsidR="00675EFD">
        <w:rPr>
          <w:bCs/>
          <w:lang w:val="en-US"/>
        </w:rPr>
        <w:t>1d</w:t>
      </w:r>
      <w:r w:rsidRPr="00103DA8">
        <w:rPr>
          <w:bCs/>
        </w:rPr>
        <w:t>). The house prices in the mobility hub neighborhoods are derived from the current housing market. Due to the demand-driven housing market, house prices have risen in the last years. This seems to have deterred many respondents from moving</w:t>
      </w:r>
    </w:p>
    <w:p w14:paraId="213C73A3" w14:textId="4C079884" w:rsidR="00877347" w:rsidRPr="00103DA8" w:rsidRDefault="00103DA8" w:rsidP="00877347">
      <w:pPr>
        <w:pStyle w:val="Plattetekst"/>
        <w:ind w:firstLine="0pt"/>
        <w:rPr>
          <w:bCs/>
        </w:rPr>
      </w:pPr>
      <w:r w:rsidRPr="00103DA8">
        <w:rPr>
          <w:bCs/>
        </w:rPr>
        <w:t>When looking at the effect of travel time on the choice to move it again becomes apparent that in general, the location of the residential location with mobility hubs provides worse accessibility to the work locations of the respondents (</w:t>
      </w:r>
      <w:r w:rsidR="004E7903" w:rsidRPr="004E7903">
        <w:rPr>
          <w:bCs/>
          <w:lang w:val="en-US"/>
        </w:rPr>
        <w:t>F</w:t>
      </w:r>
      <w:r w:rsidR="004E7903">
        <w:rPr>
          <w:bCs/>
          <w:lang w:val="en-US"/>
        </w:rPr>
        <w:t>ig.</w:t>
      </w:r>
      <w:r w:rsidRPr="00103DA8">
        <w:rPr>
          <w:bCs/>
        </w:rPr>
        <w:t xml:space="preserve"> 4.</w:t>
      </w:r>
      <w:r w:rsidR="00675EFD">
        <w:rPr>
          <w:bCs/>
          <w:lang w:val="en-US"/>
        </w:rPr>
        <w:t>1e</w:t>
      </w:r>
      <w:r w:rsidRPr="00103DA8">
        <w:rPr>
          <w:bCs/>
        </w:rPr>
        <w:t xml:space="preserve">). This is </w:t>
      </w:r>
      <w:r w:rsidR="00675EFD" w:rsidRPr="00675EFD">
        <w:rPr>
          <w:bCs/>
          <w:lang w:val="en-US"/>
        </w:rPr>
        <w:t>more</w:t>
      </w:r>
      <w:r w:rsidRPr="00103DA8">
        <w:rPr>
          <w:bCs/>
        </w:rPr>
        <w:t xml:space="preserve"> pronounced in the groups with the car</w:t>
      </w:r>
      <w:r w:rsidR="00877347" w:rsidRPr="00877347">
        <w:rPr>
          <w:bCs/>
        </w:rPr>
        <w:t xml:space="preserve"> </w:t>
      </w:r>
      <w:r w:rsidR="00877347" w:rsidRPr="00103DA8">
        <w:rPr>
          <w:bCs/>
        </w:rPr>
        <w:t>and bicycle as a mode choice. Within the current situation/car group, 32% has a commuting time of 15 minutes or shorter, while this percentage is 19% within the mobility hub/car group. Among the bicycle groups, a similar pattern appears, with 57% of the current/bicycle group having a travel time of 15 minutes or less opposed to 29% in the mobility hub/bicycle group.</w:t>
      </w:r>
      <w:r w:rsidR="00877347" w:rsidRPr="00E20D4C">
        <w:t xml:space="preserve"> </w:t>
      </w:r>
    </w:p>
    <w:p w14:paraId="027ED968" w14:textId="77777777" w:rsidR="004E7903" w:rsidRDefault="00877347" w:rsidP="00877347">
      <w:pPr>
        <w:pStyle w:val="Plattetekst"/>
        <w:rPr>
          <w:bCs/>
        </w:rPr>
      </w:pPr>
      <w:r w:rsidRPr="00103DA8">
        <w:rPr>
          <w:bCs/>
        </w:rPr>
        <w:t>The distances to the city center in the current situation show an interesting distribution. Within the group with the car as mode, 29% of the respondents live within 5 kilometers of the city center (</w:t>
      </w:r>
      <w:r w:rsidRPr="00F867D5">
        <w:rPr>
          <w:bCs/>
          <w:lang w:val="en-US"/>
        </w:rPr>
        <w:t>Fi</w:t>
      </w:r>
      <w:r>
        <w:rPr>
          <w:bCs/>
          <w:lang w:val="en-US"/>
        </w:rPr>
        <w:t>g.</w:t>
      </w:r>
      <w:r w:rsidRPr="00103DA8">
        <w:rPr>
          <w:bCs/>
        </w:rPr>
        <w:t xml:space="preserve"> 4.</w:t>
      </w:r>
      <w:r w:rsidRPr="00675EFD">
        <w:rPr>
          <w:bCs/>
          <w:lang w:val="en-US"/>
        </w:rPr>
        <w:t>1f</w:t>
      </w:r>
      <w:r w:rsidRPr="00103DA8">
        <w:rPr>
          <w:bCs/>
        </w:rPr>
        <w:t xml:space="preserve">). This percentage is 34% for public transit, 43% for the bicycle and 57% for walking. </w:t>
      </w:r>
    </w:p>
    <w:p w14:paraId="2848D816" w14:textId="25B20C06" w:rsidR="0030560B" w:rsidRDefault="00877347" w:rsidP="00877347">
      <w:pPr>
        <w:pStyle w:val="Plattetekst"/>
        <w:rPr>
          <w:bCs/>
        </w:rPr>
      </w:pPr>
      <w:r w:rsidRPr="00103DA8">
        <w:rPr>
          <w:bCs/>
        </w:rPr>
        <w:t>When respondents choose to move, they most frequently move to a detached house or terraced house. In 42% of the moves, the house type is a detached house and in 37.5%, the house type is a terraced house. The apartment is not favored among the respondents as a house type, which occurs in 20.5% of the moves (</w:t>
      </w:r>
      <w:r w:rsidRPr="00F867D5">
        <w:rPr>
          <w:bCs/>
          <w:lang w:val="en-US"/>
        </w:rPr>
        <w:t>Fi</w:t>
      </w:r>
      <w:r>
        <w:rPr>
          <w:bCs/>
          <w:lang w:val="en-US"/>
        </w:rPr>
        <w:t xml:space="preserve">g. </w:t>
      </w:r>
      <w:r w:rsidRPr="00103DA8">
        <w:rPr>
          <w:bCs/>
        </w:rPr>
        <w:t>4.</w:t>
      </w:r>
      <w:r>
        <w:rPr>
          <w:bCs/>
          <w:lang w:val="en-US"/>
        </w:rPr>
        <w:t>1g</w:t>
      </w:r>
      <w:r w:rsidRPr="00103DA8">
        <w:rPr>
          <w:bCs/>
        </w:rPr>
        <w:t>).</w:t>
      </w:r>
    </w:p>
    <w:p w14:paraId="3A84179A" w14:textId="4DD62CA4" w:rsidR="0030560B" w:rsidRDefault="0030560B">
      <w:pPr>
        <w:jc w:val="start"/>
        <w:rPr>
          <w:bCs/>
          <w:spacing w:val="-1"/>
          <w:lang w:val="x-none" w:eastAsia="x-none"/>
        </w:rPr>
      </w:pPr>
      <w:r>
        <w:rPr>
          <w:noProof/>
          <w:lang w:val="en-GB" w:eastAsia="en-GB"/>
        </w:rPr>
        <w:lastRenderedPageBreak/>
        <w:drawing>
          <wp:anchor distT="45720" distB="45720" distL="114300" distR="114300" simplePos="0" relativeHeight="251735552" behindDoc="0" locked="0" layoutInCell="1" allowOverlap="1" wp14:anchorId="2C7B67FF" wp14:editId="1D20FE64">
            <wp:simplePos x="0" y="0"/>
            <wp:positionH relativeFrom="margin">
              <wp:posOffset>-80645</wp:posOffset>
            </wp:positionH>
            <wp:positionV relativeFrom="paragraph">
              <wp:posOffset>0</wp:posOffset>
            </wp:positionV>
            <wp:extent cx="6581775" cy="9239250"/>
            <wp:effectExtent l="0" t="0" r="9525" b="0"/>
            <wp:wrapSquare wrapText="bothSides"/>
            <wp:docPr id="221" name="Tekstvak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581775" cy="9239250"/>
                    </a:xfrm>
                    <a:prstGeom prst="rect">
                      <a:avLst/>
                    </a:prstGeom>
                    <a:solidFill>
                      <a:srgbClr val="FFFFFF"/>
                    </a:solidFill>
                    <a:ln w="9525">
                      <a:noFill/>
                      <a:miter lim="800%"/>
                      <a:headEnd/>
                      <a:tailEnd/>
                    </a:ln>
                  </wp:spPr>
                  <wp:txbx>
                    <wne:txbxContent>
                      <w:p w14:paraId="788A3C1E" w14:textId="77777777" w:rsidR="00A92FC2" w:rsidRDefault="00A92FC2" w:rsidP="0030560B"/>
                      <w:tbl>
                        <w:tblPr>
                          <w:tblW w:w="99.0%" w:type="pct"/>
                          <w:tblBorders>
                            <w:top w:val="double" w:sz="4" w:space="0" w:color="auto"/>
                            <w:start w:val="double" w:sz="4" w:space="0" w:color="auto"/>
                            <w:bottom w:val="double" w:sz="4" w:space="0" w:color="auto"/>
                            <w:end w:val="double" w:sz="4" w:space="0" w:color="auto"/>
                            <w:insideH w:val="double" w:sz="4" w:space="0" w:color="auto"/>
                            <w:insideV w:val="double" w:sz="4" w:space="0" w:color="auto"/>
                          </w:tblBorders>
                          <w:tblLook w:firstRow="1" w:lastRow="0" w:firstColumn="1" w:lastColumn="0" w:noHBand="0" w:noVBand="1"/>
                        </w:tblPr>
                        <w:tblGrid>
                          <w:gridCol w:w="1890"/>
                          <w:gridCol w:w="1194"/>
                          <w:gridCol w:w="2785"/>
                          <w:gridCol w:w="796"/>
                          <w:gridCol w:w="796"/>
                          <w:gridCol w:w="796"/>
                          <w:gridCol w:w="597"/>
                          <w:gridCol w:w="1094"/>
                        </w:tblGrid>
                        <w:tr w:rsidR="00884E71" w:rsidRPr="0059318B" w14:paraId="548610FE" w14:textId="77777777" w:rsidTr="00B740C1">
                          <w:trPr>
                            <w:trHeight w:val="308"/>
                          </w:trPr>
                          <w:tc>
                            <w:tcPr>
                              <w:tcW w:w="100.0%" w:type="pct"/>
                              <w:gridSpan w:val="8"/>
                              <w:shd w:val="clear" w:color="auto" w:fill="auto"/>
                              <w:noWrap/>
                              <w:vAlign w:val="bottom"/>
                            </w:tcPr>
                            <w:p w14:paraId="70E9CDB8" w14:textId="3509E599" w:rsidR="00A92FC2" w:rsidRPr="008A604D" w:rsidRDefault="00A92FC2" w:rsidP="0030560B">
                              <w:pPr>
                                <w:rPr>
                                  <w:rFonts w:eastAsia="Times New Roman"/>
                                  <w:b/>
                                  <w:color w:val="000000"/>
                                  <w:lang w:eastAsia="zh-CN"/>
                                </w:rPr>
                              </w:pPr>
                              <w:r w:rsidRPr="008A604D">
                                <w:rPr>
                                  <w:rFonts w:eastAsia="Times New Roman"/>
                                  <w:b/>
                                  <w:color w:val="000000"/>
                                  <w:lang w:eastAsia="zh-CN"/>
                                </w:rPr>
                                <w:t>TABLE 4.1: DESCRIPTIVE ANALYSIS OF THE DATA</w:t>
                              </w:r>
                            </w:p>
                          </w:tc>
                        </w:tr>
                        <w:tr w:rsidR="000675DE" w:rsidRPr="0059318B" w14:paraId="7EED64D8" w14:textId="77777777" w:rsidTr="00B740C1">
                          <w:trPr>
                            <w:trHeight w:val="308"/>
                          </w:trPr>
                          <w:tc>
                            <w:tcPr>
                              <w:tcW w:w="59.0%" w:type="pct"/>
                              <w:gridSpan w:val="3"/>
                              <w:tcBorders>
                                <w:bottom w:val="double" w:sz="4" w:space="0" w:color="auto"/>
                              </w:tcBorders>
                              <w:shd w:val="clear" w:color="auto" w:fill="auto"/>
                              <w:noWrap/>
                              <w:vAlign w:val="bottom"/>
                              <w:hideMark/>
                            </w:tcPr>
                            <w:p w14:paraId="6A314E8C" w14:textId="77777777" w:rsidR="00A92FC2" w:rsidRPr="008A604D" w:rsidRDefault="00A92FC2" w:rsidP="0030560B">
                              <w:pPr>
                                <w:rPr>
                                  <w:rFonts w:eastAsia="Times New Roman"/>
                                  <w:b/>
                                  <w:color w:val="000000"/>
                                  <w:lang w:eastAsia="zh-CN"/>
                                </w:rPr>
                              </w:pPr>
                              <w:r w:rsidRPr="008A604D">
                                <w:rPr>
                                  <w:rFonts w:eastAsia="Times New Roman"/>
                                  <w:b/>
                                  <w:color w:val="000000"/>
                                  <w:lang w:eastAsia="zh-CN"/>
                                </w:rPr>
                                <w:t>Variable</w:t>
                              </w:r>
                            </w:p>
                          </w:tc>
                          <w:tc>
                            <w:tcPr>
                              <w:tcW w:w="8.0%" w:type="pct"/>
                              <w:tcBorders>
                                <w:bottom w:val="double" w:sz="4" w:space="0" w:color="auto"/>
                              </w:tcBorders>
                              <w:shd w:val="clear" w:color="auto" w:fill="auto"/>
                              <w:noWrap/>
                              <w:vAlign w:val="bottom"/>
                              <w:hideMark/>
                            </w:tcPr>
                            <w:p w14:paraId="009F303F" w14:textId="77777777" w:rsidR="00A92FC2" w:rsidRPr="008A604D" w:rsidRDefault="00A92FC2" w:rsidP="0030560B">
                              <w:pPr>
                                <w:rPr>
                                  <w:rFonts w:eastAsia="Times New Roman"/>
                                  <w:b/>
                                  <w:color w:val="000000"/>
                                  <w:lang w:eastAsia="zh-CN"/>
                                </w:rPr>
                              </w:pPr>
                              <w:r w:rsidRPr="008A604D">
                                <w:rPr>
                                  <w:rFonts w:eastAsia="Times New Roman"/>
                                  <w:b/>
                                  <w:color w:val="000000"/>
                                  <w:lang w:eastAsia="zh-CN"/>
                                </w:rPr>
                                <w:t>Freq.</w:t>
                              </w:r>
                            </w:p>
                          </w:tc>
                          <w:tc>
                            <w:tcPr>
                              <w:tcW w:w="8.0%" w:type="pct"/>
                              <w:tcBorders>
                                <w:bottom w:val="double" w:sz="4" w:space="0" w:color="auto"/>
                              </w:tcBorders>
                              <w:shd w:val="clear" w:color="auto" w:fill="auto"/>
                              <w:noWrap/>
                              <w:vAlign w:val="bottom"/>
                              <w:hideMark/>
                            </w:tcPr>
                            <w:p w14:paraId="760A9D20" w14:textId="77777777" w:rsidR="00A92FC2" w:rsidRPr="008A604D" w:rsidRDefault="00A92FC2" w:rsidP="0030560B">
                              <w:pPr>
                                <w:rPr>
                                  <w:rFonts w:eastAsia="Times New Roman"/>
                                  <w:b/>
                                  <w:color w:val="000000"/>
                                  <w:lang w:eastAsia="zh-CN"/>
                                </w:rPr>
                              </w:pPr>
                              <w:r w:rsidRPr="008A604D">
                                <w:rPr>
                                  <w:rFonts w:eastAsia="Times New Roman"/>
                                  <w:b/>
                                  <w:color w:val="000000"/>
                                  <w:lang w:eastAsia="zh-CN"/>
                                </w:rPr>
                                <w:t>µ</w:t>
                              </w:r>
                            </w:p>
                          </w:tc>
                          <w:tc>
                            <w:tcPr>
                              <w:tcW w:w="8.0%" w:type="pct"/>
                              <w:tcBorders>
                                <w:bottom w:val="double" w:sz="4" w:space="0" w:color="auto"/>
                              </w:tcBorders>
                              <w:shd w:val="clear" w:color="auto" w:fill="auto"/>
                              <w:noWrap/>
                              <w:vAlign w:val="bottom"/>
                              <w:hideMark/>
                            </w:tcPr>
                            <w:p w14:paraId="103AD655" w14:textId="77777777" w:rsidR="00A92FC2" w:rsidRPr="008A604D" w:rsidRDefault="00A92FC2" w:rsidP="0030560B">
                              <w:pPr>
                                <w:rPr>
                                  <w:rFonts w:eastAsia="Times New Roman"/>
                                  <w:b/>
                                  <w:color w:val="000000"/>
                                  <w:lang w:eastAsia="zh-CN"/>
                                </w:rPr>
                              </w:pPr>
                              <w:r w:rsidRPr="008A604D">
                                <w:rPr>
                                  <w:rFonts w:eastAsia="Times New Roman"/>
                                  <w:b/>
                                  <w:color w:val="000000"/>
                                  <w:lang w:eastAsia="zh-CN"/>
                                </w:rPr>
                                <w:t>σ</w:t>
                              </w:r>
                            </w:p>
                          </w:tc>
                          <w:tc>
                            <w:tcPr>
                              <w:tcW w:w="6.0%" w:type="pct"/>
                              <w:tcBorders>
                                <w:bottom w:val="double" w:sz="4" w:space="0" w:color="auto"/>
                              </w:tcBorders>
                              <w:shd w:val="clear" w:color="auto" w:fill="auto"/>
                              <w:noWrap/>
                              <w:vAlign w:val="bottom"/>
                              <w:hideMark/>
                            </w:tcPr>
                            <w:p w14:paraId="3C3D23B7" w14:textId="77777777" w:rsidR="00A92FC2" w:rsidRPr="008A604D" w:rsidRDefault="00A92FC2" w:rsidP="0030560B">
                              <w:pPr>
                                <w:rPr>
                                  <w:rFonts w:eastAsia="Times New Roman"/>
                                  <w:b/>
                                  <w:color w:val="000000"/>
                                  <w:lang w:eastAsia="zh-CN"/>
                                </w:rPr>
                              </w:pPr>
                              <w:r w:rsidRPr="008A604D">
                                <w:rPr>
                                  <w:rFonts w:eastAsia="Times New Roman"/>
                                  <w:b/>
                                  <w:color w:val="000000"/>
                                  <w:lang w:eastAsia="zh-CN"/>
                                </w:rPr>
                                <w:t>Min</w:t>
                              </w:r>
                            </w:p>
                          </w:tc>
                          <w:tc>
                            <w:tcPr>
                              <w:tcW w:w="10.0%" w:type="pct"/>
                              <w:tcBorders>
                                <w:bottom w:val="double" w:sz="4" w:space="0" w:color="auto"/>
                              </w:tcBorders>
                              <w:shd w:val="clear" w:color="auto" w:fill="auto"/>
                              <w:noWrap/>
                              <w:vAlign w:val="bottom"/>
                              <w:hideMark/>
                            </w:tcPr>
                            <w:p w14:paraId="108FFD19" w14:textId="77777777" w:rsidR="00A92FC2" w:rsidRPr="008A604D" w:rsidRDefault="00A92FC2" w:rsidP="0030560B">
                              <w:pPr>
                                <w:rPr>
                                  <w:rFonts w:eastAsia="Times New Roman"/>
                                  <w:b/>
                                  <w:color w:val="000000"/>
                                  <w:lang w:eastAsia="zh-CN"/>
                                </w:rPr>
                              </w:pPr>
                              <w:r w:rsidRPr="008A604D">
                                <w:rPr>
                                  <w:rFonts w:eastAsia="Times New Roman"/>
                                  <w:b/>
                                  <w:color w:val="000000"/>
                                  <w:lang w:eastAsia="zh-CN"/>
                                </w:rPr>
                                <w:t>Max</w:t>
                              </w:r>
                            </w:p>
                          </w:tc>
                        </w:tr>
                        <w:tr w:rsidR="000675DE" w:rsidRPr="0059318B" w14:paraId="7ABD66A7" w14:textId="77777777" w:rsidTr="00B740C1">
                          <w:trPr>
                            <w:trHeight w:val="308"/>
                          </w:trPr>
                          <w:tc>
                            <w:tcPr>
                              <w:tcW w:w="31.0%" w:type="pct"/>
                              <w:gridSpan w:val="2"/>
                              <w:vMerge w:val="restart"/>
                              <w:tcBorders>
                                <w:bottom w:val="single" w:sz="4" w:space="0" w:color="BFBFBF" w:themeColor="background1" w:themeShade="BF"/>
                                <w:end w:val="single" w:sz="4" w:space="0" w:color="BFBFBF" w:themeColor="background1" w:themeShade="BF"/>
                              </w:tcBorders>
                              <w:shd w:val="clear" w:color="auto" w:fill="auto"/>
                              <w:noWrap/>
                              <w:vAlign w:val="center"/>
                              <w:hideMark/>
                            </w:tcPr>
                            <w:p w14:paraId="3F964DBE" w14:textId="4561D416" w:rsidR="00A92FC2" w:rsidRPr="008A604D" w:rsidRDefault="00A92FC2" w:rsidP="008A604D">
                              <w:pPr>
                                <w:rPr>
                                  <w:rFonts w:eastAsia="Times New Roman"/>
                                  <w:i/>
                                  <w:color w:val="000000"/>
                                  <w:lang w:eastAsia="zh-CN"/>
                                </w:rPr>
                              </w:pPr>
                              <w:r w:rsidRPr="008A604D">
                                <w:rPr>
                                  <w:rFonts w:eastAsia="Times New Roman"/>
                                  <w:i/>
                                  <w:color w:val="000000"/>
                                  <w:lang w:eastAsia="zh-CN"/>
                                </w:rPr>
                                <w:t>Age</w:t>
                              </w:r>
                            </w:p>
                          </w:tc>
                          <w:tc>
                            <w:tcPr>
                              <w:tcW w:w="28.0%" w:type="pct"/>
                              <w:tcBorders>
                                <w:start w:val="single" w:sz="4" w:space="0" w:color="BFBFBF" w:themeColor="background1" w:themeShade="BF"/>
                                <w:bottom w:val="single" w:sz="4" w:space="0" w:color="D9D9D9" w:themeColor="background1" w:themeShade="D9"/>
                                <w:end w:val="double" w:sz="4" w:space="0" w:color="auto"/>
                              </w:tcBorders>
                              <w:vAlign w:val="center"/>
                            </w:tcPr>
                            <w:p w14:paraId="0431565B" w14:textId="24BBD8C0" w:rsidR="00A92FC2" w:rsidRPr="008A604D" w:rsidRDefault="00884E71" w:rsidP="008A604D">
                              <w:pPr>
                                <w:rPr>
                                  <w:rFonts w:eastAsia="Times New Roman"/>
                                  <w:i/>
                                  <w:color w:val="000000"/>
                                  <w:lang w:eastAsia="zh-CN"/>
                                </w:rPr>
                              </w:pPr>
                              <w:r>
                                <w:rPr>
                                  <w:rFonts w:eastAsia="Times New Roman"/>
                                  <w:i/>
                                  <w:color w:val="000000"/>
                                  <w:lang w:eastAsia="zh-CN"/>
                                </w:rPr>
                                <w:t>All</w:t>
                              </w:r>
                            </w:p>
                          </w:tc>
                          <w:tc>
                            <w:tcPr>
                              <w:tcW w:w="8.0%" w:type="pct"/>
                              <w:tcBorders>
                                <w:top w:val="nil"/>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73CA9CD9"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100%</w:t>
                              </w:r>
                            </w:p>
                          </w:tc>
                          <w:tc>
                            <w:tcPr>
                              <w:tcW w:w="8.0%" w:type="pct"/>
                              <w:tcBorders>
                                <w:top w:val="nil"/>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3EF02F16" w14:textId="77777777" w:rsidR="00A92FC2" w:rsidRPr="008A604D" w:rsidRDefault="00A92FC2" w:rsidP="0030560B">
                              <w:pPr>
                                <w:rPr>
                                  <w:rFonts w:eastAsia="Times New Roman"/>
                                  <w:color w:val="000000"/>
                                  <w:lang w:eastAsia="zh-CN"/>
                                </w:rPr>
                              </w:pPr>
                              <w:r w:rsidRPr="008A604D">
                                <w:rPr>
                                  <w:color w:val="000000"/>
                                </w:rPr>
                                <w:t>43.5</w:t>
                              </w:r>
                            </w:p>
                          </w:tc>
                          <w:tc>
                            <w:tcPr>
                              <w:tcW w:w="8.0%" w:type="pct"/>
                              <w:tcBorders>
                                <w:top w:val="nil"/>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1F4B3B62" w14:textId="77777777" w:rsidR="00A92FC2" w:rsidRPr="008A604D" w:rsidRDefault="00A92FC2" w:rsidP="0030560B">
                              <w:pPr>
                                <w:rPr>
                                  <w:rFonts w:eastAsia="Times New Roman"/>
                                  <w:color w:val="000000"/>
                                  <w:lang w:eastAsia="zh-CN"/>
                                </w:rPr>
                              </w:pPr>
                              <w:r w:rsidRPr="008A604D">
                                <w:rPr>
                                  <w:color w:val="000000"/>
                                </w:rPr>
                                <w:t>13</w:t>
                              </w:r>
                            </w:p>
                          </w:tc>
                          <w:tc>
                            <w:tcPr>
                              <w:tcW w:w="6.0%" w:type="pct"/>
                              <w:tcBorders>
                                <w:top w:val="nil"/>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2431D0A8" w14:textId="77777777" w:rsidR="00A92FC2" w:rsidRPr="008A604D" w:rsidRDefault="00A92FC2" w:rsidP="0030560B">
                              <w:pPr>
                                <w:rPr>
                                  <w:rFonts w:eastAsia="Times New Roman"/>
                                  <w:color w:val="000000"/>
                                  <w:lang w:eastAsia="zh-CN"/>
                                </w:rPr>
                              </w:pPr>
                              <w:r w:rsidRPr="008A604D">
                                <w:rPr>
                                  <w:color w:val="000000"/>
                                </w:rPr>
                                <w:t>18</w:t>
                              </w:r>
                            </w:p>
                          </w:tc>
                          <w:tc>
                            <w:tcPr>
                              <w:tcW w:w="10.0%" w:type="pct"/>
                              <w:tcBorders>
                                <w:top w:val="nil"/>
                                <w:start w:val="single" w:sz="4" w:space="0" w:color="D9D9D9" w:themeColor="background1" w:themeShade="D9"/>
                                <w:bottom w:val="single" w:sz="4" w:space="0" w:color="D9D9D9" w:themeColor="background1" w:themeShade="D9"/>
                                <w:end w:val="double" w:sz="4" w:space="0" w:color="000000" w:themeColor="text1"/>
                              </w:tcBorders>
                              <w:shd w:val="clear" w:color="auto" w:fill="auto"/>
                              <w:noWrap/>
                              <w:vAlign w:val="bottom"/>
                              <w:hideMark/>
                            </w:tcPr>
                            <w:p w14:paraId="261E7D66" w14:textId="77777777" w:rsidR="00A92FC2" w:rsidRPr="008A604D" w:rsidRDefault="00A92FC2" w:rsidP="0030560B">
                              <w:pPr>
                                <w:rPr>
                                  <w:rFonts w:eastAsia="Times New Roman"/>
                                  <w:color w:val="000000"/>
                                  <w:lang w:eastAsia="zh-CN"/>
                                </w:rPr>
                              </w:pPr>
                              <w:r w:rsidRPr="008A604D">
                                <w:rPr>
                                  <w:color w:val="000000"/>
                                </w:rPr>
                                <w:t>71</w:t>
                              </w:r>
                            </w:p>
                          </w:tc>
                        </w:tr>
                        <w:tr w:rsidR="000675DE" w:rsidRPr="0059318B" w14:paraId="474B2781" w14:textId="77777777" w:rsidTr="000675DE">
                          <w:trPr>
                            <w:trHeight w:val="308"/>
                          </w:trPr>
                          <w:tc>
                            <w:tcPr>
                              <w:tcW w:w="31.0%" w:type="pct"/>
                              <w:gridSpan w:val="2"/>
                              <w:vMerge/>
                              <w:tcBorders>
                                <w:top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noWrap/>
                              <w:vAlign w:val="center"/>
                            </w:tcPr>
                            <w:p w14:paraId="6716E117" w14:textId="77777777" w:rsidR="00A92FC2" w:rsidRPr="008A604D" w:rsidRDefault="00A92FC2" w:rsidP="008A604D">
                              <w:pPr>
                                <w:rPr>
                                  <w:rFonts w:eastAsia="Times New Roman"/>
                                  <w:i/>
                                  <w:color w:val="000000"/>
                                  <w:lang w:eastAsia="zh-CN"/>
                                </w:rPr>
                              </w:pPr>
                            </w:p>
                          </w:tc>
                          <w:tc>
                            <w:tcPr>
                              <w:tcW w:w="28.0%" w:type="pct"/>
                              <w:tcBorders>
                                <w:top w:val="single" w:sz="4" w:space="0" w:color="BFBFBF" w:themeColor="background1" w:themeShade="BF"/>
                                <w:start w:val="single" w:sz="4" w:space="0" w:color="BFBFBF" w:themeColor="background1" w:themeShade="BF"/>
                                <w:bottom w:val="single" w:sz="4" w:space="0" w:color="D9D9D9" w:themeColor="background1" w:themeShade="D9"/>
                                <w:end w:val="double" w:sz="4" w:space="0" w:color="auto"/>
                              </w:tcBorders>
                              <w:vAlign w:val="center"/>
                            </w:tcPr>
                            <w:p w14:paraId="73C60A2A" w14:textId="77777777" w:rsidR="00A92FC2" w:rsidRPr="008A604D" w:rsidRDefault="00A92FC2" w:rsidP="008A604D">
                              <w:pPr>
                                <w:rPr>
                                  <w:rFonts w:eastAsia="Times New Roman"/>
                                  <w:i/>
                                  <w:color w:val="000000"/>
                                  <w:lang w:eastAsia="zh-CN"/>
                                </w:rPr>
                              </w:pPr>
                              <w:r w:rsidRPr="008A604D">
                                <w:rPr>
                                  <w:rFonts w:eastAsia="Times New Roman"/>
                                  <w:i/>
                                  <w:color w:val="000000"/>
                                  <w:lang w:eastAsia="zh-CN"/>
                                </w:rPr>
                                <w:t>&lt; 35 years old</w:t>
                              </w:r>
                            </w:p>
                          </w:tc>
                          <w:tc>
                            <w:tcPr>
                              <w:tcW w:w="8.0%" w:type="pct"/>
                              <w:tcBorders>
                                <w:top w:val="single" w:sz="4" w:space="0" w:color="F2F2F2" w:themeColor="background1" w:themeShade="F2"/>
                                <w:start w:val="double" w:sz="4" w:space="0" w:color="auto"/>
                                <w:bottom w:val="single" w:sz="4" w:space="0" w:color="D9D9D9" w:themeColor="background1" w:themeShade="D9"/>
                                <w:end w:val="single" w:sz="4" w:space="0" w:color="D9D9D9" w:themeColor="background1" w:themeShade="D9"/>
                              </w:tcBorders>
                              <w:shd w:val="clear" w:color="auto" w:fill="auto"/>
                              <w:noWrap/>
                              <w:vAlign w:val="bottom"/>
                            </w:tcPr>
                            <w:p w14:paraId="0F80F328"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31%</w:t>
                              </w:r>
                            </w:p>
                          </w:tc>
                          <w:tc>
                            <w:tcPr>
                              <w:tcW w:w="8.0%" w:type="pct"/>
                              <w:tcBorders>
                                <w:top w:val="single" w:sz="4" w:space="0" w:color="F2F2F2" w:themeColor="background1" w:themeShade="F2"/>
                                <w:start w:val="single" w:sz="4" w:space="0" w:color="D9D9D9" w:themeColor="background1" w:themeShade="D9"/>
                                <w:bottom w:val="nil"/>
                                <w:end w:val="nil"/>
                              </w:tcBorders>
                              <w:shd w:val="clear" w:color="auto" w:fill="auto"/>
                              <w:noWrap/>
                              <w:vAlign w:val="bottom"/>
                            </w:tcPr>
                            <w:p w14:paraId="60FD0FC9" w14:textId="77777777" w:rsidR="00A92FC2" w:rsidRPr="008A604D" w:rsidRDefault="00A92FC2" w:rsidP="0030560B">
                              <w:pPr>
                                <w:rPr>
                                  <w:color w:val="000000"/>
                                </w:rPr>
                              </w:pPr>
                            </w:p>
                          </w:tc>
                          <w:tc>
                            <w:tcPr>
                              <w:tcW w:w="8.0%" w:type="pct"/>
                              <w:tcBorders>
                                <w:top w:val="single" w:sz="4" w:space="0" w:color="F2F2F2" w:themeColor="background1" w:themeShade="F2"/>
                                <w:start w:val="nil"/>
                                <w:bottom w:val="nil"/>
                                <w:end w:val="nil"/>
                              </w:tcBorders>
                              <w:shd w:val="clear" w:color="auto" w:fill="auto"/>
                              <w:noWrap/>
                              <w:vAlign w:val="bottom"/>
                            </w:tcPr>
                            <w:p w14:paraId="67536C15" w14:textId="77777777" w:rsidR="00A92FC2" w:rsidRPr="008A604D" w:rsidRDefault="00A92FC2" w:rsidP="0030560B">
                              <w:pPr>
                                <w:rPr>
                                  <w:color w:val="000000"/>
                                </w:rPr>
                              </w:pPr>
                            </w:p>
                          </w:tc>
                          <w:tc>
                            <w:tcPr>
                              <w:tcW w:w="6.0%" w:type="pct"/>
                              <w:tcBorders>
                                <w:top w:val="single" w:sz="4" w:space="0" w:color="F2F2F2" w:themeColor="background1" w:themeShade="F2"/>
                                <w:start w:val="nil"/>
                                <w:bottom w:val="nil"/>
                                <w:end w:val="nil"/>
                              </w:tcBorders>
                              <w:shd w:val="clear" w:color="auto" w:fill="auto"/>
                              <w:noWrap/>
                              <w:vAlign w:val="bottom"/>
                            </w:tcPr>
                            <w:p w14:paraId="06664836" w14:textId="77777777" w:rsidR="00A92FC2" w:rsidRPr="008A604D" w:rsidRDefault="00A92FC2" w:rsidP="0030560B">
                              <w:pPr>
                                <w:rPr>
                                  <w:color w:val="000000"/>
                                </w:rPr>
                              </w:pPr>
                            </w:p>
                          </w:tc>
                          <w:tc>
                            <w:tcPr>
                              <w:tcW w:w="10.0%" w:type="pct"/>
                              <w:tcBorders>
                                <w:top w:val="single" w:sz="4" w:space="0" w:color="F2F2F2" w:themeColor="background1" w:themeShade="F2"/>
                                <w:start w:val="nil"/>
                                <w:bottom w:val="nil"/>
                                <w:end w:val="double" w:sz="4" w:space="0" w:color="000000" w:themeColor="text1"/>
                              </w:tcBorders>
                              <w:shd w:val="clear" w:color="auto" w:fill="auto"/>
                              <w:noWrap/>
                              <w:vAlign w:val="bottom"/>
                            </w:tcPr>
                            <w:p w14:paraId="1CECE648" w14:textId="77777777" w:rsidR="00A92FC2" w:rsidRPr="008A604D" w:rsidRDefault="00A92FC2" w:rsidP="0030560B">
                              <w:pPr>
                                <w:rPr>
                                  <w:color w:val="000000"/>
                                </w:rPr>
                              </w:pPr>
                            </w:p>
                          </w:tc>
                        </w:tr>
                        <w:tr w:rsidR="000675DE" w:rsidRPr="0059318B" w14:paraId="738653A1" w14:textId="77777777" w:rsidTr="000675DE">
                          <w:trPr>
                            <w:trHeight w:val="308"/>
                          </w:trPr>
                          <w:tc>
                            <w:tcPr>
                              <w:tcW w:w="31.0%" w:type="pct"/>
                              <w:gridSpan w:val="2"/>
                              <w:vMerge/>
                              <w:tcBorders>
                                <w:top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noWrap/>
                              <w:vAlign w:val="center"/>
                            </w:tcPr>
                            <w:p w14:paraId="4D872865" w14:textId="77777777" w:rsidR="00A92FC2" w:rsidRPr="008A604D" w:rsidRDefault="00A92FC2" w:rsidP="008A604D">
                              <w:pPr>
                                <w:rPr>
                                  <w:rFonts w:eastAsia="Times New Roman"/>
                                  <w:i/>
                                  <w:color w:val="000000"/>
                                  <w:lang w:eastAsia="zh-CN"/>
                                </w:rPr>
                              </w:pPr>
                            </w:p>
                          </w:tc>
                          <w:tc>
                            <w:tcPr>
                              <w:tcW w:w="28.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55259131" w14:textId="77777777" w:rsidR="00A92FC2" w:rsidRPr="008A604D" w:rsidRDefault="00A92FC2" w:rsidP="008A604D">
                              <w:pPr>
                                <w:rPr>
                                  <w:rFonts w:eastAsia="Times New Roman"/>
                                  <w:i/>
                                  <w:color w:val="000000"/>
                                  <w:lang w:eastAsia="zh-CN"/>
                                </w:rPr>
                              </w:pPr>
                              <w:r w:rsidRPr="008A604D">
                                <w:rPr>
                                  <w:rFonts w:eastAsia="Times New Roman"/>
                                  <w:i/>
                                  <w:color w:val="000000"/>
                                  <w:lang w:eastAsia="zh-CN"/>
                                </w:rPr>
                                <w:t>35-50 years old</w:t>
                              </w:r>
                            </w:p>
                          </w:tc>
                          <w:tc>
                            <w:tcPr>
                              <w:tcW w:w="8.0%" w:type="pct"/>
                              <w:tcBorders>
                                <w:top w:val="nil"/>
                                <w:start w:val="double" w:sz="4" w:space="0" w:color="auto"/>
                                <w:bottom w:val="single" w:sz="4" w:space="0" w:color="D9D9D9" w:themeColor="background1" w:themeShade="D9"/>
                                <w:end w:val="single" w:sz="4" w:space="0" w:color="D9D9D9" w:themeColor="background1" w:themeShade="D9"/>
                              </w:tcBorders>
                              <w:shd w:val="clear" w:color="auto" w:fill="auto"/>
                              <w:noWrap/>
                              <w:vAlign w:val="bottom"/>
                            </w:tcPr>
                            <w:p w14:paraId="1D3FF139"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29%</w:t>
                              </w:r>
                            </w:p>
                          </w:tc>
                          <w:tc>
                            <w:tcPr>
                              <w:tcW w:w="8.0%" w:type="pct"/>
                              <w:tcBorders>
                                <w:top w:val="nil"/>
                                <w:start w:val="single" w:sz="4" w:space="0" w:color="D9D9D9" w:themeColor="background1" w:themeShade="D9"/>
                                <w:bottom w:val="nil"/>
                                <w:end w:val="nil"/>
                              </w:tcBorders>
                              <w:shd w:val="clear" w:color="auto" w:fill="auto"/>
                              <w:noWrap/>
                              <w:vAlign w:val="bottom"/>
                            </w:tcPr>
                            <w:p w14:paraId="3915EB2E" w14:textId="77777777" w:rsidR="00A92FC2" w:rsidRPr="008A604D" w:rsidRDefault="00A92FC2" w:rsidP="0030560B">
                              <w:pPr>
                                <w:rPr>
                                  <w:color w:val="000000"/>
                                </w:rPr>
                              </w:pPr>
                            </w:p>
                          </w:tc>
                          <w:tc>
                            <w:tcPr>
                              <w:tcW w:w="8.0%" w:type="pct"/>
                              <w:tcBorders>
                                <w:top w:val="nil"/>
                                <w:start w:val="nil"/>
                                <w:bottom w:val="nil"/>
                                <w:end w:val="nil"/>
                              </w:tcBorders>
                              <w:shd w:val="clear" w:color="auto" w:fill="auto"/>
                              <w:noWrap/>
                              <w:vAlign w:val="bottom"/>
                            </w:tcPr>
                            <w:p w14:paraId="18EC0487" w14:textId="77777777" w:rsidR="00A92FC2" w:rsidRPr="008A604D" w:rsidRDefault="00A92FC2" w:rsidP="0030560B">
                              <w:pPr>
                                <w:rPr>
                                  <w:color w:val="000000"/>
                                </w:rPr>
                              </w:pPr>
                            </w:p>
                          </w:tc>
                          <w:tc>
                            <w:tcPr>
                              <w:tcW w:w="6.0%" w:type="pct"/>
                              <w:tcBorders>
                                <w:top w:val="nil"/>
                                <w:start w:val="nil"/>
                                <w:bottom w:val="nil"/>
                                <w:end w:val="nil"/>
                              </w:tcBorders>
                              <w:shd w:val="clear" w:color="auto" w:fill="auto"/>
                              <w:noWrap/>
                              <w:vAlign w:val="bottom"/>
                            </w:tcPr>
                            <w:p w14:paraId="31766717" w14:textId="77777777" w:rsidR="00A92FC2" w:rsidRPr="008A604D" w:rsidRDefault="00A92FC2" w:rsidP="0030560B">
                              <w:pPr>
                                <w:rPr>
                                  <w:color w:val="000000"/>
                                </w:rPr>
                              </w:pPr>
                            </w:p>
                          </w:tc>
                          <w:tc>
                            <w:tcPr>
                              <w:tcW w:w="10.0%" w:type="pct"/>
                              <w:tcBorders>
                                <w:top w:val="nil"/>
                                <w:start w:val="nil"/>
                                <w:bottom w:val="nil"/>
                                <w:end w:val="double" w:sz="4" w:space="0" w:color="000000" w:themeColor="text1"/>
                              </w:tcBorders>
                              <w:shd w:val="clear" w:color="auto" w:fill="auto"/>
                              <w:noWrap/>
                              <w:vAlign w:val="bottom"/>
                            </w:tcPr>
                            <w:p w14:paraId="265DB21A" w14:textId="77777777" w:rsidR="00A92FC2" w:rsidRPr="008A604D" w:rsidRDefault="00A92FC2" w:rsidP="0030560B">
                              <w:pPr>
                                <w:rPr>
                                  <w:color w:val="000000"/>
                                </w:rPr>
                              </w:pPr>
                            </w:p>
                          </w:tc>
                        </w:tr>
                        <w:tr w:rsidR="000675DE" w:rsidRPr="0059318B" w14:paraId="45B62921" w14:textId="77777777" w:rsidTr="000675DE">
                          <w:trPr>
                            <w:trHeight w:val="308"/>
                          </w:trPr>
                          <w:tc>
                            <w:tcPr>
                              <w:tcW w:w="31.0%" w:type="pct"/>
                              <w:gridSpan w:val="2"/>
                              <w:vMerge/>
                              <w:tcBorders>
                                <w:top w:val="single" w:sz="4" w:space="0" w:color="BFBFBF" w:themeColor="background1" w:themeShade="BF"/>
                                <w:bottom w:val="double" w:sz="4" w:space="0" w:color="auto"/>
                                <w:end w:val="single" w:sz="4" w:space="0" w:color="BFBFBF" w:themeColor="background1" w:themeShade="BF"/>
                              </w:tcBorders>
                              <w:shd w:val="clear" w:color="auto" w:fill="auto"/>
                              <w:noWrap/>
                              <w:vAlign w:val="center"/>
                            </w:tcPr>
                            <w:p w14:paraId="431191DD" w14:textId="77777777" w:rsidR="00A92FC2" w:rsidRPr="008A604D" w:rsidRDefault="00A92FC2" w:rsidP="008A604D">
                              <w:pPr>
                                <w:rPr>
                                  <w:rFonts w:eastAsia="Times New Roman"/>
                                  <w:i/>
                                  <w:color w:val="000000"/>
                                  <w:lang w:eastAsia="zh-CN"/>
                                </w:rPr>
                              </w:pPr>
                            </w:p>
                          </w:tc>
                          <w:tc>
                            <w:tcPr>
                              <w:tcW w:w="28.0%" w:type="pct"/>
                              <w:tcBorders>
                                <w:top w:val="single" w:sz="4" w:space="0" w:color="BFBFBF" w:themeColor="background1" w:themeShade="BF"/>
                                <w:start w:val="single" w:sz="4" w:space="0" w:color="BFBFBF" w:themeColor="background1" w:themeShade="BF"/>
                                <w:bottom w:val="double" w:sz="4" w:space="0" w:color="auto"/>
                                <w:end w:val="double" w:sz="4" w:space="0" w:color="auto"/>
                              </w:tcBorders>
                              <w:vAlign w:val="center"/>
                            </w:tcPr>
                            <w:p w14:paraId="1415A74D" w14:textId="77777777" w:rsidR="00A92FC2" w:rsidRPr="008A604D" w:rsidRDefault="00A92FC2" w:rsidP="008A604D">
                              <w:pPr>
                                <w:rPr>
                                  <w:rFonts w:eastAsia="Times New Roman"/>
                                  <w:i/>
                                  <w:color w:val="000000"/>
                                  <w:lang w:eastAsia="zh-CN"/>
                                </w:rPr>
                              </w:pPr>
                              <w:r w:rsidRPr="008A604D">
                                <w:rPr>
                                  <w:rFonts w:eastAsia="Times New Roman"/>
                                  <w:i/>
                                  <w:color w:val="000000"/>
                                  <w:lang w:eastAsia="zh-CN"/>
                                </w:rPr>
                                <w:t>&gt; 50 years old</w:t>
                              </w:r>
                            </w:p>
                          </w:tc>
                          <w:tc>
                            <w:tcPr>
                              <w:tcW w:w="8.0%" w:type="pct"/>
                              <w:tcBorders>
                                <w:top w:val="single" w:sz="4" w:space="0" w:color="D9D9D9" w:themeColor="background1" w:themeShade="D9"/>
                                <w:start w:val="double" w:sz="4" w:space="0" w:color="auto"/>
                                <w:bottom w:val="double" w:sz="4" w:space="0" w:color="auto"/>
                                <w:end w:val="single" w:sz="4" w:space="0" w:color="D9D9D9" w:themeColor="background1" w:themeShade="D9"/>
                              </w:tcBorders>
                              <w:shd w:val="clear" w:color="auto" w:fill="auto"/>
                              <w:noWrap/>
                              <w:vAlign w:val="bottom"/>
                            </w:tcPr>
                            <w:p w14:paraId="1DC0018D"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41%</w:t>
                              </w:r>
                            </w:p>
                          </w:tc>
                          <w:tc>
                            <w:tcPr>
                              <w:tcW w:w="8.0%" w:type="pct"/>
                              <w:tcBorders>
                                <w:top w:val="nil"/>
                                <w:start w:val="single" w:sz="4" w:space="0" w:color="D9D9D9" w:themeColor="background1" w:themeShade="D9"/>
                                <w:bottom w:val="double" w:sz="4" w:space="0" w:color="auto"/>
                                <w:end w:val="nil"/>
                              </w:tcBorders>
                              <w:shd w:val="clear" w:color="auto" w:fill="auto"/>
                              <w:noWrap/>
                              <w:vAlign w:val="bottom"/>
                            </w:tcPr>
                            <w:p w14:paraId="6A084A1F" w14:textId="77777777" w:rsidR="00A92FC2" w:rsidRPr="008A604D" w:rsidRDefault="00A92FC2" w:rsidP="0030560B">
                              <w:pPr>
                                <w:rPr>
                                  <w:color w:val="000000"/>
                                </w:rPr>
                              </w:pPr>
                            </w:p>
                          </w:tc>
                          <w:tc>
                            <w:tcPr>
                              <w:tcW w:w="8.0%" w:type="pct"/>
                              <w:tcBorders>
                                <w:top w:val="nil"/>
                                <w:start w:val="nil"/>
                                <w:bottom w:val="double" w:sz="4" w:space="0" w:color="auto"/>
                                <w:end w:val="nil"/>
                              </w:tcBorders>
                              <w:shd w:val="clear" w:color="auto" w:fill="auto"/>
                              <w:noWrap/>
                              <w:vAlign w:val="bottom"/>
                            </w:tcPr>
                            <w:p w14:paraId="5B10878A" w14:textId="77777777" w:rsidR="00A92FC2" w:rsidRPr="008A604D" w:rsidRDefault="00A92FC2" w:rsidP="0030560B">
                              <w:pPr>
                                <w:rPr>
                                  <w:color w:val="000000"/>
                                </w:rPr>
                              </w:pPr>
                            </w:p>
                          </w:tc>
                          <w:tc>
                            <w:tcPr>
                              <w:tcW w:w="6.0%" w:type="pct"/>
                              <w:tcBorders>
                                <w:top w:val="nil"/>
                                <w:start w:val="nil"/>
                                <w:bottom w:val="double" w:sz="4" w:space="0" w:color="auto"/>
                                <w:end w:val="nil"/>
                              </w:tcBorders>
                              <w:shd w:val="clear" w:color="auto" w:fill="auto"/>
                              <w:noWrap/>
                              <w:vAlign w:val="bottom"/>
                            </w:tcPr>
                            <w:p w14:paraId="242C91C6" w14:textId="77777777" w:rsidR="00A92FC2" w:rsidRPr="008A604D" w:rsidRDefault="00A92FC2" w:rsidP="0030560B">
                              <w:pPr>
                                <w:rPr>
                                  <w:color w:val="000000"/>
                                </w:rPr>
                              </w:pPr>
                            </w:p>
                          </w:tc>
                          <w:tc>
                            <w:tcPr>
                              <w:tcW w:w="10.0%" w:type="pct"/>
                              <w:tcBorders>
                                <w:top w:val="nil"/>
                                <w:start w:val="nil"/>
                                <w:bottom w:val="double" w:sz="4" w:space="0" w:color="auto"/>
                                <w:end w:val="double" w:sz="4" w:space="0" w:color="000000" w:themeColor="text1"/>
                              </w:tcBorders>
                              <w:shd w:val="clear" w:color="auto" w:fill="auto"/>
                              <w:noWrap/>
                              <w:vAlign w:val="bottom"/>
                            </w:tcPr>
                            <w:p w14:paraId="5CE12E32" w14:textId="77777777" w:rsidR="00A92FC2" w:rsidRPr="008A604D" w:rsidRDefault="00A92FC2" w:rsidP="0030560B">
                              <w:pPr>
                                <w:rPr>
                                  <w:color w:val="000000"/>
                                </w:rPr>
                              </w:pPr>
                            </w:p>
                          </w:tc>
                        </w:tr>
                        <w:tr w:rsidR="000675DE" w:rsidRPr="0059318B" w14:paraId="1273A3DB" w14:textId="77777777" w:rsidTr="000675DE">
                          <w:trPr>
                            <w:trHeight w:val="308"/>
                          </w:trPr>
                          <w:tc>
                            <w:tcPr>
                              <w:tcW w:w="31.0%" w:type="pct"/>
                              <w:gridSpan w:val="2"/>
                              <w:vMerge w:val="restart"/>
                              <w:tcBorders>
                                <w:bottom w:val="single" w:sz="4" w:space="0" w:color="BFBFBF" w:themeColor="background1" w:themeShade="BF"/>
                                <w:end w:val="single" w:sz="4" w:space="0" w:color="BFBFBF" w:themeColor="background1" w:themeShade="BF"/>
                              </w:tcBorders>
                              <w:shd w:val="clear" w:color="auto" w:fill="auto"/>
                              <w:noWrap/>
                              <w:vAlign w:val="center"/>
                              <w:hideMark/>
                            </w:tcPr>
                            <w:p w14:paraId="616D0514" w14:textId="226FCAA0" w:rsidR="00A92FC2" w:rsidRPr="008A604D" w:rsidRDefault="00A92FC2" w:rsidP="008A604D">
                              <w:pPr>
                                <w:rPr>
                                  <w:rFonts w:eastAsia="Times New Roman"/>
                                  <w:i/>
                                  <w:color w:val="000000"/>
                                  <w:lang w:eastAsia="zh-CN"/>
                                </w:rPr>
                              </w:pPr>
                              <w:r w:rsidRPr="008A604D">
                                <w:rPr>
                                  <w:rFonts w:eastAsia="Times New Roman"/>
                                  <w:i/>
                                  <w:color w:val="000000"/>
                                  <w:lang w:eastAsia="zh-CN"/>
                                </w:rPr>
                                <w:t>Gender</w:t>
                              </w:r>
                            </w:p>
                          </w:tc>
                          <w:tc>
                            <w:tcPr>
                              <w:tcW w:w="28.0%" w:type="pct"/>
                              <w:tcBorders>
                                <w:top w:val="double" w:sz="4" w:space="0" w:color="auto"/>
                                <w:start w:val="single" w:sz="4" w:space="0" w:color="BFBFBF" w:themeColor="background1" w:themeShade="BF"/>
                                <w:bottom w:val="single" w:sz="4" w:space="0" w:color="BFBFBF" w:themeColor="background1" w:themeShade="BF"/>
                                <w:end w:val="double" w:sz="4" w:space="0" w:color="auto"/>
                              </w:tcBorders>
                              <w:vAlign w:val="center"/>
                            </w:tcPr>
                            <w:p w14:paraId="2E68B319" w14:textId="77777777" w:rsidR="00A92FC2" w:rsidRPr="008A604D" w:rsidRDefault="00A92FC2" w:rsidP="008A604D">
                              <w:pPr>
                                <w:rPr>
                                  <w:rFonts w:eastAsia="Times New Roman"/>
                                  <w:i/>
                                  <w:color w:val="000000"/>
                                  <w:lang w:eastAsia="zh-CN"/>
                                </w:rPr>
                              </w:pPr>
                              <w:r w:rsidRPr="008A604D">
                                <w:rPr>
                                  <w:rFonts w:eastAsia="Times New Roman"/>
                                  <w:i/>
                                  <w:color w:val="000000"/>
                                  <w:lang w:eastAsia="zh-CN"/>
                                </w:rPr>
                                <w:t>Female</w:t>
                              </w:r>
                            </w:p>
                          </w:tc>
                          <w:tc>
                            <w:tcPr>
                              <w:tcW w:w="8.0%" w:type="pct"/>
                              <w:tcBorders>
                                <w:top w:val="double" w:sz="4" w:space="0" w:color="auto"/>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01AB8FF7"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61%</w:t>
                              </w:r>
                            </w:p>
                          </w:tc>
                          <w:tc>
                            <w:tcPr>
                              <w:tcW w:w="8.0%" w:type="pct"/>
                              <w:tcBorders>
                                <w:top w:val="double" w:sz="4" w:space="0" w:color="auto"/>
                                <w:start w:val="single" w:sz="4" w:space="0" w:color="D9D9D9" w:themeColor="background1" w:themeShade="D9"/>
                                <w:bottom w:val="nil"/>
                                <w:end w:val="nil"/>
                              </w:tcBorders>
                              <w:shd w:val="clear" w:color="auto" w:fill="auto"/>
                              <w:noWrap/>
                              <w:vAlign w:val="bottom"/>
                              <w:hideMark/>
                            </w:tcPr>
                            <w:p w14:paraId="2DBEADF4" w14:textId="77777777" w:rsidR="00A92FC2" w:rsidRPr="008A604D" w:rsidRDefault="00A92FC2" w:rsidP="0030560B">
                              <w:pPr>
                                <w:rPr>
                                  <w:rFonts w:eastAsia="Times New Roman"/>
                                  <w:color w:val="000000"/>
                                  <w:lang w:eastAsia="zh-CN"/>
                                </w:rPr>
                              </w:pPr>
                            </w:p>
                          </w:tc>
                          <w:tc>
                            <w:tcPr>
                              <w:tcW w:w="8.0%" w:type="pct"/>
                              <w:tcBorders>
                                <w:top w:val="double" w:sz="4" w:space="0" w:color="auto"/>
                                <w:start w:val="nil"/>
                                <w:bottom w:val="nil"/>
                                <w:end w:val="nil"/>
                              </w:tcBorders>
                              <w:shd w:val="clear" w:color="auto" w:fill="auto"/>
                              <w:noWrap/>
                              <w:vAlign w:val="bottom"/>
                              <w:hideMark/>
                            </w:tcPr>
                            <w:p w14:paraId="07243E77" w14:textId="77777777" w:rsidR="00A92FC2" w:rsidRPr="008A604D" w:rsidRDefault="00A92FC2" w:rsidP="0030560B">
                              <w:pPr>
                                <w:rPr>
                                  <w:rFonts w:eastAsia="Times New Roman"/>
                                  <w:lang w:eastAsia="zh-CN"/>
                                </w:rPr>
                              </w:pPr>
                            </w:p>
                          </w:tc>
                          <w:tc>
                            <w:tcPr>
                              <w:tcW w:w="6.0%" w:type="pct"/>
                              <w:tcBorders>
                                <w:top w:val="double" w:sz="4" w:space="0" w:color="auto"/>
                                <w:start w:val="nil"/>
                                <w:bottom w:val="nil"/>
                                <w:end w:val="nil"/>
                              </w:tcBorders>
                              <w:shd w:val="clear" w:color="auto" w:fill="auto"/>
                              <w:noWrap/>
                              <w:vAlign w:val="bottom"/>
                              <w:hideMark/>
                            </w:tcPr>
                            <w:p w14:paraId="147D1707" w14:textId="77777777" w:rsidR="00A92FC2" w:rsidRPr="008A604D" w:rsidRDefault="00A92FC2" w:rsidP="0030560B">
                              <w:pPr>
                                <w:rPr>
                                  <w:rFonts w:eastAsia="Times New Roman"/>
                                  <w:lang w:eastAsia="zh-CN"/>
                                </w:rPr>
                              </w:pPr>
                            </w:p>
                          </w:tc>
                          <w:tc>
                            <w:tcPr>
                              <w:tcW w:w="10.0%" w:type="pct"/>
                              <w:tcBorders>
                                <w:top w:val="double" w:sz="4" w:space="0" w:color="auto"/>
                                <w:start w:val="nil"/>
                                <w:bottom w:val="nil"/>
                                <w:end w:val="double" w:sz="4" w:space="0" w:color="000000" w:themeColor="text1"/>
                              </w:tcBorders>
                              <w:shd w:val="clear" w:color="auto" w:fill="auto"/>
                              <w:noWrap/>
                              <w:vAlign w:val="bottom"/>
                              <w:hideMark/>
                            </w:tcPr>
                            <w:p w14:paraId="1DE91913" w14:textId="77777777" w:rsidR="00A92FC2" w:rsidRPr="008A604D" w:rsidRDefault="00A92FC2" w:rsidP="0030560B">
                              <w:pPr>
                                <w:rPr>
                                  <w:rFonts w:eastAsia="Times New Roman"/>
                                  <w:lang w:eastAsia="zh-CN"/>
                                </w:rPr>
                              </w:pPr>
                            </w:p>
                          </w:tc>
                        </w:tr>
                        <w:tr w:rsidR="000675DE" w:rsidRPr="0059318B" w14:paraId="7ED274E8" w14:textId="77777777" w:rsidTr="000675DE">
                          <w:trPr>
                            <w:trHeight w:val="308"/>
                          </w:trPr>
                          <w:tc>
                            <w:tcPr>
                              <w:tcW w:w="31.0%" w:type="pct"/>
                              <w:gridSpan w:val="2"/>
                              <w:vMerge/>
                              <w:tcBorders>
                                <w:top w:val="single" w:sz="4" w:space="0" w:color="BFBFBF" w:themeColor="background1" w:themeShade="BF"/>
                                <w:bottom w:val="double" w:sz="4" w:space="0" w:color="auto"/>
                                <w:end w:val="single" w:sz="4" w:space="0" w:color="BFBFBF" w:themeColor="background1" w:themeShade="BF"/>
                              </w:tcBorders>
                              <w:shd w:val="clear" w:color="auto" w:fill="auto"/>
                              <w:noWrap/>
                              <w:vAlign w:val="center"/>
                              <w:hideMark/>
                            </w:tcPr>
                            <w:p w14:paraId="3435856D" w14:textId="77777777" w:rsidR="00A92FC2" w:rsidRPr="008A604D" w:rsidRDefault="00A92FC2" w:rsidP="008A604D">
                              <w:pPr>
                                <w:rPr>
                                  <w:rFonts w:eastAsia="Times New Roman"/>
                                  <w:i/>
                                  <w:color w:val="000000"/>
                                  <w:lang w:eastAsia="zh-CN"/>
                                </w:rPr>
                              </w:pPr>
                            </w:p>
                          </w:tc>
                          <w:tc>
                            <w:tcPr>
                              <w:tcW w:w="28.0%" w:type="pct"/>
                              <w:tcBorders>
                                <w:top w:val="single" w:sz="4" w:space="0" w:color="BFBFBF" w:themeColor="background1" w:themeShade="BF"/>
                                <w:start w:val="single" w:sz="4" w:space="0" w:color="BFBFBF" w:themeColor="background1" w:themeShade="BF"/>
                                <w:bottom w:val="double" w:sz="4" w:space="0" w:color="auto"/>
                                <w:end w:val="double" w:sz="4" w:space="0" w:color="auto"/>
                              </w:tcBorders>
                              <w:vAlign w:val="center"/>
                            </w:tcPr>
                            <w:p w14:paraId="044C8157" w14:textId="77777777" w:rsidR="00A92FC2" w:rsidRPr="008A604D" w:rsidRDefault="00A92FC2" w:rsidP="008A604D">
                              <w:pPr>
                                <w:rPr>
                                  <w:rFonts w:eastAsia="Times New Roman"/>
                                  <w:i/>
                                  <w:color w:val="000000"/>
                                  <w:lang w:eastAsia="zh-CN"/>
                                </w:rPr>
                              </w:pPr>
                              <w:r w:rsidRPr="008A604D">
                                <w:rPr>
                                  <w:rFonts w:eastAsia="Times New Roman"/>
                                  <w:i/>
                                  <w:color w:val="000000"/>
                                  <w:lang w:eastAsia="zh-CN"/>
                                </w:rPr>
                                <w:t>Male</w:t>
                              </w:r>
                            </w:p>
                          </w:tc>
                          <w:tc>
                            <w:tcPr>
                              <w:tcW w:w="8.0%" w:type="pct"/>
                              <w:tcBorders>
                                <w:top w:val="single" w:sz="4" w:space="0" w:color="D9D9D9" w:themeColor="background1" w:themeShade="D9"/>
                                <w:start w:val="double" w:sz="4" w:space="0" w:color="auto"/>
                                <w:bottom w:val="double" w:sz="4" w:space="0" w:color="auto"/>
                                <w:end w:val="single" w:sz="4" w:space="0" w:color="D9D9D9" w:themeColor="background1" w:themeShade="D9"/>
                              </w:tcBorders>
                              <w:shd w:val="clear" w:color="auto" w:fill="auto"/>
                              <w:noWrap/>
                              <w:vAlign w:val="bottom"/>
                              <w:hideMark/>
                            </w:tcPr>
                            <w:p w14:paraId="060A98D0"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39%</w:t>
                              </w:r>
                            </w:p>
                          </w:tc>
                          <w:tc>
                            <w:tcPr>
                              <w:tcW w:w="8.0%" w:type="pct"/>
                              <w:tcBorders>
                                <w:top w:val="nil"/>
                                <w:start w:val="single" w:sz="4" w:space="0" w:color="D9D9D9" w:themeColor="background1" w:themeShade="D9"/>
                                <w:bottom w:val="double" w:sz="4" w:space="0" w:color="auto"/>
                                <w:end w:val="nil"/>
                              </w:tcBorders>
                              <w:shd w:val="clear" w:color="auto" w:fill="auto"/>
                              <w:noWrap/>
                              <w:vAlign w:val="bottom"/>
                              <w:hideMark/>
                            </w:tcPr>
                            <w:p w14:paraId="5F950B7F" w14:textId="77777777" w:rsidR="00A92FC2" w:rsidRPr="008A604D" w:rsidRDefault="00A92FC2" w:rsidP="0030560B">
                              <w:pPr>
                                <w:rPr>
                                  <w:rFonts w:eastAsia="Times New Roman"/>
                                  <w:color w:val="000000"/>
                                  <w:lang w:eastAsia="zh-CN"/>
                                </w:rPr>
                              </w:pPr>
                            </w:p>
                          </w:tc>
                          <w:tc>
                            <w:tcPr>
                              <w:tcW w:w="8.0%" w:type="pct"/>
                              <w:tcBorders>
                                <w:top w:val="nil"/>
                                <w:start w:val="nil"/>
                                <w:bottom w:val="double" w:sz="4" w:space="0" w:color="auto"/>
                                <w:end w:val="nil"/>
                              </w:tcBorders>
                              <w:shd w:val="clear" w:color="auto" w:fill="auto"/>
                              <w:noWrap/>
                              <w:vAlign w:val="bottom"/>
                              <w:hideMark/>
                            </w:tcPr>
                            <w:p w14:paraId="73E70038" w14:textId="77777777" w:rsidR="00A92FC2" w:rsidRPr="008A604D" w:rsidRDefault="00A92FC2" w:rsidP="0030560B">
                              <w:pPr>
                                <w:rPr>
                                  <w:rFonts w:eastAsia="Times New Roman"/>
                                  <w:lang w:eastAsia="zh-CN"/>
                                </w:rPr>
                              </w:pPr>
                            </w:p>
                          </w:tc>
                          <w:tc>
                            <w:tcPr>
                              <w:tcW w:w="6.0%" w:type="pct"/>
                              <w:tcBorders>
                                <w:top w:val="nil"/>
                                <w:start w:val="nil"/>
                                <w:bottom w:val="double" w:sz="4" w:space="0" w:color="auto"/>
                                <w:end w:val="nil"/>
                              </w:tcBorders>
                              <w:shd w:val="clear" w:color="auto" w:fill="auto"/>
                              <w:noWrap/>
                              <w:vAlign w:val="bottom"/>
                              <w:hideMark/>
                            </w:tcPr>
                            <w:p w14:paraId="00005291" w14:textId="77777777" w:rsidR="00A92FC2" w:rsidRPr="008A604D" w:rsidRDefault="00A92FC2" w:rsidP="0030560B">
                              <w:pPr>
                                <w:rPr>
                                  <w:rFonts w:eastAsia="Times New Roman"/>
                                  <w:lang w:eastAsia="zh-CN"/>
                                </w:rPr>
                              </w:pPr>
                            </w:p>
                          </w:tc>
                          <w:tc>
                            <w:tcPr>
                              <w:tcW w:w="10.0%" w:type="pct"/>
                              <w:tcBorders>
                                <w:top w:val="nil"/>
                                <w:start w:val="nil"/>
                                <w:bottom w:val="double" w:sz="4" w:space="0" w:color="auto"/>
                                <w:end w:val="double" w:sz="4" w:space="0" w:color="000000" w:themeColor="text1"/>
                              </w:tcBorders>
                              <w:shd w:val="clear" w:color="auto" w:fill="auto"/>
                              <w:noWrap/>
                              <w:vAlign w:val="bottom"/>
                              <w:hideMark/>
                            </w:tcPr>
                            <w:p w14:paraId="276C3FA5" w14:textId="77777777" w:rsidR="00A92FC2" w:rsidRPr="008A604D" w:rsidRDefault="00A92FC2" w:rsidP="0030560B">
                              <w:pPr>
                                <w:rPr>
                                  <w:rFonts w:eastAsia="Times New Roman"/>
                                  <w:lang w:eastAsia="zh-CN"/>
                                </w:rPr>
                              </w:pPr>
                            </w:p>
                          </w:tc>
                        </w:tr>
                        <w:tr w:rsidR="000675DE" w:rsidRPr="0059318B" w14:paraId="04066E6C" w14:textId="77777777" w:rsidTr="000675DE">
                          <w:trPr>
                            <w:trHeight w:val="308"/>
                          </w:trPr>
                          <w:tc>
                            <w:tcPr>
                              <w:tcW w:w="31.0%" w:type="pct"/>
                              <w:gridSpan w:val="2"/>
                              <w:vMerge w:val="restart"/>
                              <w:tcBorders>
                                <w:bottom w:val="single" w:sz="4" w:space="0" w:color="BFBFBF" w:themeColor="background1" w:themeShade="BF"/>
                                <w:end w:val="single" w:sz="4" w:space="0" w:color="BFBFBF" w:themeColor="background1" w:themeShade="BF"/>
                              </w:tcBorders>
                              <w:shd w:val="clear" w:color="auto" w:fill="auto"/>
                              <w:noWrap/>
                              <w:vAlign w:val="center"/>
                              <w:hideMark/>
                            </w:tcPr>
                            <w:p w14:paraId="0F2E08EC" w14:textId="6ABD3B3E" w:rsidR="00A92FC2" w:rsidRPr="008A604D" w:rsidRDefault="00A92FC2" w:rsidP="008A604D">
                              <w:pPr>
                                <w:rPr>
                                  <w:rFonts w:eastAsia="Times New Roman"/>
                                  <w:i/>
                                  <w:color w:val="000000"/>
                                  <w:lang w:eastAsia="zh-CN"/>
                                </w:rPr>
                              </w:pPr>
                              <w:r w:rsidRPr="008A604D">
                                <w:rPr>
                                  <w:rFonts w:eastAsia="Times New Roman"/>
                                  <w:i/>
                                  <w:color w:val="000000"/>
                                  <w:lang w:eastAsia="zh-CN"/>
                                </w:rPr>
                                <w:t>Income</w:t>
                              </w:r>
                            </w:p>
                          </w:tc>
                          <w:tc>
                            <w:tcPr>
                              <w:tcW w:w="28.0%" w:type="pct"/>
                              <w:tcBorders>
                                <w:top w:val="double" w:sz="4" w:space="0" w:color="auto"/>
                                <w:start w:val="single" w:sz="4" w:space="0" w:color="BFBFBF" w:themeColor="background1" w:themeShade="BF"/>
                                <w:bottom w:val="single" w:sz="4" w:space="0" w:color="BFBFBF" w:themeColor="background1" w:themeShade="BF"/>
                                <w:end w:val="double" w:sz="4" w:space="0" w:color="auto"/>
                              </w:tcBorders>
                              <w:vAlign w:val="center"/>
                            </w:tcPr>
                            <w:p w14:paraId="7418F443" w14:textId="77777777" w:rsidR="00A92FC2" w:rsidRPr="008A604D" w:rsidRDefault="00A92FC2" w:rsidP="008A604D">
                              <w:pPr>
                                <w:rPr>
                                  <w:rFonts w:eastAsia="Times New Roman"/>
                                  <w:i/>
                                  <w:color w:val="000000"/>
                                  <w:lang w:eastAsia="zh-CN"/>
                                </w:rPr>
                              </w:pPr>
                              <w:r w:rsidRPr="008A604D">
                                <w:rPr>
                                  <w:rFonts w:eastAsia="Times New Roman"/>
                                  <w:i/>
                                  <w:color w:val="000000"/>
                                  <w:lang w:eastAsia="zh-CN"/>
                                </w:rPr>
                                <w:t>&lt; €20,000 per year</w:t>
                              </w:r>
                            </w:p>
                          </w:tc>
                          <w:tc>
                            <w:tcPr>
                              <w:tcW w:w="8.0%" w:type="pct"/>
                              <w:tcBorders>
                                <w:top w:val="double" w:sz="4" w:space="0" w:color="auto"/>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7C5FA6D2"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27%</w:t>
                              </w:r>
                            </w:p>
                          </w:tc>
                          <w:tc>
                            <w:tcPr>
                              <w:tcW w:w="8.0%" w:type="pct"/>
                              <w:tcBorders>
                                <w:top w:val="double" w:sz="4" w:space="0" w:color="auto"/>
                                <w:start w:val="single" w:sz="4" w:space="0" w:color="D9D9D9" w:themeColor="background1" w:themeShade="D9"/>
                                <w:bottom w:val="nil"/>
                                <w:end w:val="nil"/>
                              </w:tcBorders>
                              <w:shd w:val="clear" w:color="auto" w:fill="auto"/>
                              <w:noWrap/>
                              <w:vAlign w:val="bottom"/>
                              <w:hideMark/>
                            </w:tcPr>
                            <w:p w14:paraId="7C8FC97C" w14:textId="77777777" w:rsidR="00A92FC2" w:rsidRPr="008A604D" w:rsidRDefault="00A92FC2" w:rsidP="0030560B">
                              <w:pPr>
                                <w:rPr>
                                  <w:rFonts w:eastAsia="Times New Roman"/>
                                  <w:color w:val="000000"/>
                                  <w:lang w:eastAsia="zh-CN"/>
                                </w:rPr>
                              </w:pPr>
                            </w:p>
                          </w:tc>
                          <w:tc>
                            <w:tcPr>
                              <w:tcW w:w="8.0%" w:type="pct"/>
                              <w:tcBorders>
                                <w:top w:val="double" w:sz="4" w:space="0" w:color="auto"/>
                                <w:start w:val="nil"/>
                                <w:bottom w:val="nil"/>
                                <w:end w:val="nil"/>
                              </w:tcBorders>
                              <w:shd w:val="clear" w:color="auto" w:fill="auto"/>
                              <w:noWrap/>
                              <w:vAlign w:val="bottom"/>
                              <w:hideMark/>
                            </w:tcPr>
                            <w:p w14:paraId="33319C59" w14:textId="77777777" w:rsidR="00A92FC2" w:rsidRPr="008A604D" w:rsidRDefault="00A92FC2" w:rsidP="0030560B">
                              <w:pPr>
                                <w:rPr>
                                  <w:rFonts w:eastAsia="Times New Roman"/>
                                  <w:lang w:eastAsia="zh-CN"/>
                                </w:rPr>
                              </w:pPr>
                            </w:p>
                          </w:tc>
                          <w:tc>
                            <w:tcPr>
                              <w:tcW w:w="6.0%" w:type="pct"/>
                              <w:tcBorders>
                                <w:top w:val="double" w:sz="4" w:space="0" w:color="auto"/>
                                <w:start w:val="nil"/>
                                <w:bottom w:val="nil"/>
                                <w:end w:val="nil"/>
                              </w:tcBorders>
                              <w:shd w:val="clear" w:color="auto" w:fill="auto"/>
                              <w:noWrap/>
                              <w:vAlign w:val="bottom"/>
                              <w:hideMark/>
                            </w:tcPr>
                            <w:p w14:paraId="1147D761" w14:textId="77777777" w:rsidR="00A92FC2" w:rsidRPr="008A604D" w:rsidRDefault="00A92FC2" w:rsidP="0030560B">
                              <w:pPr>
                                <w:rPr>
                                  <w:rFonts w:eastAsia="Times New Roman"/>
                                  <w:lang w:eastAsia="zh-CN"/>
                                </w:rPr>
                              </w:pPr>
                            </w:p>
                          </w:tc>
                          <w:tc>
                            <w:tcPr>
                              <w:tcW w:w="10.0%" w:type="pct"/>
                              <w:tcBorders>
                                <w:top w:val="double" w:sz="4" w:space="0" w:color="auto"/>
                                <w:start w:val="nil"/>
                                <w:bottom w:val="nil"/>
                                <w:end w:val="double" w:sz="4" w:space="0" w:color="000000" w:themeColor="text1"/>
                              </w:tcBorders>
                              <w:shd w:val="clear" w:color="auto" w:fill="auto"/>
                              <w:noWrap/>
                              <w:vAlign w:val="bottom"/>
                              <w:hideMark/>
                            </w:tcPr>
                            <w:p w14:paraId="0C1E5DF0" w14:textId="77777777" w:rsidR="00A92FC2" w:rsidRPr="008A604D" w:rsidRDefault="00A92FC2" w:rsidP="0030560B">
                              <w:pPr>
                                <w:rPr>
                                  <w:rFonts w:eastAsia="Times New Roman"/>
                                  <w:lang w:eastAsia="zh-CN"/>
                                </w:rPr>
                              </w:pPr>
                            </w:p>
                          </w:tc>
                        </w:tr>
                        <w:tr w:rsidR="000675DE" w:rsidRPr="0059318B" w14:paraId="3DA5D568" w14:textId="77777777" w:rsidTr="000675DE">
                          <w:trPr>
                            <w:trHeight w:val="308"/>
                          </w:trPr>
                          <w:tc>
                            <w:tcPr>
                              <w:tcW w:w="31.0%" w:type="pct"/>
                              <w:gridSpan w:val="2"/>
                              <w:vMerge/>
                              <w:tcBorders>
                                <w:top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noWrap/>
                              <w:vAlign w:val="center"/>
                              <w:hideMark/>
                            </w:tcPr>
                            <w:p w14:paraId="38DEEB01" w14:textId="77777777" w:rsidR="00A92FC2" w:rsidRPr="008A604D" w:rsidRDefault="00A92FC2" w:rsidP="008A604D">
                              <w:pPr>
                                <w:rPr>
                                  <w:rFonts w:eastAsia="Times New Roman"/>
                                  <w:i/>
                                  <w:color w:val="000000"/>
                                  <w:lang w:eastAsia="zh-CN"/>
                                </w:rPr>
                              </w:pPr>
                            </w:p>
                          </w:tc>
                          <w:tc>
                            <w:tcPr>
                              <w:tcW w:w="28.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5AEA5FBA" w14:textId="77777777" w:rsidR="00A92FC2" w:rsidRPr="008A604D" w:rsidRDefault="00A92FC2" w:rsidP="008A604D">
                              <w:pPr>
                                <w:rPr>
                                  <w:rFonts w:eastAsia="Times New Roman"/>
                                  <w:i/>
                                  <w:color w:val="000000"/>
                                  <w:lang w:eastAsia="zh-CN"/>
                                </w:rPr>
                              </w:pPr>
                              <w:r w:rsidRPr="008A604D">
                                <w:rPr>
                                  <w:rFonts w:eastAsia="Times New Roman"/>
                                  <w:i/>
                                  <w:color w:val="000000"/>
                                  <w:lang w:eastAsia="zh-CN"/>
                                </w:rPr>
                                <w:t>€20,000-€40,000 per year</w:t>
                              </w:r>
                            </w:p>
                          </w:tc>
                          <w:tc>
                            <w:tcPr>
                              <w:tcW w:w="8.0%" w:type="pct"/>
                              <w:tcBorders>
                                <w:top w:val="single" w:sz="4" w:space="0" w:color="D9D9D9" w:themeColor="background1" w:themeShade="D9"/>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6C673EA8"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53%</w:t>
                              </w:r>
                            </w:p>
                          </w:tc>
                          <w:tc>
                            <w:tcPr>
                              <w:tcW w:w="8.0%" w:type="pct"/>
                              <w:tcBorders>
                                <w:top w:val="nil"/>
                                <w:start w:val="single" w:sz="4" w:space="0" w:color="D9D9D9" w:themeColor="background1" w:themeShade="D9"/>
                                <w:bottom w:val="nil"/>
                                <w:end w:val="nil"/>
                              </w:tcBorders>
                              <w:shd w:val="clear" w:color="auto" w:fill="auto"/>
                              <w:noWrap/>
                              <w:vAlign w:val="bottom"/>
                              <w:hideMark/>
                            </w:tcPr>
                            <w:p w14:paraId="4FDB95F0" w14:textId="77777777" w:rsidR="00A92FC2" w:rsidRPr="008A604D" w:rsidRDefault="00A92FC2" w:rsidP="0030560B">
                              <w:pPr>
                                <w:rPr>
                                  <w:rFonts w:eastAsia="Times New Roman"/>
                                  <w:color w:val="000000"/>
                                  <w:lang w:eastAsia="zh-CN"/>
                                </w:rPr>
                              </w:pPr>
                            </w:p>
                          </w:tc>
                          <w:tc>
                            <w:tcPr>
                              <w:tcW w:w="8.0%" w:type="pct"/>
                              <w:tcBorders>
                                <w:top w:val="nil"/>
                                <w:start w:val="nil"/>
                                <w:bottom w:val="nil"/>
                                <w:end w:val="nil"/>
                              </w:tcBorders>
                              <w:shd w:val="clear" w:color="auto" w:fill="auto"/>
                              <w:noWrap/>
                              <w:vAlign w:val="bottom"/>
                              <w:hideMark/>
                            </w:tcPr>
                            <w:p w14:paraId="3613E909" w14:textId="77777777" w:rsidR="00A92FC2" w:rsidRPr="008A604D" w:rsidRDefault="00A92FC2" w:rsidP="0030560B">
                              <w:pPr>
                                <w:rPr>
                                  <w:rFonts w:eastAsia="Times New Roman"/>
                                  <w:lang w:eastAsia="zh-CN"/>
                                </w:rPr>
                              </w:pPr>
                            </w:p>
                          </w:tc>
                          <w:tc>
                            <w:tcPr>
                              <w:tcW w:w="6.0%" w:type="pct"/>
                              <w:tcBorders>
                                <w:top w:val="nil"/>
                                <w:start w:val="nil"/>
                                <w:bottom w:val="nil"/>
                                <w:end w:val="nil"/>
                              </w:tcBorders>
                              <w:shd w:val="clear" w:color="auto" w:fill="auto"/>
                              <w:noWrap/>
                              <w:vAlign w:val="bottom"/>
                              <w:hideMark/>
                            </w:tcPr>
                            <w:p w14:paraId="34DFD7BC" w14:textId="77777777" w:rsidR="00A92FC2" w:rsidRPr="008A604D" w:rsidRDefault="00A92FC2" w:rsidP="0030560B">
                              <w:pPr>
                                <w:rPr>
                                  <w:rFonts w:eastAsia="Times New Roman"/>
                                  <w:lang w:eastAsia="zh-CN"/>
                                </w:rPr>
                              </w:pPr>
                            </w:p>
                          </w:tc>
                          <w:tc>
                            <w:tcPr>
                              <w:tcW w:w="10.0%" w:type="pct"/>
                              <w:tcBorders>
                                <w:top w:val="nil"/>
                                <w:start w:val="nil"/>
                                <w:bottom w:val="nil"/>
                                <w:end w:val="double" w:sz="4" w:space="0" w:color="000000" w:themeColor="text1"/>
                              </w:tcBorders>
                              <w:shd w:val="clear" w:color="auto" w:fill="auto"/>
                              <w:noWrap/>
                              <w:vAlign w:val="bottom"/>
                              <w:hideMark/>
                            </w:tcPr>
                            <w:p w14:paraId="0A641C7E" w14:textId="77777777" w:rsidR="00A92FC2" w:rsidRPr="008A604D" w:rsidRDefault="00A92FC2" w:rsidP="0030560B">
                              <w:pPr>
                                <w:rPr>
                                  <w:rFonts w:eastAsia="Times New Roman"/>
                                  <w:lang w:eastAsia="zh-CN"/>
                                </w:rPr>
                              </w:pPr>
                            </w:p>
                          </w:tc>
                        </w:tr>
                        <w:tr w:rsidR="000675DE" w:rsidRPr="0059318B" w14:paraId="26E7CFB8" w14:textId="77777777" w:rsidTr="000675DE">
                          <w:trPr>
                            <w:trHeight w:val="308"/>
                          </w:trPr>
                          <w:tc>
                            <w:tcPr>
                              <w:tcW w:w="31.0%" w:type="pct"/>
                              <w:gridSpan w:val="2"/>
                              <w:vMerge/>
                              <w:tcBorders>
                                <w:top w:val="single" w:sz="4" w:space="0" w:color="BFBFBF" w:themeColor="background1" w:themeShade="BF"/>
                                <w:bottom w:val="double" w:sz="4" w:space="0" w:color="auto"/>
                                <w:end w:val="single" w:sz="4" w:space="0" w:color="BFBFBF" w:themeColor="background1" w:themeShade="BF"/>
                              </w:tcBorders>
                              <w:shd w:val="clear" w:color="auto" w:fill="auto"/>
                              <w:noWrap/>
                              <w:vAlign w:val="center"/>
                              <w:hideMark/>
                            </w:tcPr>
                            <w:p w14:paraId="6B62CCB6" w14:textId="77777777" w:rsidR="00A92FC2" w:rsidRPr="008A604D" w:rsidRDefault="00A92FC2" w:rsidP="008A604D">
                              <w:pPr>
                                <w:rPr>
                                  <w:rFonts w:eastAsia="Times New Roman"/>
                                  <w:i/>
                                  <w:color w:val="000000"/>
                                  <w:lang w:eastAsia="zh-CN"/>
                                </w:rPr>
                              </w:pPr>
                            </w:p>
                          </w:tc>
                          <w:tc>
                            <w:tcPr>
                              <w:tcW w:w="28.0%" w:type="pct"/>
                              <w:tcBorders>
                                <w:top w:val="single" w:sz="4" w:space="0" w:color="BFBFBF" w:themeColor="background1" w:themeShade="BF"/>
                                <w:start w:val="single" w:sz="4" w:space="0" w:color="BFBFBF" w:themeColor="background1" w:themeShade="BF"/>
                                <w:bottom w:val="double" w:sz="4" w:space="0" w:color="auto"/>
                                <w:end w:val="double" w:sz="4" w:space="0" w:color="auto"/>
                              </w:tcBorders>
                              <w:vAlign w:val="center"/>
                            </w:tcPr>
                            <w:p w14:paraId="48544865" w14:textId="77777777" w:rsidR="00A92FC2" w:rsidRPr="008A604D" w:rsidRDefault="00A92FC2" w:rsidP="008A604D">
                              <w:pPr>
                                <w:rPr>
                                  <w:rFonts w:eastAsia="Times New Roman"/>
                                  <w:i/>
                                  <w:color w:val="000000"/>
                                  <w:lang w:eastAsia="zh-CN"/>
                                </w:rPr>
                              </w:pPr>
                              <w:r w:rsidRPr="008A604D">
                                <w:rPr>
                                  <w:rFonts w:eastAsia="Times New Roman"/>
                                  <w:i/>
                                  <w:color w:val="000000"/>
                                  <w:lang w:eastAsia="zh-CN"/>
                                </w:rPr>
                                <w:t>&gt; €40,000 per year</w:t>
                              </w:r>
                            </w:p>
                          </w:tc>
                          <w:tc>
                            <w:tcPr>
                              <w:tcW w:w="8.0%" w:type="pct"/>
                              <w:tcBorders>
                                <w:top w:val="single" w:sz="4" w:space="0" w:color="D9D9D9" w:themeColor="background1" w:themeShade="D9"/>
                                <w:start w:val="double" w:sz="4" w:space="0" w:color="auto"/>
                                <w:bottom w:val="double" w:sz="4" w:space="0" w:color="auto"/>
                                <w:end w:val="single" w:sz="4" w:space="0" w:color="D9D9D9" w:themeColor="background1" w:themeShade="D9"/>
                              </w:tcBorders>
                              <w:shd w:val="clear" w:color="auto" w:fill="auto"/>
                              <w:noWrap/>
                              <w:vAlign w:val="bottom"/>
                              <w:hideMark/>
                            </w:tcPr>
                            <w:p w14:paraId="646A2248"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20%</w:t>
                              </w:r>
                            </w:p>
                          </w:tc>
                          <w:tc>
                            <w:tcPr>
                              <w:tcW w:w="8.0%" w:type="pct"/>
                              <w:tcBorders>
                                <w:top w:val="nil"/>
                                <w:start w:val="single" w:sz="4" w:space="0" w:color="D9D9D9" w:themeColor="background1" w:themeShade="D9"/>
                                <w:bottom w:val="double" w:sz="4" w:space="0" w:color="auto"/>
                                <w:end w:val="nil"/>
                              </w:tcBorders>
                              <w:shd w:val="clear" w:color="auto" w:fill="auto"/>
                              <w:noWrap/>
                              <w:vAlign w:val="bottom"/>
                              <w:hideMark/>
                            </w:tcPr>
                            <w:p w14:paraId="56B20AF5" w14:textId="77777777" w:rsidR="00A92FC2" w:rsidRPr="008A604D" w:rsidRDefault="00A92FC2" w:rsidP="0030560B">
                              <w:pPr>
                                <w:rPr>
                                  <w:rFonts w:eastAsia="Times New Roman"/>
                                  <w:color w:val="000000"/>
                                  <w:lang w:eastAsia="zh-CN"/>
                                </w:rPr>
                              </w:pPr>
                            </w:p>
                          </w:tc>
                          <w:tc>
                            <w:tcPr>
                              <w:tcW w:w="8.0%" w:type="pct"/>
                              <w:tcBorders>
                                <w:top w:val="nil"/>
                                <w:start w:val="nil"/>
                                <w:bottom w:val="double" w:sz="4" w:space="0" w:color="auto"/>
                                <w:end w:val="nil"/>
                              </w:tcBorders>
                              <w:shd w:val="clear" w:color="auto" w:fill="auto"/>
                              <w:noWrap/>
                              <w:vAlign w:val="bottom"/>
                              <w:hideMark/>
                            </w:tcPr>
                            <w:p w14:paraId="075B3AF0" w14:textId="77777777" w:rsidR="00A92FC2" w:rsidRPr="008A604D" w:rsidRDefault="00A92FC2" w:rsidP="0030560B">
                              <w:pPr>
                                <w:rPr>
                                  <w:rFonts w:eastAsia="Times New Roman"/>
                                  <w:lang w:eastAsia="zh-CN"/>
                                </w:rPr>
                              </w:pPr>
                            </w:p>
                          </w:tc>
                          <w:tc>
                            <w:tcPr>
                              <w:tcW w:w="6.0%" w:type="pct"/>
                              <w:tcBorders>
                                <w:top w:val="nil"/>
                                <w:start w:val="nil"/>
                                <w:bottom w:val="double" w:sz="4" w:space="0" w:color="auto"/>
                                <w:end w:val="nil"/>
                              </w:tcBorders>
                              <w:shd w:val="clear" w:color="auto" w:fill="auto"/>
                              <w:noWrap/>
                              <w:vAlign w:val="bottom"/>
                              <w:hideMark/>
                            </w:tcPr>
                            <w:p w14:paraId="51F0CC2C" w14:textId="77777777" w:rsidR="00A92FC2" w:rsidRPr="008A604D" w:rsidRDefault="00A92FC2" w:rsidP="0030560B">
                              <w:pPr>
                                <w:rPr>
                                  <w:rFonts w:eastAsia="Times New Roman"/>
                                  <w:lang w:eastAsia="zh-CN"/>
                                </w:rPr>
                              </w:pPr>
                            </w:p>
                          </w:tc>
                          <w:tc>
                            <w:tcPr>
                              <w:tcW w:w="10.0%" w:type="pct"/>
                              <w:tcBorders>
                                <w:top w:val="nil"/>
                                <w:start w:val="nil"/>
                                <w:bottom w:val="double" w:sz="4" w:space="0" w:color="auto"/>
                                <w:end w:val="double" w:sz="4" w:space="0" w:color="000000" w:themeColor="text1"/>
                              </w:tcBorders>
                              <w:shd w:val="clear" w:color="auto" w:fill="auto"/>
                              <w:noWrap/>
                              <w:vAlign w:val="bottom"/>
                              <w:hideMark/>
                            </w:tcPr>
                            <w:p w14:paraId="1DD59CA9" w14:textId="77777777" w:rsidR="00A92FC2" w:rsidRPr="008A604D" w:rsidRDefault="00A92FC2" w:rsidP="0030560B">
                              <w:pPr>
                                <w:rPr>
                                  <w:rFonts w:eastAsia="Times New Roman"/>
                                  <w:lang w:eastAsia="zh-CN"/>
                                </w:rPr>
                              </w:pPr>
                            </w:p>
                          </w:tc>
                        </w:tr>
                        <w:tr w:rsidR="000675DE" w:rsidRPr="0059318B" w14:paraId="2ADB7678" w14:textId="77777777" w:rsidTr="000675DE">
                          <w:trPr>
                            <w:trHeight w:val="308"/>
                          </w:trPr>
                          <w:tc>
                            <w:tcPr>
                              <w:tcW w:w="31.0%" w:type="pct"/>
                              <w:gridSpan w:val="2"/>
                              <w:vMerge w:val="restart"/>
                              <w:tcBorders>
                                <w:bottom w:val="single" w:sz="4" w:space="0" w:color="BFBFBF" w:themeColor="background1" w:themeShade="BF"/>
                                <w:end w:val="single" w:sz="4" w:space="0" w:color="BFBFBF" w:themeColor="background1" w:themeShade="BF"/>
                              </w:tcBorders>
                              <w:shd w:val="clear" w:color="auto" w:fill="auto"/>
                              <w:noWrap/>
                              <w:vAlign w:val="center"/>
                              <w:hideMark/>
                            </w:tcPr>
                            <w:p w14:paraId="1814E0DF" w14:textId="1A6EE5E9" w:rsidR="00A92FC2" w:rsidRPr="008A604D" w:rsidRDefault="00A92FC2" w:rsidP="008A604D">
                              <w:pPr>
                                <w:rPr>
                                  <w:rFonts w:eastAsia="Times New Roman"/>
                                  <w:i/>
                                  <w:color w:val="000000"/>
                                  <w:lang w:eastAsia="zh-CN"/>
                                </w:rPr>
                              </w:pPr>
                              <w:r w:rsidRPr="008A604D">
                                <w:rPr>
                                  <w:rFonts w:eastAsia="Times New Roman"/>
                                  <w:i/>
                                  <w:color w:val="000000"/>
                                  <w:lang w:eastAsia="zh-CN"/>
                                </w:rPr>
                                <w:t>Education</w:t>
                              </w:r>
                            </w:p>
                          </w:tc>
                          <w:tc>
                            <w:tcPr>
                              <w:tcW w:w="28.0%" w:type="pct"/>
                              <w:tcBorders>
                                <w:start w:val="single" w:sz="4" w:space="0" w:color="BFBFBF" w:themeColor="background1" w:themeShade="BF"/>
                                <w:bottom w:val="single" w:sz="4" w:space="0" w:color="BFBFBF" w:themeColor="background1" w:themeShade="BF"/>
                                <w:end w:val="double" w:sz="4" w:space="0" w:color="auto"/>
                              </w:tcBorders>
                              <w:vAlign w:val="center"/>
                            </w:tcPr>
                            <w:p w14:paraId="74039005" w14:textId="77777777" w:rsidR="00A92FC2" w:rsidRPr="008A604D" w:rsidRDefault="00A92FC2" w:rsidP="008A604D">
                              <w:pPr>
                                <w:rPr>
                                  <w:rFonts w:eastAsia="Times New Roman"/>
                                  <w:i/>
                                  <w:color w:val="000000"/>
                                  <w:lang w:eastAsia="zh-CN"/>
                                </w:rPr>
                              </w:pPr>
                              <w:r w:rsidRPr="008A604D">
                                <w:rPr>
                                  <w:rFonts w:eastAsia="Times New Roman"/>
                                  <w:i/>
                                  <w:color w:val="000000"/>
                                  <w:lang w:eastAsia="zh-CN"/>
                                </w:rPr>
                                <w:t>No higher education</w:t>
                              </w:r>
                            </w:p>
                          </w:tc>
                          <w:tc>
                            <w:tcPr>
                              <w:tcW w:w="8.0%" w:type="pct"/>
                              <w:tcBorders>
                                <w:top w:val="nil"/>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47B8F4D2"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42%</w:t>
                              </w:r>
                            </w:p>
                          </w:tc>
                          <w:tc>
                            <w:tcPr>
                              <w:tcW w:w="8.0%" w:type="pct"/>
                              <w:tcBorders>
                                <w:top w:val="nil"/>
                                <w:start w:val="single" w:sz="4" w:space="0" w:color="D9D9D9" w:themeColor="background1" w:themeShade="D9"/>
                                <w:bottom w:val="nil"/>
                                <w:end w:val="nil"/>
                              </w:tcBorders>
                              <w:shd w:val="clear" w:color="auto" w:fill="auto"/>
                              <w:noWrap/>
                              <w:vAlign w:val="bottom"/>
                              <w:hideMark/>
                            </w:tcPr>
                            <w:p w14:paraId="1D94F070" w14:textId="77777777" w:rsidR="00A92FC2" w:rsidRPr="008A604D" w:rsidRDefault="00A92FC2" w:rsidP="0030560B">
                              <w:pPr>
                                <w:rPr>
                                  <w:rFonts w:eastAsia="Times New Roman"/>
                                  <w:color w:val="000000"/>
                                  <w:lang w:eastAsia="zh-CN"/>
                                </w:rPr>
                              </w:pPr>
                            </w:p>
                          </w:tc>
                          <w:tc>
                            <w:tcPr>
                              <w:tcW w:w="8.0%" w:type="pct"/>
                              <w:tcBorders>
                                <w:top w:val="nil"/>
                                <w:start w:val="nil"/>
                                <w:bottom w:val="nil"/>
                                <w:end w:val="nil"/>
                              </w:tcBorders>
                              <w:shd w:val="clear" w:color="auto" w:fill="auto"/>
                              <w:noWrap/>
                              <w:vAlign w:val="bottom"/>
                              <w:hideMark/>
                            </w:tcPr>
                            <w:p w14:paraId="75D8AB7C" w14:textId="77777777" w:rsidR="00A92FC2" w:rsidRPr="008A604D" w:rsidRDefault="00A92FC2" w:rsidP="0030560B">
                              <w:pPr>
                                <w:rPr>
                                  <w:rFonts w:eastAsia="Times New Roman"/>
                                  <w:lang w:eastAsia="zh-CN"/>
                                </w:rPr>
                              </w:pPr>
                            </w:p>
                          </w:tc>
                          <w:tc>
                            <w:tcPr>
                              <w:tcW w:w="6.0%" w:type="pct"/>
                              <w:tcBorders>
                                <w:top w:val="nil"/>
                                <w:start w:val="nil"/>
                                <w:bottom w:val="nil"/>
                                <w:end w:val="nil"/>
                              </w:tcBorders>
                              <w:shd w:val="clear" w:color="auto" w:fill="auto"/>
                              <w:noWrap/>
                              <w:vAlign w:val="bottom"/>
                              <w:hideMark/>
                            </w:tcPr>
                            <w:p w14:paraId="1437BA19" w14:textId="77777777" w:rsidR="00A92FC2" w:rsidRPr="008A604D" w:rsidRDefault="00A92FC2" w:rsidP="0030560B">
                              <w:pPr>
                                <w:rPr>
                                  <w:rFonts w:eastAsia="Times New Roman"/>
                                  <w:lang w:eastAsia="zh-CN"/>
                                </w:rPr>
                              </w:pPr>
                            </w:p>
                          </w:tc>
                          <w:tc>
                            <w:tcPr>
                              <w:tcW w:w="10.0%" w:type="pct"/>
                              <w:tcBorders>
                                <w:top w:val="nil"/>
                                <w:start w:val="nil"/>
                                <w:bottom w:val="nil"/>
                                <w:end w:val="double" w:sz="4" w:space="0" w:color="000000" w:themeColor="text1"/>
                              </w:tcBorders>
                              <w:shd w:val="clear" w:color="auto" w:fill="auto"/>
                              <w:noWrap/>
                              <w:vAlign w:val="bottom"/>
                              <w:hideMark/>
                            </w:tcPr>
                            <w:p w14:paraId="38EB02E9" w14:textId="77777777" w:rsidR="00A92FC2" w:rsidRPr="008A604D" w:rsidRDefault="00A92FC2" w:rsidP="0030560B">
                              <w:pPr>
                                <w:rPr>
                                  <w:rFonts w:eastAsia="Times New Roman"/>
                                  <w:lang w:eastAsia="zh-CN"/>
                                </w:rPr>
                              </w:pPr>
                            </w:p>
                          </w:tc>
                        </w:tr>
                        <w:tr w:rsidR="000675DE" w:rsidRPr="0059318B" w14:paraId="36671423" w14:textId="77777777" w:rsidTr="000675DE">
                          <w:trPr>
                            <w:trHeight w:val="308"/>
                          </w:trPr>
                          <w:tc>
                            <w:tcPr>
                              <w:tcW w:w="31.0%" w:type="pct"/>
                              <w:gridSpan w:val="2"/>
                              <w:vMerge/>
                              <w:tcBorders>
                                <w:top w:val="single" w:sz="4" w:space="0" w:color="BFBFBF" w:themeColor="background1" w:themeShade="BF"/>
                                <w:bottom w:val="double" w:sz="4" w:space="0" w:color="auto"/>
                                <w:end w:val="single" w:sz="4" w:space="0" w:color="BFBFBF" w:themeColor="background1" w:themeShade="BF"/>
                              </w:tcBorders>
                              <w:shd w:val="clear" w:color="auto" w:fill="auto"/>
                              <w:noWrap/>
                              <w:vAlign w:val="center"/>
                              <w:hideMark/>
                            </w:tcPr>
                            <w:p w14:paraId="3BA225EF" w14:textId="77777777" w:rsidR="00A92FC2" w:rsidRPr="008A604D" w:rsidRDefault="00A92FC2" w:rsidP="008A604D">
                              <w:pPr>
                                <w:rPr>
                                  <w:rFonts w:eastAsia="Times New Roman"/>
                                  <w:i/>
                                  <w:color w:val="000000"/>
                                  <w:lang w:eastAsia="zh-CN"/>
                                </w:rPr>
                              </w:pPr>
                            </w:p>
                          </w:tc>
                          <w:tc>
                            <w:tcPr>
                              <w:tcW w:w="28.0%" w:type="pct"/>
                              <w:tcBorders>
                                <w:top w:val="single" w:sz="4" w:space="0" w:color="BFBFBF" w:themeColor="background1" w:themeShade="BF"/>
                                <w:start w:val="single" w:sz="4" w:space="0" w:color="BFBFBF" w:themeColor="background1" w:themeShade="BF"/>
                                <w:bottom w:val="double" w:sz="4" w:space="0" w:color="auto"/>
                                <w:end w:val="double" w:sz="4" w:space="0" w:color="auto"/>
                              </w:tcBorders>
                              <w:vAlign w:val="center"/>
                            </w:tcPr>
                            <w:p w14:paraId="56960E53" w14:textId="77777777" w:rsidR="00A92FC2" w:rsidRPr="008A604D" w:rsidRDefault="00A92FC2" w:rsidP="008A604D">
                              <w:pPr>
                                <w:rPr>
                                  <w:rFonts w:eastAsia="Times New Roman"/>
                                  <w:i/>
                                  <w:color w:val="000000"/>
                                  <w:lang w:eastAsia="zh-CN"/>
                                </w:rPr>
                              </w:pPr>
                              <w:r w:rsidRPr="008A604D">
                                <w:rPr>
                                  <w:rFonts w:eastAsia="Times New Roman"/>
                                  <w:i/>
                                  <w:color w:val="000000"/>
                                  <w:lang w:eastAsia="zh-CN"/>
                                </w:rPr>
                                <w:t>Higher education</w:t>
                              </w:r>
                            </w:p>
                          </w:tc>
                          <w:tc>
                            <w:tcPr>
                              <w:tcW w:w="8.0%" w:type="pct"/>
                              <w:tcBorders>
                                <w:top w:val="single" w:sz="4" w:space="0" w:color="D9D9D9" w:themeColor="background1" w:themeShade="D9"/>
                                <w:start w:val="double" w:sz="4" w:space="0" w:color="auto"/>
                                <w:bottom w:val="double" w:sz="4" w:space="0" w:color="auto"/>
                                <w:end w:val="single" w:sz="4" w:space="0" w:color="D9D9D9" w:themeColor="background1" w:themeShade="D9"/>
                              </w:tcBorders>
                              <w:shd w:val="clear" w:color="auto" w:fill="auto"/>
                              <w:noWrap/>
                              <w:vAlign w:val="bottom"/>
                              <w:hideMark/>
                            </w:tcPr>
                            <w:p w14:paraId="55B07173"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58%</w:t>
                              </w:r>
                            </w:p>
                          </w:tc>
                          <w:tc>
                            <w:tcPr>
                              <w:tcW w:w="8.0%" w:type="pct"/>
                              <w:tcBorders>
                                <w:top w:val="nil"/>
                                <w:start w:val="single" w:sz="4" w:space="0" w:color="D9D9D9" w:themeColor="background1" w:themeShade="D9"/>
                                <w:bottom w:val="double" w:sz="4" w:space="0" w:color="auto"/>
                                <w:end w:val="nil"/>
                              </w:tcBorders>
                              <w:shd w:val="clear" w:color="auto" w:fill="auto"/>
                              <w:noWrap/>
                              <w:vAlign w:val="bottom"/>
                              <w:hideMark/>
                            </w:tcPr>
                            <w:p w14:paraId="6CFD26CF" w14:textId="77777777" w:rsidR="00A92FC2" w:rsidRPr="008A604D" w:rsidRDefault="00A92FC2" w:rsidP="0030560B">
                              <w:pPr>
                                <w:rPr>
                                  <w:rFonts w:eastAsia="Times New Roman"/>
                                  <w:color w:val="000000"/>
                                  <w:lang w:eastAsia="zh-CN"/>
                                </w:rPr>
                              </w:pPr>
                            </w:p>
                          </w:tc>
                          <w:tc>
                            <w:tcPr>
                              <w:tcW w:w="8.0%" w:type="pct"/>
                              <w:tcBorders>
                                <w:top w:val="nil"/>
                                <w:start w:val="nil"/>
                                <w:bottom w:val="double" w:sz="4" w:space="0" w:color="000000" w:themeColor="text1"/>
                                <w:end w:val="nil"/>
                              </w:tcBorders>
                              <w:shd w:val="clear" w:color="auto" w:fill="auto"/>
                              <w:noWrap/>
                              <w:vAlign w:val="bottom"/>
                              <w:hideMark/>
                            </w:tcPr>
                            <w:p w14:paraId="46C6D1D4" w14:textId="77777777" w:rsidR="00A92FC2" w:rsidRPr="008A604D" w:rsidRDefault="00A92FC2" w:rsidP="0030560B">
                              <w:pPr>
                                <w:rPr>
                                  <w:rFonts w:eastAsia="Times New Roman"/>
                                  <w:lang w:eastAsia="zh-CN"/>
                                </w:rPr>
                              </w:pPr>
                            </w:p>
                          </w:tc>
                          <w:tc>
                            <w:tcPr>
                              <w:tcW w:w="6.0%" w:type="pct"/>
                              <w:tcBorders>
                                <w:top w:val="nil"/>
                                <w:start w:val="nil"/>
                                <w:bottom w:val="double" w:sz="4" w:space="0" w:color="auto"/>
                                <w:end w:val="nil"/>
                              </w:tcBorders>
                              <w:shd w:val="clear" w:color="auto" w:fill="auto"/>
                              <w:noWrap/>
                              <w:vAlign w:val="bottom"/>
                              <w:hideMark/>
                            </w:tcPr>
                            <w:p w14:paraId="546C8AF4" w14:textId="77777777" w:rsidR="00A92FC2" w:rsidRPr="008A604D" w:rsidRDefault="00A92FC2" w:rsidP="0030560B">
                              <w:pPr>
                                <w:rPr>
                                  <w:rFonts w:eastAsia="Times New Roman"/>
                                  <w:lang w:eastAsia="zh-CN"/>
                                </w:rPr>
                              </w:pPr>
                            </w:p>
                          </w:tc>
                          <w:tc>
                            <w:tcPr>
                              <w:tcW w:w="10.0%" w:type="pct"/>
                              <w:tcBorders>
                                <w:top w:val="nil"/>
                                <w:start w:val="nil"/>
                                <w:bottom w:val="double" w:sz="4" w:space="0" w:color="auto"/>
                                <w:end w:val="double" w:sz="4" w:space="0" w:color="000000" w:themeColor="text1"/>
                              </w:tcBorders>
                              <w:shd w:val="clear" w:color="auto" w:fill="auto"/>
                              <w:noWrap/>
                              <w:vAlign w:val="bottom"/>
                              <w:hideMark/>
                            </w:tcPr>
                            <w:p w14:paraId="631BA3C8" w14:textId="77777777" w:rsidR="00A92FC2" w:rsidRPr="008A604D" w:rsidRDefault="00A92FC2" w:rsidP="0030560B">
                              <w:pPr>
                                <w:rPr>
                                  <w:rFonts w:eastAsia="Times New Roman"/>
                                  <w:lang w:eastAsia="zh-CN"/>
                                </w:rPr>
                              </w:pPr>
                            </w:p>
                          </w:tc>
                        </w:tr>
                        <w:tr w:rsidR="000675DE" w:rsidRPr="0059318B" w14:paraId="13351E67" w14:textId="77777777" w:rsidTr="000675DE">
                          <w:trPr>
                            <w:trHeight w:val="308"/>
                          </w:trPr>
                          <w:tc>
                            <w:tcPr>
                              <w:tcW w:w="19.0%" w:type="pct"/>
                              <w:vMerge w:val="restart"/>
                              <w:tcBorders>
                                <w:bottom w:val="single" w:sz="4" w:space="0" w:color="BFBFBF" w:themeColor="background1" w:themeShade="BF"/>
                                <w:end w:val="single" w:sz="4" w:space="0" w:color="BFBFBF" w:themeColor="background1" w:themeShade="BF"/>
                              </w:tcBorders>
                              <w:shd w:val="clear" w:color="auto" w:fill="auto"/>
                              <w:noWrap/>
                              <w:vAlign w:val="center"/>
                              <w:hideMark/>
                            </w:tcPr>
                            <w:p w14:paraId="41A251E4" w14:textId="77777777" w:rsidR="00B740C1" w:rsidRDefault="00B740C1" w:rsidP="008A604D">
                              <w:pPr>
                                <w:rPr>
                                  <w:rFonts w:eastAsia="Times New Roman"/>
                                  <w:i/>
                                  <w:color w:val="000000"/>
                                  <w:lang w:eastAsia="zh-CN"/>
                                </w:rPr>
                              </w:pPr>
                              <w:r w:rsidRPr="008A604D">
                                <w:rPr>
                                  <w:rFonts w:eastAsia="Times New Roman"/>
                                  <w:i/>
                                  <w:color w:val="000000"/>
                                  <w:lang w:eastAsia="zh-CN"/>
                                </w:rPr>
                                <w:t>Distance to CBD</w:t>
                              </w:r>
                              <w:r>
                                <w:rPr>
                                  <w:rFonts w:eastAsia="Times New Roman"/>
                                  <w:i/>
                                  <w:color w:val="000000"/>
                                  <w:lang w:eastAsia="zh-CN"/>
                                </w:rPr>
                                <w:t xml:space="preserve"> </w:t>
                              </w:r>
                            </w:p>
                            <w:p w14:paraId="2B7C4C72" w14:textId="4C21A421" w:rsidR="00B740C1" w:rsidRPr="008A604D" w:rsidRDefault="00B740C1" w:rsidP="008A604D">
                              <w:pPr>
                                <w:rPr>
                                  <w:rFonts w:eastAsia="Times New Roman"/>
                                  <w:i/>
                                  <w:color w:val="000000"/>
                                  <w:lang w:eastAsia="zh-CN"/>
                                </w:rPr>
                              </w:pPr>
                              <w:r>
                                <w:rPr>
                                  <w:rFonts w:eastAsia="Times New Roman"/>
                                  <w:i/>
                                  <w:color w:val="000000"/>
                                  <w:lang w:eastAsia="zh-CN"/>
                                </w:rPr>
                                <w:t>(km)</w:t>
                              </w:r>
                            </w:p>
                          </w:tc>
                          <w:tc>
                            <w:tcPr>
                              <w:tcW w:w="40.0%" w:type="pct"/>
                              <w:gridSpan w:val="2"/>
                              <w:tcBorders>
                                <w:start w:val="single" w:sz="4" w:space="0" w:color="BFBFBF" w:themeColor="background1" w:themeShade="BF"/>
                                <w:bottom w:val="single" w:sz="4" w:space="0" w:color="BFBFBF" w:themeColor="background1" w:themeShade="BF"/>
                                <w:end w:val="double" w:sz="4" w:space="0" w:color="auto"/>
                              </w:tcBorders>
                              <w:vAlign w:val="center"/>
                            </w:tcPr>
                            <w:p w14:paraId="019D1FE1" w14:textId="4E3A82D4" w:rsidR="00B740C1" w:rsidRPr="008A604D" w:rsidRDefault="00B740C1" w:rsidP="00B740C1">
                              <w:pPr>
                                <w:jc w:val="start"/>
                                <w:rPr>
                                  <w:rFonts w:eastAsia="Times New Roman"/>
                                  <w:i/>
                                  <w:color w:val="000000"/>
                                  <w:lang w:eastAsia="zh-CN"/>
                                </w:rPr>
                              </w:pPr>
                              <w:r w:rsidRPr="008A604D">
                                <w:rPr>
                                  <w:rFonts w:eastAsia="Times New Roman"/>
                                  <w:i/>
                                  <w:color w:val="000000"/>
                                  <w:lang w:eastAsia="zh-CN"/>
                                </w:rPr>
                                <w:t>Revealed</w:t>
                              </w:r>
                            </w:p>
                          </w:tc>
                          <w:tc>
                            <w:tcPr>
                              <w:tcW w:w="8.0%" w:type="pct"/>
                              <w:tcBorders>
                                <w:top w:val="nil"/>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03DC9EC8" w14:textId="77777777" w:rsidR="00B740C1" w:rsidRPr="008A604D" w:rsidRDefault="00B740C1" w:rsidP="0030560B">
                              <w:pPr>
                                <w:rPr>
                                  <w:rFonts w:eastAsia="Times New Roman"/>
                                  <w:color w:val="000000"/>
                                  <w:lang w:eastAsia="zh-CN"/>
                                </w:rPr>
                              </w:pPr>
                              <w:r w:rsidRPr="008A604D">
                                <w:rPr>
                                  <w:rFonts w:eastAsia="Times New Roman"/>
                                  <w:color w:val="000000"/>
                                  <w:lang w:eastAsia="zh-CN"/>
                                </w:rPr>
                                <w:t>100%</w:t>
                              </w:r>
                            </w:p>
                          </w:tc>
                          <w:tc>
                            <w:tcPr>
                              <w:tcW w:w="8.0%" w:type="pct"/>
                              <w:tcBorders>
                                <w:top w:val="nil"/>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41C4204B" w14:textId="77777777" w:rsidR="00B740C1" w:rsidRPr="008A604D" w:rsidRDefault="00B740C1" w:rsidP="0030560B">
                              <w:pPr>
                                <w:rPr>
                                  <w:rFonts w:eastAsia="Times New Roman"/>
                                  <w:color w:val="000000"/>
                                  <w:lang w:eastAsia="zh-CN"/>
                                </w:rPr>
                              </w:pPr>
                              <w:r w:rsidRPr="008A604D">
                                <w:rPr>
                                  <w:color w:val="000000"/>
                                </w:rPr>
                                <w:t>12</w:t>
                              </w:r>
                            </w:p>
                          </w:tc>
                          <w:tc>
                            <w:tcPr>
                              <w:tcW w:w="8.0%" w:type="pct"/>
                              <w:tcBorders>
                                <w:top w:val="double" w:sz="4" w:space="0" w:color="000000" w:themeColor="text1"/>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1C17C715" w14:textId="77777777" w:rsidR="00B740C1" w:rsidRPr="008A604D" w:rsidRDefault="00B740C1" w:rsidP="0030560B">
                              <w:pPr>
                                <w:rPr>
                                  <w:rFonts w:eastAsia="Times New Roman"/>
                                  <w:color w:val="000000"/>
                                  <w:lang w:eastAsia="zh-CN"/>
                                </w:rPr>
                              </w:pPr>
                              <w:r w:rsidRPr="008A604D">
                                <w:rPr>
                                  <w:color w:val="000000"/>
                                </w:rPr>
                                <w:t>9.9</w:t>
                              </w:r>
                            </w:p>
                          </w:tc>
                          <w:tc>
                            <w:tcPr>
                              <w:tcW w:w="6.0%" w:type="pct"/>
                              <w:tcBorders>
                                <w:top w:val="nil"/>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573D1F15" w14:textId="77777777" w:rsidR="00B740C1" w:rsidRPr="008A604D" w:rsidRDefault="00B740C1" w:rsidP="0030560B">
                              <w:pPr>
                                <w:rPr>
                                  <w:rFonts w:eastAsia="Times New Roman"/>
                                  <w:color w:val="000000"/>
                                  <w:lang w:eastAsia="zh-CN"/>
                                </w:rPr>
                              </w:pPr>
                              <w:r w:rsidRPr="008A604D">
                                <w:rPr>
                                  <w:color w:val="000000"/>
                                </w:rPr>
                                <w:t>0</w:t>
                              </w:r>
                            </w:p>
                          </w:tc>
                          <w:tc>
                            <w:tcPr>
                              <w:tcW w:w="10.0%" w:type="pct"/>
                              <w:tcBorders>
                                <w:top w:val="nil"/>
                                <w:start w:val="single" w:sz="4" w:space="0" w:color="D9D9D9" w:themeColor="background1" w:themeShade="D9"/>
                                <w:bottom w:val="single" w:sz="4" w:space="0" w:color="D9D9D9" w:themeColor="background1" w:themeShade="D9"/>
                                <w:end w:val="double" w:sz="4" w:space="0" w:color="000000" w:themeColor="text1"/>
                              </w:tcBorders>
                              <w:shd w:val="clear" w:color="auto" w:fill="auto"/>
                              <w:noWrap/>
                              <w:vAlign w:val="bottom"/>
                              <w:hideMark/>
                            </w:tcPr>
                            <w:p w14:paraId="5EDE5A25" w14:textId="77777777" w:rsidR="00B740C1" w:rsidRPr="008A604D" w:rsidRDefault="00B740C1" w:rsidP="0030560B">
                              <w:pPr>
                                <w:rPr>
                                  <w:rFonts w:eastAsia="Times New Roman"/>
                                  <w:color w:val="000000"/>
                                  <w:lang w:eastAsia="zh-CN"/>
                                </w:rPr>
                              </w:pPr>
                              <w:r w:rsidRPr="008A604D">
                                <w:rPr>
                                  <w:color w:val="000000"/>
                                </w:rPr>
                                <w:t>38</w:t>
                              </w:r>
                            </w:p>
                          </w:tc>
                        </w:tr>
                        <w:tr w:rsidR="000675DE" w:rsidRPr="0059318B" w14:paraId="721452EF" w14:textId="77777777" w:rsidTr="000675DE">
                          <w:trPr>
                            <w:trHeight w:val="308"/>
                          </w:trPr>
                          <w:tc>
                            <w:tcPr>
                              <w:tcW w:w="19.0%" w:type="pct"/>
                              <w:vMerge/>
                              <w:tcBorders>
                                <w:top w:val="single" w:sz="4" w:space="0" w:color="BFBFBF" w:themeColor="background1" w:themeShade="BF"/>
                                <w:bottom w:val="double" w:sz="4" w:space="0" w:color="auto"/>
                                <w:end w:val="single" w:sz="4" w:space="0" w:color="BFBFBF" w:themeColor="background1" w:themeShade="BF"/>
                              </w:tcBorders>
                              <w:shd w:val="clear" w:color="auto" w:fill="auto"/>
                              <w:noWrap/>
                              <w:vAlign w:val="center"/>
                              <w:hideMark/>
                            </w:tcPr>
                            <w:p w14:paraId="77DC0A8A" w14:textId="77777777" w:rsidR="00B740C1" w:rsidRPr="008A604D" w:rsidRDefault="00B740C1" w:rsidP="008A604D">
                              <w:pPr>
                                <w:rPr>
                                  <w:rFonts w:eastAsia="Times New Roman"/>
                                  <w:i/>
                                  <w:color w:val="000000"/>
                                  <w:lang w:eastAsia="zh-CN"/>
                                </w:rPr>
                              </w:pPr>
                            </w:p>
                          </w:tc>
                          <w:tc>
                            <w:tcPr>
                              <w:tcW w:w="40.0%" w:type="pct"/>
                              <w:gridSpan w:val="2"/>
                              <w:tcBorders>
                                <w:top w:val="single" w:sz="4" w:space="0" w:color="BFBFBF" w:themeColor="background1" w:themeShade="BF"/>
                                <w:start w:val="single" w:sz="4" w:space="0" w:color="BFBFBF" w:themeColor="background1" w:themeShade="BF"/>
                                <w:bottom w:val="double" w:sz="4" w:space="0" w:color="000000" w:themeColor="text1"/>
                                <w:end w:val="double" w:sz="4" w:space="0" w:color="auto"/>
                              </w:tcBorders>
                              <w:vAlign w:val="center"/>
                            </w:tcPr>
                            <w:p w14:paraId="7A10B344" w14:textId="448FED62" w:rsidR="00B740C1" w:rsidRPr="008A604D" w:rsidRDefault="00B740C1" w:rsidP="00B740C1">
                              <w:pPr>
                                <w:jc w:val="start"/>
                                <w:rPr>
                                  <w:rFonts w:eastAsia="Times New Roman"/>
                                  <w:i/>
                                  <w:color w:val="000000"/>
                                  <w:lang w:eastAsia="zh-CN"/>
                                </w:rPr>
                              </w:pPr>
                              <w:r w:rsidRPr="008A604D">
                                <w:rPr>
                                  <w:rFonts w:eastAsia="Times New Roman"/>
                                  <w:i/>
                                  <w:color w:val="000000"/>
                                  <w:lang w:eastAsia="zh-CN"/>
                                </w:rPr>
                                <w:t>Stated</w:t>
                              </w:r>
                            </w:p>
                          </w:tc>
                          <w:tc>
                            <w:tcPr>
                              <w:tcW w:w="8.0%" w:type="pct"/>
                              <w:tcBorders>
                                <w:top w:val="single" w:sz="4" w:space="0" w:color="D9D9D9" w:themeColor="background1" w:themeShade="D9"/>
                                <w:start w:val="double" w:sz="4" w:space="0" w:color="auto"/>
                                <w:bottom w:val="double" w:sz="4" w:space="0" w:color="000000" w:themeColor="text1"/>
                                <w:end w:val="single" w:sz="4" w:space="0" w:color="D9D9D9" w:themeColor="background1" w:themeShade="D9"/>
                              </w:tcBorders>
                              <w:shd w:val="clear" w:color="auto" w:fill="auto"/>
                              <w:noWrap/>
                              <w:vAlign w:val="bottom"/>
                              <w:hideMark/>
                            </w:tcPr>
                            <w:p w14:paraId="6DBA3488" w14:textId="77777777" w:rsidR="00B740C1" w:rsidRPr="008A604D" w:rsidRDefault="00B740C1" w:rsidP="0030560B">
                              <w:pPr>
                                <w:rPr>
                                  <w:rFonts w:eastAsia="Times New Roman"/>
                                  <w:color w:val="000000"/>
                                  <w:lang w:eastAsia="zh-CN"/>
                                </w:rPr>
                              </w:pPr>
                              <w:r w:rsidRPr="008A604D">
                                <w:rPr>
                                  <w:rFonts w:eastAsia="Times New Roman"/>
                                  <w:color w:val="000000"/>
                                  <w:lang w:eastAsia="zh-CN"/>
                                </w:rPr>
                                <w:t>100%</w:t>
                              </w:r>
                            </w:p>
                          </w:tc>
                          <w:tc>
                            <w:tcPr>
                              <w:tcW w:w="8.0%" w:type="pct"/>
                              <w:tcBorders>
                                <w:top w:val="single" w:sz="4" w:space="0" w:color="D9D9D9" w:themeColor="background1" w:themeShade="D9"/>
                                <w:start w:val="single" w:sz="4" w:space="0" w:color="D9D9D9" w:themeColor="background1" w:themeShade="D9"/>
                                <w:bottom w:val="double" w:sz="4" w:space="0" w:color="000000" w:themeColor="text1"/>
                                <w:end w:val="single" w:sz="4" w:space="0" w:color="D9D9D9" w:themeColor="background1" w:themeShade="D9"/>
                              </w:tcBorders>
                              <w:shd w:val="clear" w:color="auto" w:fill="auto"/>
                              <w:noWrap/>
                              <w:vAlign w:val="bottom"/>
                              <w:hideMark/>
                            </w:tcPr>
                            <w:p w14:paraId="1B7E36ED" w14:textId="77777777" w:rsidR="00B740C1" w:rsidRPr="008A604D" w:rsidRDefault="00B740C1" w:rsidP="0030560B">
                              <w:pPr>
                                <w:rPr>
                                  <w:rFonts w:eastAsia="Times New Roman"/>
                                  <w:color w:val="000000"/>
                                  <w:lang w:eastAsia="zh-CN"/>
                                </w:rPr>
                              </w:pPr>
                              <w:r w:rsidRPr="008A604D">
                                <w:rPr>
                                  <w:color w:val="000000"/>
                                </w:rPr>
                                <w:t>9.9</w:t>
                              </w:r>
                            </w:p>
                          </w:tc>
                          <w:tc>
                            <w:tcPr>
                              <w:tcW w:w="8.0%" w:type="pct"/>
                              <w:tcBorders>
                                <w:top w:val="single" w:sz="4" w:space="0" w:color="D9D9D9" w:themeColor="background1" w:themeShade="D9"/>
                                <w:start w:val="single" w:sz="4" w:space="0" w:color="D9D9D9" w:themeColor="background1" w:themeShade="D9"/>
                                <w:bottom w:val="double" w:sz="4" w:space="0" w:color="000000" w:themeColor="text1"/>
                                <w:end w:val="single" w:sz="4" w:space="0" w:color="D9D9D9" w:themeColor="background1" w:themeShade="D9"/>
                              </w:tcBorders>
                              <w:shd w:val="clear" w:color="auto" w:fill="auto"/>
                              <w:noWrap/>
                              <w:vAlign w:val="bottom"/>
                              <w:hideMark/>
                            </w:tcPr>
                            <w:p w14:paraId="540DDCC4" w14:textId="77777777" w:rsidR="00B740C1" w:rsidRPr="008A604D" w:rsidRDefault="00B740C1" w:rsidP="0030560B">
                              <w:pPr>
                                <w:rPr>
                                  <w:rFonts w:eastAsia="Times New Roman"/>
                                  <w:color w:val="000000"/>
                                  <w:lang w:eastAsia="zh-CN"/>
                                </w:rPr>
                              </w:pPr>
                              <w:r w:rsidRPr="008A604D">
                                <w:rPr>
                                  <w:color w:val="000000"/>
                                </w:rPr>
                                <w:t>9.3</w:t>
                              </w:r>
                            </w:p>
                          </w:tc>
                          <w:tc>
                            <w:tcPr>
                              <w:tcW w:w="6.0%" w:type="pct"/>
                              <w:tcBorders>
                                <w:top w:val="single" w:sz="4" w:space="0" w:color="D9D9D9" w:themeColor="background1" w:themeShade="D9"/>
                                <w:start w:val="single" w:sz="4" w:space="0" w:color="D9D9D9" w:themeColor="background1" w:themeShade="D9"/>
                                <w:bottom w:val="double" w:sz="4" w:space="0" w:color="000000" w:themeColor="text1"/>
                                <w:end w:val="single" w:sz="4" w:space="0" w:color="D9D9D9" w:themeColor="background1" w:themeShade="D9"/>
                              </w:tcBorders>
                              <w:shd w:val="clear" w:color="auto" w:fill="auto"/>
                              <w:noWrap/>
                              <w:vAlign w:val="bottom"/>
                              <w:hideMark/>
                            </w:tcPr>
                            <w:p w14:paraId="32DB2DA9" w14:textId="77777777" w:rsidR="00B740C1" w:rsidRPr="008A604D" w:rsidRDefault="00B740C1" w:rsidP="0030560B">
                              <w:pPr>
                                <w:rPr>
                                  <w:rFonts w:eastAsia="Times New Roman"/>
                                  <w:color w:val="000000"/>
                                  <w:lang w:eastAsia="zh-CN"/>
                                </w:rPr>
                              </w:pPr>
                              <w:r w:rsidRPr="008A604D">
                                <w:rPr>
                                  <w:color w:val="000000"/>
                                </w:rPr>
                                <w:t>0</w:t>
                              </w:r>
                            </w:p>
                          </w:tc>
                          <w:tc>
                            <w:tcPr>
                              <w:tcW w:w="10.0%" w:type="pct"/>
                              <w:tcBorders>
                                <w:top w:val="single" w:sz="4" w:space="0" w:color="D9D9D9" w:themeColor="background1" w:themeShade="D9"/>
                                <w:start w:val="single" w:sz="4" w:space="0" w:color="D9D9D9" w:themeColor="background1" w:themeShade="D9"/>
                                <w:bottom w:val="double" w:sz="4" w:space="0" w:color="000000" w:themeColor="text1"/>
                                <w:end w:val="double" w:sz="4" w:space="0" w:color="000000" w:themeColor="text1"/>
                              </w:tcBorders>
                              <w:shd w:val="clear" w:color="auto" w:fill="auto"/>
                              <w:noWrap/>
                              <w:vAlign w:val="bottom"/>
                              <w:hideMark/>
                            </w:tcPr>
                            <w:p w14:paraId="1D7379CC" w14:textId="77777777" w:rsidR="00B740C1" w:rsidRPr="008A604D" w:rsidRDefault="00B740C1" w:rsidP="0030560B">
                              <w:pPr>
                                <w:rPr>
                                  <w:rFonts w:eastAsia="Times New Roman"/>
                                  <w:color w:val="000000"/>
                                  <w:lang w:eastAsia="zh-CN"/>
                                </w:rPr>
                              </w:pPr>
                              <w:r w:rsidRPr="008A604D">
                                <w:rPr>
                                  <w:color w:val="000000"/>
                                </w:rPr>
                                <w:t>37</w:t>
                              </w:r>
                            </w:p>
                          </w:tc>
                        </w:tr>
                        <w:tr w:rsidR="000675DE" w:rsidRPr="0059318B" w14:paraId="28396992" w14:textId="77777777" w:rsidTr="000675DE">
                          <w:trPr>
                            <w:trHeight w:val="308"/>
                          </w:trPr>
                          <w:tc>
                            <w:tcPr>
                              <w:tcW w:w="19.0%" w:type="pct"/>
                              <w:vMerge w:val="restart"/>
                              <w:tcBorders>
                                <w:bottom w:val="single" w:sz="4" w:space="0" w:color="BFBFBF" w:themeColor="background1" w:themeShade="BF"/>
                                <w:end w:val="single" w:sz="4" w:space="0" w:color="BFBFBF" w:themeColor="background1" w:themeShade="BF"/>
                              </w:tcBorders>
                              <w:shd w:val="clear" w:color="auto" w:fill="auto"/>
                              <w:noWrap/>
                              <w:vAlign w:val="center"/>
                            </w:tcPr>
                            <w:p w14:paraId="39056425" w14:textId="77777777" w:rsidR="00B740C1" w:rsidRPr="008A604D" w:rsidRDefault="00B740C1" w:rsidP="008A604D">
                              <w:pPr>
                                <w:rPr>
                                  <w:rFonts w:eastAsia="Times New Roman"/>
                                  <w:i/>
                                  <w:color w:val="000000"/>
                                  <w:lang w:eastAsia="zh-CN"/>
                                </w:rPr>
                              </w:pPr>
                              <w:r w:rsidRPr="008A604D">
                                <w:rPr>
                                  <w:rFonts w:eastAsia="Times New Roman"/>
                                  <w:i/>
                                  <w:color w:val="000000"/>
                                  <w:lang w:eastAsia="zh-CN"/>
                                </w:rPr>
                                <w:t>Monthly</w:t>
                              </w:r>
                            </w:p>
                            <w:p w14:paraId="7DCA1201" w14:textId="77777777" w:rsidR="00B740C1" w:rsidRDefault="00B740C1" w:rsidP="008A604D">
                              <w:pPr>
                                <w:rPr>
                                  <w:rFonts w:eastAsia="Times New Roman"/>
                                  <w:i/>
                                  <w:color w:val="000000"/>
                                  <w:lang w:eastAsia="zh-CN"/>
                                </w:rPr>
                              </w:pPr>
                              <w:r w:rsidRPr="008A604D">
                                <w:rPr>
                                  <w:rFonts w:eastAsia="Times New Roman"/>
                                  <w:i/>
                                  <w:color w:val="000000"/>
                                  <w:lang w:eastAsia="zh-CN"/>
                                </w:rPr>
                                <w:t>parking cost</w:t>
                              </w:r>
                              <w:r>
                                <w:rPr>
                                  <w:rFonts w:eastAsia="Times New Roman"/>
                                  <w:i/>
                                  <w:color w:val="000000"/>
                                  <w:lang w:eastAsia="zh-CN"/>
                                </w:rPr>
                                <w:t xml:space="preserve">s </w:t>
                              </w:r>
                            </w:p>
                            <w:p w14:paraId="10BE9423" w14:textId="53083AF1" w:rsidR="00B740C1" w:rsidRPr="008A604D" w:rsidRDefault="00B740C1" w:rsidP="008A604D">
                              <w:pPr>
                                <w:rPr>
                                  <w:rFonts w:eastAsia="Times New Roman"/>
                                  <w:i/>
                                  <w:color w:val="000000"/>
                                  <w:lang w:eastAsia="zh-CN"/>
                                </w:rPr>
                              </w:pPr>
                              <w:r>
                                <w:rPr>
                                  <w:rFonts w:eastAsia="Times New Roman"/>
                                  <w:i/>
                                  <w:color w:val="000000"/>
                                  <w:lang w:eastAsia="zh-CN"/>
                                </w:rPr>
                                <w:t>(€)</w:t>
                              </w:r>
                            </w:p>
                          </w:tc>
                          <w:tc>
                            <w:tcPr>
                              <w:tcW w:w="40.0%" w:type="pct"/>
                              <w:gridSpan w:val="2"/>
                              <w:tcBorders>
                                <w:start w:val="single" w:sz="4" w:space="0" w:color="BFBFBF" w:themeColor="background1" w:themeShade="BF"/>
                                <w:bottom w:val="single" w:sz="4" w:space="0" w:color="BFBFBF" w:themeColor="background1" w:themeShade="BF"/>
                                <w:end w:val="double" w:sz="4" w:space="0" w:color="auto"/>
                              </w:tcBorders>
                              <w:vAlign w:val="center"/>
                            </w:tcPr>
                            <w:p w14:paraId="5FDE424C" w14:textId="05624F06" w:rsidR="00B740C1" w:rsidRPr="008A604D" w:rsidRDefault="00B740C1" w:rsidP="00B740C1">
                              <w:pPr>
                                <w:jc w:val="start"/>
                                <w:rPr>
                                  <w:rFonts w:eastAsia="Times New Roman"/>
                                  <w:i/>
                                  <w:color w:val="000000"/>
                                  <w:lang w:eastAsia="zh-CN"/>
                                </w:rPr>
                              </w:pPr>
                              <w:r w:rsidRPr="008A604D">
                                <w:rPr>
                                  <w:rFonts w:eastAsia="Times New Roman"/>
                                  <w:i/>
                                  <w:color w:val="000000"/>
                                  <w:lang w:eastAsia="zh-CN"/>
                                </w:rPr>
                                <w:t>Revealed</w:t>
                              </w:r>
                            </w:p>
                          </w:tc>
                          <w:tc>
                            <w:tcPr>
                              <w:tcW w:w="8.0%" w:type="pct"/>
                              <w:tcBorders>
                                <w:top w:val="single" w:sz="4" w:space="0" w:color="D9D9D9" w:themeColor="background1" w:themeShade="D9"/>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6CA2521F" w14:textId="77777777" w:rsidR="00B740C1" w:rsidRPr="008A604D" w:rsidRDefault="00B740C1" w:rsidP="0030560B">
                              <w:pPr>
                                <w:rPr>
                                  <w:rFonts w:eastAsia="Times New Roman"/>
                                  <w:color w:val="000000"/>
                                  <w:lang w:eastAsia="zh-CN"/>
                                </w:rPr>
                              </w:pPr>
                              <w:r w:rsidRPr="008A604D">
                                <w:rPr>
                                  <w:rFonts w:eastAsia="Times New Roman"/>
                                  <w:color w:val="000000"/>
                                  <w:lang w:eastAsia="zh-CN"/>
                                </w:rPr>
                                <w:t>100%</w:t>
                              </w:r>
                            </w:p>
                          </w:tc>
                          <w:tc>
                            <w:tcPr>
                              <w:tcW w:w="8.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2A355A69" w14:textId="77777777" w:rsidR="00B740C1" w:rsidRPr="008A604D" w:rsidRDefault="00B740C1" w:rsidP="0030560B">
                              <w:pPr>
                                <w:rPr>
                                  <w:rFonts w:eastAsia="Times New Roman"/>
                                  <w:color w:val="000000"/>
                                  <w:lang w:eastAsia="zh-CN"/>
                                </w:rPr>
                              </w:pPr>
                              <w:r w:rsidRPr="008A604D">
                                <w:rPr>
                                  <w:color w:val="000000"/>
                                </w:rPr>
                                <w:t>4.5</w:t>
                              </w:r>
                            </w:p>
                          </w:tc>
                          <w:tc>
                            <w:tcPr>
                              <w:tcW w:w="8.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5BDA3E64" w14:textId="77777777" w:rsidR="00B740C1" w:rsidRPr="008A604D" w:rsidRDefault="00B740C1" w:rsidP="0030560B">
                              <w:pPr>
                                <w:rPr>
                                  <w:rFonts w:eastAsia="Times New Roman"/>
                                  <w:color w:val="000000"/>
                                  <w:lang w:eastAsia="zh-CN"/>
                                </w:rPr>
                              </w:pPr>
                              <w:r w:rsidRPr="008A604D">
                                <w:rPr>
                                  <w:color w:val="000000"/>
                                </w:rPr>
                                <w:t>17</w:t>
                              </w:r>
                            </w:p>
                          </w:tc>
                          <w:tc>
                            <w:tcPr>
                              <w:tcW w:w="6.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5E9870C5" w14:textId="77777777" w:rsidR="00B740C1" w:rsidRPr="008A604D" w:rsidRDefault="00B740C1" w:rsidP="0030560B">
                              <w:pPr>
                                <w:rPr>
                                  <w:rFonts w:eastAsia="Times New Roman"/>
                                  <w:color w:val="000000"/>
                                  <w:lang w:eastAsia="zh-CN"/>
                                </w:rPr>
                              </w:pPr>
                              <w:r w:rsidRPr="008A604D">
                                <w:rPr>
                                  <w:color w:val="000000"/>
                                </w:rPr>
                                <w:t>0</w:t>
                              </w:r>
                            </w:p>
                          </w:tc>
                          <w:tc>
                            <w:tcPr>
                              <w:tcW w:w="10.0%" w:type="pct"/>
                              <w:tcBorders>
                                <w:top w:val="single" w:sz="4" w:space="0" w:color="D9D9D9" w:themeColor="background1" w:themeShade="D9"/>
                                <w:start w:val="single" w:sz="4" w:space="0" w:color="D9D9D9" w:themeColor="background1" w:themeShade="D9"/>
                                <w:bottom w:val="single" w:sz="4" w:space="0" w:color="D9D9D9" w:themeColor="background1" w:themeShade="D9"/>
                                <w:end w:val="double" w:sz="4" w:space="0" w:color="000000" w:themeColor="text1"/>
                              </w:tcBorders>
                              <w:shd w:val="clear" w:color="auto" w:fill="auto"/>
                              <w:noWrap/>
                              <w:vAlign w:val="bottom"/>
                              <w:hideMark/>
                            </w:tcPr>
                            <w:p w14:paraId="192B2BBB" w14:textId="77777777" w:rsidR="00B740C1" w:rsidRPr="008A604D" w:rsidRDefault="00B740C1" w:rsidP="0030560B">
                              <w:pPr>
                                <w:rPr>
                                  <w:rFonts w:eastAsia="Times New Roman"/>
                                  <w:color w:val="000000"/>
                                  <w:lang w:eastAsia="zh-CN"/>
                                </w:rPr>
                              </w:pPr>
                              <w:r w:rsidRPr="008A604D">
                                <w:rPr>
                                  <w:color w:val="000000"/>
                                </w:rPr>
                                <w:t>160</w:t>
                              </w:r>
                            </w:p>
                          </w:tc>
                        </w:tr>
                        <w:tr w:rsidR="000675DE" w:rsidRPr="0059318B" w14:paraId="6E7DC0D0" w14:textId="77777777" w:rsidTr="000675DE">
                          <w:trPr>
                            <w:trHeight w:val="308"/>
                          </w:trPr>
                          <w:tc>
                            <w:tcPr>
                              <w:tcW w:w="19.0%" w:type="pct"/>
                              <w:vMerge/>
                              <w:tcBorders>
                                <w:top w:val="single" w:sz="4" w:space="0" w:color="BFBFBF" w:themeColor="background1" w:themeShade="BF"/>
                                <w:bottom w:val="double" w:sz="4" w:space="0" w:color="auto"/>
                                <w:end w:val="single" w:sz="4" w:space="0" w:color="BFBFBF" w:themeColor="background1" w:themeShade="BF"/>
                              </w:tcBorders>
                              <w:shd w:val="clear" w:color="auto" w:fill="auto"/>
                              <w:noWrap/>
                              <w:vAlign w:val="center"/>
                              <w:hideMark/>
                            </w:tcPr>
                            <w:p w14:paraId="3D93C834" w14:textId="3303EF70" w:rsidR="00B740C1" w:rsidRPr="008A604D" w:rsidRDefault="00B740C1" w:rsidP="008A604D">
                              <w:pPr>
                                <w:rPr>
                                  <w:rFonts w:eastAsia="Times New Roman"/>
                                  <w:i/>
                                  <w:color w:val="000000"/>
                                  <w:lang w:eastAsia="zh-CN"/>
                                </w:rPr>
                              </w:pPr>
                            </w:p>
                          </w:tc>
                          <w:tc>
                            <w:tcPr>
                              <w:tcW w:w="40.0%" w:type="pct"/>
                              <w:gridSpan w:val="2"/>
                              <w:tcBorders>
                                <w:top w:val="single" w:sz="4" w:space="0" w:color="BFBFBF" w:themeColor="background1" w:themeShade="BF"/>
                                <w:start w:val="single" w:sz="4" w:space="0" w:color="BFBFBF" w:themeColor="background1" w:themeShade="BF"/>
                                <w:bottom w:val="double" w:sz="4" w:space="0" w:color="auto"/>
                                <w:end w:val="double" w:sz="4" w:space="0" w:color="auto"/>
                              </w:tcBorders>
                              <w:vAlign w:val="center"/>
                            </w:tcPr>
                            <w:p w14:paraId="2A2CBC16" w14:textId="6E3B05F3" w:rsidR="00B740C1" w:rsidRPr="008A604D" w:rsidRDefault="00B740C1" w:rsidP="00B740C1">
                              <w:pPr>
                                <w:jc w:val="start"/>
                                <w:rPr>
                                  <w:rFonts w:eastAsia="Times New Roman"/>
                                  <w:i/>
                                  <w:color w:val="000000"/>
                                  <w:lang w:eastAsia="zh-CN"/>
                                </w:rPr>
                              </w:pPr>
                              <w:r w:rsidRPr="008A604D">
                                <w:rPr>
                                  <w:rFonts w:eastAsia="Times New Roman"/>
                                  <w:i/>
                                  <w:color w:val="000000"/>
                                  <w:lang w:eastAsia="zh-CN"/>
                                </w:rPr>
                                <w:t>Stated</w:t>
                              </w:r>
                            </w:p>
                          </w:tc>
                          <w:tc>
                            <w:tcPr>
                              <w:tcW w:w="8.0%" w:type="pct"/>
                              <w:tcBorders>
                                <w:top w:val="single" w:sz="4" w:space="0" w:color="D9D9D9" w:themeColor="background1" w:themeShade="D9"/>
                                <w:start w:val="double" w:sz="4" w:space="0" w:color="auto"/>
                                <w:bottom w:val="double" w:sz="4" w:space="0" w:color="auto"/>
                                <w:end w:val="single" w:sz="4" w:space="0" w:color="D9D9D9" w:themeColor="background1" w:themeShade="D9"/>
                              </w:tcBorders>
                              <w:shd w:val="clear" w:color="auto" w:fill="auto"/>
                              <w:noWrap/>
                              <w:vAlign w:val="bottom"/>
                              <w:hideMark/>
                            </w:tcPr>
                            <w:p w14:paraId="113862EC" w14:textId="77777777" w:rsidR="00B740C1" w:rsidRPr="008A604D" w:rsidRDefault="00B740C1" w:rsidP="0030560B">
                              <w:pPr>
                                <w:rPr>
                                  <w:rFonts w:eastAsia="Times New Roman"/>
                                  <w:color w:val="000000"/>
                                  <w:lang w:eastAsia="zh-CN"/>
                                </w:rPr>
                              </w:pPr>
                              <w:r w:rsidRPr="008A604D">
                                <w:rPr>
                                  <w:rFonts w:eastAsia="Times New Roman"/>
                                  <w:color w:val="000000"/>
                                  <w:lang w:eastAsia="zh-CN"/>
                                </w:rPr>
                                <w:t>100%</w:t>
                              </w:r>
                            </w:p>
                          </w:tc>
                          <w:tc>
                            <w:tcPr>
                              <w:tcW w:w="8.0%" w:type="pct"/>
                              <w:tcBorders>
                                <w:top w:val="single" w:sz="4" w:space="0" w:color="D9D9D9" w:themeColor="background1" w:themeShade="D9"/>
                                <w:start w:val="single" w:sz="4" w:space="0" w:color="D9D9D9" w:themeColor="background1" w:themeShade="D9"/>
                                <w:bottom w:val="double" w:sz="4" w:space="0" w:color="auto"/>
                                <w:end w:val="single" w:sz="4" w:space="0" w:color="D9D9D9" w:themeColor="background1" w:themeShade="D9"/>
                              </w:tcBorders>
                              <w:shd w:val="clear" w:color="auto" w:fill="auto"/>
                              <w:noWrap/>
                              <w:vAlign w:val="bottom"/>
                              <w:hideMark/>
                            </w:tcPr>
                            <w:p w14:paraId="3B37C3CA" w14:textId="77777777" w:rsidR="00B740C1" w:rsidRPr="008A604D" w:rsidRDefault="00B740C1" w:rsidP="0030560B">
                              <w:pPr>
                                <w:rPr>
                                  <w:rFonts w:eastAsia="Times New Roman"/>
                                  <w:color w:val="000000"/>
                                  <w:lang w:eastAsia="zh-CN"/>
                                </w:rPr>
                              </w:pPr>
                              <w:r w:rsidRPr="008A604D">
                                <w:rPr>
                                  <w:color w:val="000000"/>
                                </w:rPr>
                                <w:t>22.2</w:t>
                              </w:r>
                            </w:p>
                          </w:tc>
                          <w:tc>
                            <w:tcPr>
                              <w:tcW w:w="8.0%" w:type="pct"/>
                              <w:tcBorders>
                                <w:top w:val="single" w:sz="4" w:space="0" w:color="D9D9D9" w:themeColor="background1" w:themeShade="D9"/>
                                <w:start w:val="single" w:sz="4" w:space="0" w:color="D9D9D9" w:themeColor="background1" w:themeShade="D9"/>
                                <w:bottom w:val="double" w:sz="4" w:space="0" w:color="auto"/>
                                <w:end w:val="single" w:sz="4" w:space="0" w:color="D9D9D9" w:themeColor="background1" w:themeShade="D9"/>
                              </w:tcBorders>
                              <w:shd w:val="clear" w:color="auto" w:fill="auto"/>
                              <w:noWrap/>
                              <w:vAlign w:val="bottom"/>
                              <w:hideMark/>
                            </w:tcPr>
                            <w:p w14:paraId="655EDDDE" w14:textId="77777777" w:rsidR="00B740C1" w:rsidRPr="008A604D" w:rsidRDefault="00B740C1" w:rsidP="0030560B">
                              <w:pPr>
                                <w:rPr>
                                  <w:rFonts w:eastAsia="Times New Roman"/>
                                  <w:color w:val="000000"/>
                                  <w:lang w:eastAsia="zh-CN"/>
                                </w:rPr>
                              </w:pPr>
                              <w:r w:rsidRPr="008A604D">
                                <w:rPr>
                                  <w:color w:val="000000"/>
                                </w:rPr>
                                <w:t>40</w:t>
                              </w:r>
                            </w:p>
                          </w:tc>
                          <w:tc>
                            <w:tcPr>
                              <w:tcW w:w="6.0%" w:type="pct"/>
                              <w:tcBorders>
                                <w:top w:val="single" w:sz="4" w:space="0" w:color="D9D9D9" w:themeColor="background1" w:themeShade="D9"/>
                                <w:start w:val="single" w:sz="4" w:space="0" w:color="D9D9D9" w:themeColor="background1" w:themeShade="D9"/>
                                <w:bottom w:val="double" w:sz="4" w:space="0" w:color="auto"/>
                                <w:end w:val="single" w:sz="4" w:space="0" w:color="D9D9D9" w:themeColor="background1" w:themeShade="D9"/>
                              </w:tcBorders>
                              <w:shd w:val="clear" w:color="auto" w:fill="auto"/>
                              <w:noWrap/>
                              <w:vAlign w:val="bottom"/>
                              <w:hideMark/>
                            </w:tcPr>
                            <w:p w14:paraId="0372846A" w14:textId="77777777" w:rsidR="00B740C1" w:rsidRPr="008A604D" w:rsidRDefault="00B740C1" w:rsidP="0030560B">
                              <w:pPr>
                                <w:rPr>
                                  <w:rFonts w:eastAsia="Times New Roman"/>
                                  <w:color w:val="000000"/>
                                  <w:lang w:eastAsia="zh-CN"/>
                                </w:rPr>
                              </w:pPr>
                              <w:r w:rsidRPr="008A604D">
                                <w:rPr>
                                  <w:color w:val="000000"/>
                                </w:rPr>
                                <w:t>0</w:t>
                              </w:r>
                            </w:p>
                          </w:tc>
                          <w:tc>
                            <w:tcPr>
                              <w:tcW w:w="10.0%" w:type="pct"/>
                              <w:tcBorders>
                                <w:top w:val="single" w:sz="4" w:space="0" w:color="D9D9D9" w:themeColor="background1" w:themeShade="D9"/>
                                <w:start w:val="single" w:sz="4" w:space="0" w:color="D9D9D9" w:themeColor="background1" w:themeShade="D9"/>
                                <w:bottom w:val="double" w:sz="4" w:space="0" w:color="auto"/>
                                <w:end w:val="double" w:sz="4" w:space="0" w:color="000000" w:themeColor="text1"/>
                              </w:tcBorders>
                              <w:shd w:val="clear" w:color="auto" w:fill="auto"/>
                              <w:noWrap/>
                              <w:vAlign w:val="bottom"/>
                              <w:hideMark/>
                            </w:tcPr>
                            <w:p w14:paraId="5B4E8629" w14:textId="77777777" w:rsidR="00B740C1" w:rsidRPr="008A604D" w:rsidRDefault="00B740C1" w:rsidP="0030560B">
                              <w:pPr>
                                <w:rPr>
                                  <w:rFonts w:eastAsia="Times New Roman"/>
                                  <w:color w:val="000000"/>
                                  <w:lang w:eastAsia="zh-CN"/>
                                </w:rPr>
                              </w:pPr>
                              <w:r w:rsidRPr="008A604D">
                                <w:rPr>
                                  <w:color w:val="000000"/>
                                </w:rPr>
                                <w:t>160</w:t>
                              </w:r>
                            </w:p>
                          </w:tc>
                        </w:tr>
                        <w:tr w:rsidR="000675DE" w:rsidRPr="0059318B" w14:paraId="3558B5BB" w14:textId="77777777" w:rsidTr="00B740C1">
                          <w:trPr>
                            <w:trHeight w:val="308"/>
                          </w:trPr>
                          <w:tc>
                            <w:tcPr>
                              <w:tcW w:w="19.0%" w:type="pct"/>
                              <w:vMerge w:val="restart"/>
                              <w:tcBorders>
                                <w:bottom w:val="single" w:sz="4" w:space="0" w:color="BFBFBF" w:themeColor="background1" w:themeShade="BF"/>
                                <w:end w:val="single" w:sz="4" w:space="0" w:color="BFBFBF" w:themeColor="background1" w:themeShade="BF"/>
                              </w:tcBorders>
                              <w:shd w:val="clear" w:color="auto" w:fill="auto"/>
                              <w:noWrap/>
                              <w:vAlign w:val="center"/>
                            </w:tcPr>
                            <w:p w14:paraId="6BB18BF8" w14:textId="77777777" w:rsidR="00B740C1" w:rsidRPr="008A604D" w:rsidRDefault="00B740C1" w:rsidP="008A604D">
                              <w:pPr>
                                <w:rPr>
                                  <w:rFonts w:eastAsia="Times New Roman"/>
                                  <w:i/>
                                  <w:color w:val="000000"/>
                                  <w:lang w:eastAsia="zh-CN"/>
                                </w:rPr>
                              </w:pPr>
                              <w:r w:rsidRPr="008A604D">
                                <w:rPr>
                                  <w:rFonts w:eastAsia="Times New Roman"/>
                                  <w:i/>
                                  <w:color w:val="000000"/>
                                  <w:lang w:eastAsia="zh-CN"/>
                                </w:rPr>
                                <w:t>Monthly</w:t>
                              </w:r>
                            </w:p>
                            <w:p w14:paraId="20F430FE" w14:textId="77777777" w:rsidR="00B740C1" w:rsidRDefault="00B740C1" w:rsidP="008A604D">
                              <w:pPr>
                                <w:rPr>
                                  <w:rFonts w:eastAsia="Times New Roman"/>
                                  <w:i/>
                                  <w:color w:val="000000"/>
                                  <w:lang w:eastAsia="zh-CN"/>
                                </w:rPr>
                              </w:pPr>
                              <w:r w:rsidRPr="008A604D">
                                <w:rPr>
                                  <w:rFonts w:eastAsia="Times New Roman"/>
                                  <w:i/>
                                  <w:color w:val="000000"/>
                                  <w:lang w:eastAsia="zh-CN"/>
                                </w:rPr>
                                <w:t>housing costs</w:t>
                              </w:r>
                              <w:r>
                                <w:rPr>
                                  <w:rFonts w:eastAsia="Times New Roman"/>
                                  <w:i/>
                                  <w:color w:val="000000"/>
                                  <w:lang w:eastAsia="zh-CN"/>
                                </w:rPr>
                                <w:t xml:space="preserve"> </w:t>
                              </w:r>
                            </w:p>
                            <w:p w14:paraId="695AD74F" w14:textId="6F9E24BC" w:rsidR="00B740C1" w:rsidRPr="008A604D" w:rsidRDefault="00B740C1" w:rsidP="008A604D">
                              <w:pPr>
                                <w:rPr>
                                  <w:rFonts w:eastAsia="Times New Roman"/>
                                  <w:i/>
                                  <w:color w:val="000000"/>
                                  <w:lang w:eastAsia="zh-CN"/>
                                </w:rPr>
                              </w:pPr>
                              <w:r>
                                <w:rPr>
                                  <w:rFonts w:eastAsia="Times New Roman"/>
                                  <w:i/>
                                  <w:color w:val="000000"/>
                                  <w:lang w:eastAsia="zh-CN"/>
                                </w:rPr>
                                <w:t>(€)</w:t>
                              </w:r>
                            </w:p>
                          </w:tc>
                          <w:tc>
                            <w:tcPr>
                              <w:tcW w:w="40.0%" w:type="pct"/>
                              <w:gridSpan w:val="2"/>
                              <w:tcBorders>
                                <w:start w:val="single" w:sz="4" w:space="0" w:color="BFBFBF" w:themeColor="background1" w:themeShade="BF"/>
                                <w:bottom w:val="single" w:sz="4" w:space="0" w:color="BFBFBF" w:themeColor="background1" w:themeShade="BF"/>
                                <w:end w:val="double" w:sz="4" w:space="0" w:color="auto"/>
                              </w:tcBorders>
                              <w:vAlign w:val="center"/>
                            </w:tcPr>
                            <w:p w14:paraId="5072315B" w14:textId="26552DF3" w:rsidR="00B740C1" w:rsidRPr="008A604D" w:rsidRDefault="00B740C1" w:rsidP="00B740C1">
                              <w:pPr>
                                <w:jc w:val="start"/>
                                <w:rPr>
                                  <w:rFonts w:eastAsia="Times New Roman"/>
                                  <w:i/>
                                  <w:color w:val="000000"/>
                                  <w:lang w:eastAsia="zh-CN"/>
                                </w:rPr>
                              </w:pPr>
                              <w:r w:rsidRPr="008A604D">
                                <w:rPr>
                                  <w:rFonts w:eastAsia="Times New Roman"/>
                                  <w:i/>
                                  <w:color w:val="000000"/>
                                  <w:lang w:eastAsia="zh-CN"/>
                                </w:rPr>
                                <w:t>Revealed</w:t>
                              </w:r>
                            </w:p>
                          </w:tc>
                          <w:tc>
                            <w:tcPr>
                              <w:tcW w:w="8.0%" w:type="pct"/>
                              <w:tcBorders>
                                <w:top w:val="double" w:sz="4" w:space="0" w:color="auto"/>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47DC42DB" w14:textId="77777777" w:rsidR="00B740C1" w:rsidRPr="008A604D" w:rsidRDefault="00B740C1" w:rsidP="0030560B">
                              <w:pPr>
                                <w:rPr>
                                  <w:rFonts w:eastAsia="Times New Roman"/>
                                  <w:color w:val="000000"/>
                                  <w:lang w:eastAsia="zh-CN"/>
                                </w:rPr>
                              </w:pPr>
                              <w:r w:rsidRPr="008A604D">
                                <w:rPr>
                                  <w:rFonts w:eastAsia="Times New Roman"/>
                                  <w:color w:val="000000"/>
                                  <w:lang w:eastAsia="zh-CN"/>
                                </w:rPr>
                                <w:t>100%</w:t>
                              </w:r>
                            </w:p>
                          </w:tc>
                          <w:tc>
                            <w:tcPr>
                              <w:tcW w:w="8.0%" w:type="pct"/>
                              <w:tcBorders>
                                <w:top w:val="double" w:sz="4" w:space="0" w:color="auto"/>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67FD9A62" w14:textId="77777777" w:rsidR="00B740C1" w:rsidRPr="008A604D" w:rsidRDefault="00B740C1" w:rsidP="0030560B">
                              <w:pPr>
                                <w:rPr>
                                  <w:rFonts w:eastAsia="Times New Roman"/>
                                  <w:color w:val="000000"/>
                                  <w:lang w:eastAsia="zh-CN"/>
                                </w:rPr>
                              </w:pPr>
                              <w:r w:rsidRPr="008A604D">
                                <w:rPr>
                                  <w:color w:val="000000"/>
                                </w:rPr>
                                <w:t>562.4</w:t>
                              </w:r>
                            </w:p>
                          </w:tc>
                          <w:tc>
                            <w:tcPr>
                              <w:tcW w:w="8.0%" w:type="pct"/>
                              <w:tcBorders>
                                <w:top w:val="double" w:sz="4" w:space="0" w:color="auto"/>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07187EBE" w14:textId="77777777" w:rsidR="00B740C1" w:rsidRPr="008A604D" w:rsidRDefault="00B740C1" w:rsidP="0030560B">
                              <w:pPr>
                                <w:rPr>
                                  <w:rFonts w:eastAsia="Times New Roman"/>
                                  <w:color w:val="000000"/>
                                  <w:lang w:eastAsia="zh-CN"/>
                                </w:rPr>
                              </w:pPr>
                              <w:r w:rsidRPr="008A604D">
                                <w:rPr>
                                  <w:color w:val="000000"/>
                                </w:rPr>
                                <w:t>282.1</w:t>
                              </w:r>
                            </w:p>
                          </w:tc>
                          <w:tc>
                            <w:tcPr>
                              <w:tcW w:w="6.0%" w:type="pct"/>
                              <w:tcBorders>
                                <w:top w:val="double" w:sz="4" w:space="0" w:color="auto"/>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51C2EA08" w14:textId="77777777" w:rsidR="00B740C1" w:rsidRPr="008A604D" w:rsidRDefault="00B740C1" w:rsidP="0030560B">
                              <w:pPr>
                                <w:rPr>
                                  <w:rFonts w:eastAsia="Times New Roman"/>
                                  <w:color w:val="000000"/>
                                  <w:lang w:eastAsia="zh-CN"/>
                                </w:rPr>
                              </w:pPr>
                              <w:r w:rsidRPr="008A604D">
                                <w:rPr>
                                  <w:color w:val="000000"/>
                                </w:rPr>
                                <w:t>0</w:t>
                              </w:r>
                            </w:p>
                          </w:tc>
                          <w:tc>
                            <w:tcPr>
                              <w:tcW w:w="10.0%" w:type="pct"/>
                              <w:tcBorders>
                                <w:top w:val="double" w:sz="4" w:space="0" w:color="auto"/>
                                <w:start w:val="single" w:sz="4" w:space="0" w:color="D9D9D9" w:themeColor="background1" w:themeShade="D9"/>
                                <w:bottom w:val="single" w:sz="4" w:space="0" w:color="D9D9D9" w:themeColor="background1" w:themeShade="D9"/>
                                <w:end w:val="double" w:sz="4" w:space="0" w:color="000000" w:themeColor="text1"/>
                              </w:tcBorders>
                              <w:shd w:val="clear" w:color="auto" w:fill="auto"/>
                              <w:noWrap/>
                              <w:vAlign w:val="bottom"/>
                              <w:hideMark/>
                            </w:tcPr>
                            <w:p w14:paraId="3D9918C9" w14:textId="77777777" w:rsidR="00B740C1" w:rsidRPr="008A604D" w:rsidRDefault="00B740C1" w:rsidP="0030560B">
                              <w:pPr>
                                <w:rPr>
                                  <w:rFonts w:eastAsia="Times New Roman"/>
                                  <w:color w:val="000000"/>
                                  <w:lang w:eastAsia="zh-CN"/>
                                </w:rPr>
                              </w:pPr>
                              <w:r w:rsidRPr="008A604D">
                                <w:rPr>
                                  <w:color w:val="000000"/>
                                </w:rPr>
                                <w:t>1550</w:t>
                              </w:r>
                            </w:p>
                          </w:tc>
                        </w:tr>
                        <w:tr w:rsidR="000675DE" w:rsidRPr="0059318B" w14:paraId="7FA03E2B" w14:textId="77777777" w:rsidTr="00B740C1">
                          <w:trPr>
                            <w:trHeight w:val="308"/>
                          </w:trPr>
                          <w:tc>
                            <w:tcPr>
                              <w:tcW w:w="19.0%" w:type="pct"/>
                              <w:vMerge/>
                              <w:tcBorders>
                                <w:top w:val="single" w:sz="4" w:space="0" w:color="BFBFBF" w:themeColor="background1" w:themeShade="BF"/>
                                <w:bottom w:val="double" w:sz="4" w:space="0" w:color="auto"/>
                                <w:end w:val="single" w:sz="4" w:space="0" w:color="BFBFBF" w:themeColor="background1" w:themeShade="BF"/>
                              </w:tcBorders>
                              <w:shd w:val="clear" w:color="auto" w:fill="auto"/>
                              <w:noWrap/>
                              <w:vAlign w:val="center"/>
                              <w:hideMark/>
                            </w:tcPr>
                            <w:p w14:paraId="0C15B16F" w14:textId="77F50F52" w:rsidR="00B740C1" w:rsidRPr="008A604D" w:rsidRDefault="00B740C1" w:rsidP="008A604D">
                              <w:pPr>
                                <w:rPr>
                                  <w:rFonts w:eastAsia="Times New Roman"/>
                                  <w:i/>
                                  <w:color w:val="000000"/>
                                  <w:lang w:eastAsia="zh-CN"/>
                                </w:rPr>
                              </w:pPr>
                            </w:p>
                          </w:tc>
                          <w:tc>
                            <w:tcPr>
                              <w:tcW w:w="40.0%" w:type="pct"/>
                              <w:gridSpan w:val="2"/>
                              <w:tcBorders>
                                <w:top w:val="single" w:sz="4" w:space="0" w:color="BFBFBF" w:themeColor="background1" w:themeShade="BF"/>
                                <w:start w:val="single" w:sz="4" w:space="0" w:color="BFBFBF" w:themeColor="background1" w:themeShade="BF"/>
                                <w:bottom w:val="double" w:sz="4" w:space="0" w:color="auto"/>
                                <w:end w:val="double" w:sz="4" w:space="0" w:color="auto"/>
                              </w:tcBorders>
                              <w:vAlign w:val="center"/>
                            </w:tcPr>
                            <w:p w14:paraId="604E76D3" w14:textId="6B7DBCA4" w:rsidR="00B740C1" w:rsidRPr="008A604D" w:rsidRDefault="00B740C1" w:rsidP="00B740C1">
                              <w:pPr>
                                <w:jc w:val="start"/>
                                <w:rPr>
                                  <w:rFonts w:eastAsia="Times New Roman"/>
                                  <w:i/>
                                  <w:color w:val="000000"/>
                                  <w:lang w:eastAsia="zh-CN"/>
                                </w:rPr>
                              </w:pPr>
                              <w:r w:rsidRPr="008A604D">
                                <w:rPr>
                                  <w:rFonts w:eastAsia="Times New Roman"/>
                                  <w:i/>
                                  <w:color w:val="000000"/>
                                  <w:lang w:eastAsia="zh-CN"/>
                                </w:rPr>
                                <w:t>Stated</w:t>
                              </w:r>
                            </w:p>
                          </w:tc>
                          <w:tc>
                            <w:tcPr>
                              <w:tcW w:w="8.0%" w:type="pct"/>
                              <w:tcBorders>
                                <w:top w:val="single" w:sz="4" w:space="0" w:color="D9D9D9" w:themeColor="background1" w:themeShade="D9"/>
                                <w:start w:val="double" w:sz="4" w:space="0" w:color="auto"/>
                                <w:bottom w:val="double" w:sz="4" w:space="0" w:color="auto"/>
                                <w:end w:val="single" w:sz="4" w:space="0" w:color="D9D9D9" w:themeColor="background1" w:themeShade="D9"/>
                              </w:tcBorders>
                              <w:shd w:val="clear" w:color="auto" w:fill="auto"/>
                              <w:noWrap/>
                              <w:vAlign w:val="bottom"/>
                              <w:hideMark/>
                            </w:tcPr>
                            <w:p w14:paraId="3D315392" w14:textId="77777777" w:rsidR="00B740C1" w:rsidRPr="008A604D" w:rsidRDefault="00B740C1" w:rsidP="0030560B">
                              <w:pPr>
                                <w:rPr>
                                  <w:rFonts w:eastAsia="Times New Roman"/>
                                  <w:color w:val="000000"/>
                                  <w:lang w:eastAsia="zh-CN"/>
                                </w:rPr>
                              </w:pPr>
                              <w:r w:rsidRPr="008A604D">
                                <w:rPr>
                                  <w:rFonts w:eastAsia="Times New Roman"/>
                                  <w:color w:val="000000"/>
                                  <w:lang w:eastAsia="zh-CN"/>
                                </w:rPr>
                                <w:t>100%</w:t>
                              </w:r>
                            </w:p>
                          </w:tc>
                          <w:tc>
                            <w:tcPr>
                              <w:tcW w:w="8.0%" w:type="pct"/>
                              <w:tcBorders>
                                <w:top w:val="single" w:sz="4" w:space="0" w:color="D9D9D9" w:themeColor="background1" w:themeShade="D9"/>
                                <w:start w:val="single" w:sz="4" w:space="0" w:color="D9D9D9" w:themeColor="background1" w:themeShade="D9"/>
                                <w:bottom w:val="double" w:sz="4" w:space="0" w:color="auto"/>
                                <w:end w:val="single" w:sz="4" w:space="0" w:color="D9D9D9" w:themeColor="background1" w:themeShade="D9"/>
                              </w:tcBorders>
                              <w:shd w:val="clear" w:color="auto" w:fill="auto"/>
                              <w:noWrap/>
                              <w:vAlign w:val="bottom"/>
                              <w:hideMark/>
                            </w:tcPr>
                            <w:p w14:paraId="285FD67E" w14:textId="77777777" w:rsidR="00B740C1" w:rsidRPr="008A604D" w:rsidRDefault="00B740C1" w:rsidP="0030560B">
                              <w:pPr>
                                <w:rPr>
                                  <w:rFonts w:eastAsia="Times New Roman"/>
                                  <w:color w:val="000000"/>
                                  <w:lang w:eastAsia="zh-CN"/>
                                </w:rPr>
                              </w:pPr>
                              <w:r w:rsidRPr="008A604D">
                                <w:rPr>
                                  <w:color w:val="000000"/>
                                </w:rPr>
                                <w:t>585.8</w:t>
                              </w:r>
                            </w:p>
                          </w:tc>
                          <w:tc>
                            <w:tcPr>
                              <w:tcW w:w="8.0%" w:type="pct"/>
                              <w:tcBorders>
                                <w:top w:val="single" w:sz="4" w:space="0" w:color="D9D9D9" w:themeColor="background1" w:themeShade="D9"/>
                                <w:start w:val="single" w:sz="4" w:space="0" w:color="D9D9D9" w:themeColor="background1" w:themeShade="D9"/>
                                <w:bottom w:val="double" w:sz="4" w:space="0" w:color="auto"/>
                                <w:end w:val="single" w:sz="4" w:space="0" w:color="D9D9D9" w:themeColor="background1" w:themeShade="D9"/>
                              </w:tcBorders>
                              <w:shd w:val="clear" w:color="auto" w:fill="auto"/>
                              <w:noWrap/>
                              <w:vAlign w:val="bottom"/>
                              <w:hideMark/>
                            </w:tcPr>
                            <w:p w14:paraId="7FB45A10" w14:textId="77777777" w:rsidR="00B740C1" w:rsidRPr="008A604D" w:rsidRDefault="00B740C1" w:rsidP="0030560B">
                              <w:pPr>
                                <w:rPr>
                                  <w:rFonts w:eastAsia="Times New Roman"/>
                                  <w:color w:val="000000"/>
                                  <w:lang w:eastAsia="zh-CN"/>
                                </w:rPr>
                              </w:pPr>
                              <w:r w:rsidRPr="008A604D">
                                <w:rPr>
                                  <w:color w:val="000000"/>
                                </w:rPr>
                                <w:t>276.2</w:t>
                              </w:r>
                            </w:p>
                          </w:tc>
                          <w:tc>
                            <w:tcPr>
                              <w:tcW w:w="6.0%" w:type="pct"/>
                              <w:tcBorders>
                                <w:top w:val="single" w:sz="4" w:space="0" w:color="D9D9D9" w:themeColor="background1" w:themeShade="D9"/>
                                <w:start w:val="single" w:sz="4" w:space="0" w:color="D9D9D9" w:themeColor="background1" w:themeShade="D9"/>
                                <w:bottom w:val="double" w:sz="4" w:space="0" w:color="auto"/>
                                <w:end w:val="single" w:sz="4" w:space="0" w:color="D9D9D9" w:themeColor="background1" w:themeShade="D9"/>
                              </w:tcBorders>
                              <w:shd w:val="clear" w:color="auto" w:fill="auto"/>
                              <w:noWrap/>
                              <w:vAlign w:val="bottom"/>
                              <w:hideMark/>
                            </w:tcPr>
                            <w:p w14:paraId="44F02427" w14:textId="77777777" w:rsidR="00B740C1" w:rsidRPr="008A604D" w:rsidRDefault="00B740C1" w:rsidP="0030560B">
                              <w:pPr>
                                <w:rPr>
                                  <w:rFonts w:eastAsia="Times New Roman"/>
                                  <w:color w:val="000000"/>
                                  <w:lang w:eastAsia="zh-CN"/>
                                </w:rPr>
                              </w:pPr>
                              <w:r w:rsidRPr="008A604D">
                                <w:rPr>
                                  <w:color w:val="000000"/>
                                </w:rPr>
                                <w:t>0</w:t>
                              </w:r>
                            </w:p>
                          </w:tc>
                          <w:tc>
                            <w:tcPr>
                              <w:tcW w:w="10.0%" w:type="pct"/>
                              <w:tcBorders>
                                <w:top w:val="single" w:sz="4" w:space="0" w:color="D9D9D9" w:themeColor="background1" w:themeShade="D9"/>
                                <w:start w:val="single" w:sz="4" w:space="0" w:color="D9D9D9" w:themeColor="background1" w:themeShade="D9"/>
                                <w:bottom w:val="double" w:sz="4" w:space="0" w:color="auto"/>
                                <w:end w:val="double" w:sz="4" w:space="0" w:color="000000" w:themeColor="text1"/>
                              </w:tcBorders>
                              <w:shd w:val="clear" w:color="auto" w:fill="auto"/>
                              <w:noWrap/>
                              <w:vAlign w:val="bottom"/>
                              <w:hideMark/>
                            </w:tcPr>
                            <w:p w14:paraId="4BA7CE40" w14:textId="77777777" w:rsidR="00B740C1" w:rsidRPr="008A604D" w:rsidRDefault="00B740C1" w:rsidP="0030560B">
                              <w:pPr>
                                <w:rPr>
                                  <w:rFonts w:eastAsia="Times New Roman"/>
                                  <w:color w:val="000000"/>
                                  <w:lang w:eastAsia="zh-CN"/>
                                </w:rPr>
                              </w:pPr>
                              <w:r w:rsidRPr="008A604D">
                                <w:rPr>
                                  <w:color w:val="000000"/>
                                </w:rPr>
                                <w:t>1550</w:t>
                              </w:r>
                            </w:p>
                          </w:tc>
                        </w:tr>
                        <w:tr w:rsidR="000675DE" w:rsidRPr="0059318B" w14:paraId="47BD12FF" w14:textId="77777777" w:rsidTr="00B740C1">
                          <w:trPr>
                            <w:trHeight w:val="308"/>
                          </w:trPr>
                          <w:tc>
                            <w:tcPr>
                              <w:tcW w:w="19.0%" w:type="pct"/>
                              <w:vMerge w:val="restart"/>
                              <w:tcBorders>
                                <w:bottom w:val="single" w:sz="4" w:space="0" w:color="BFBFBF" w:themeColor="background1" w:themeShade="BF"/>
                                <w:end w:val="single" w:sz="4" w:space="0" w:color="BFBFBF" w:themeColor="background1" w:themeShade="BF"/>
                              </w:tcBorders>
                              <w:shd w:val="clear" w:color="auto" w:fill="auto"/>
                              <w:noWrap/>
                              <w:vAlign w:val="center"/>
                              <w:hideMark/>
                            </w:tcPr>
                            <w:p w14:paraId="7800E15F" w14:textId="31DFE0DE" w:rsidR="00A92FC2" w:rsidRPr="008A604D" w:rsidRDefault="00A92FC2" w:rsidP="008A604D">
                              <w:pPr>
                                <w:rPr>
                                  <w:rFonts w:eastAsia="Times New Roman"/>
                                  <w:i/>
                                  <w:color w:val="000000"/>
                                  <w:lang w:eastAsia="zh-CN"/>
                                </w:rPr>
                              </w:pPr>
                              <w:r w:rsidRPr="008A604D">
                                <w:rPr>
                                  <w:rFonts w:eastAsia="Times New Roman"/>
                                  <w:i/>
                                  <w:color w:val="000000"/>
                                  <w:lang w:eastAsia="zh-CN"/>
                                </w:rPr>
                                <w:t>Travel time</w:t>
                              </w:r>
                            </w:p>
                            <w:p w14:paraId="0E853403" w14:textId="77777777" w:rsidR="00A92FC2" w:rsidRDefault="00A92FC2" w:rsidP="008A604D">
                              <w:pPr>
                                <w:rPr>
                                  <w:rFonts w:eastAsia="Times New Roman"/>
                                  <w:i/>
                                  <w:color w:val="000000"/>
                                  <w:lang w:eastAsia="zh-CN"/>
                                </w:rPr>
                              </w:pPr>
                              <w:r w:rsidRPr="008A604D">
                                <w:rPr>
                                  <w:rFonts w:eastAsia="Times New Roman"/>
                                  <w:i/>
                                  <w:color w:val="000000"/>
                                  <w:lang w:eastAsia="zh-CN"/>
                                </w:rPr>
                                <w:t>to work</w:t>
                              </w:r>
                            </w:p>
                            <w:p w14:paraId="417DFE6B" w14:textId="374DA4FA" w:rsidR="00A92FC2" w:rsidRPr="008A604D" w:rsidRDefault="00A92FC2" w:rsidP="008A604D">
                              <w:pPr>
                                <w:rPr>
                                  <w:rFonts w:eastAsia="Times New Roman"/>
                                  <w:i/>
                                  <w:color w:val="000000"/>
                                  <w:lang w:eastAsia="zh-CN"/>
                                </w:rPr>
                              </w:pPr>
                              <w:r>
                                <w:rPr>
                                  <w:rFonts w:eastAsia="Times New Roman"/>
                                  <w:i/>
                                  <w:color w:val="000000"/>
                                  <w:lang w:eastAsia="zh-CN"/>
                                </w:rPr>
                                <w:t>(Minutes)</w:t>
                              </w:r>
                            </w:p>
                          </w:tc>
                          <w:tc>
                            <w:tcPr>
                              <w:tcW w:w="12.0%" w:type="pct"/>
                              <w:tcBorders>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19962005" w14:textId="77777777" w:rsidR="00A92FC2" w:rsidRPr="008A604D" w:rsidRDefault="00A92FC2" w:rsidP="00B740C1">
                              <w:pPr>
                                <w:jc w:val="start"/>
                                <w:rPr>
                                  <w:rFonts w:eastAsia="Times New Roman"/>
                                  <w:i/>
                                  <w:color w:val="000000"/>
                                  <w:lang w:eastAsia="zh-CN"/>
                                </w:rPr>
                              </w:pPr>
                              <w:r w:rsidRPr="008A604D">
                                <w:rPr>
                                  <w:rFonts w:eastAsia="Times New Roman"/>
                                  <w:i/>
                                  <w:color w:val="000000"/>
                                  <w:lang w:eastAsia="zh-CN"/>
                                </w:rPr>
                                <w:t>Revealed</w:t>
                              </w:r>
                            </w:p>
                          </w:tc>
                          <w:tc>
                            <w:tcPr>
                              <w:tcW w:w="28.0%" w:type="pct"/>
                              <w:vMerge w:val="restart"/>
                              <w:tcBorders>
                                <w:start w:val="single" w:sz="4" w:space="0" w:color="BFBFBF" w:themeColor="background1" w:themeShade="BF"/>
                                <w:bottom w:val="single" w:sz="4" w:space="0" w:color="BFBFBF" w:themeColor="background1" w:themeShade="BF"/>
                                <w:end w:val="double" w:sz="4" w:space="0" w:color="auto"/>
                              </w:tcBorders>
                              <w:vAlign w:val="center"/>
                            </w:tcPr>
                            <w:p w14:paraId="2F572ECB" w14:textId="77777777" w:rsidR="00A92FC2" w:rsidRPr="008A604D" w:rsidRDefault="00A92FC2" w:rsidP="008A604D">
                              <w:pPr>
                                <w:rPr>
                                  <w:rFonts w:eastAsia="Times New Roman"/>
                                  <w:i/>
                                  <w:color w:val="000000"/>
                                  <w:lang w:eastAsia="zh-CN"/>
                                </w:rPr>
                              </w:pPr>
                              <w:r w:rsidRPr="008A604D">
                                <w:rPr>
                                  <w:rFonts w:eastAsia="Times New Roman"/>
                                  <w:i/>
                                  <w:color w:val="000000"/>
                                  <w:lang w:eastAsia="zh-CN"/>
                                </w:rPr>
                                <w:t>Car</w:t>
                              </w:r>
                            </w:p>
                          </w:tc>
                          <w:tc>
                            <w:tcPr>
                              <w:tcW w:w="8.0%" w:type="pct"/>
                              <w:tcBorders>
                                <w:top w:val="double" w:sz="4" w:space="0" w:color="auto"/>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3EAAE675"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49%</w:t>
                              </w:r>
                            </w:p>
                          </w:tc>
                          <w:tc>
                            <w:tcPr>
                              <w:tcW w:w="8.0%" w:type="pct"/>
                              <w:tcBorders>
                                <w:top w:val="double" w:sz="4" w:space="0" w:color="auto"/>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3D57DFA2" w14:textId="77777777" w:rsidR="00A92FC2" w:rsidRPr="008A604D" w:rsidRDefault="00A92FC2" w:rsidP="0030560B">
                              <w:pPr>
                                <w:rPr>
                                  <w:rFonts w:eastAsia="Times New Roman"/>
                                  <w:color w:val="000000"/>
                                  <w:lang w:eastAsia="zh-CN"/>
                                </w:rPr>
                              </w:pPr>
                              <w:r w:rsidRPr="008A604D">
                                <w:rPr>
                                  <w:color w:val="000000"/>
                                </w:rPr>
                                <w:t>25.8</w:t>
                              </w:r>
                            </w:p>
                          </w:tc>
                          <w:tc>
                            <w:tcPr>
                              <w:tcW w:w="8.0%" w:type="pct"/>
                              <w:tcBorders>
                                <w:top w:val="double" w:sz="4" w:space="0" w:color="auto"/>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6F2B2E7A" w14:textId="77777777" w:rsidR="00A92FC2" w:rsidRPr="008A604D" w:rsidRDefault="00A92FC2" w:rsidP="0030560B">
                              <w:pPr>
                                <w:rPr>
                                  <w:rFonts w:eastAsia="Times New Roman"/>
                                  <w:color w:val="000000"/>
                                  <w:lang w:eastAsia="zh-CN"/>
                                </w:rPr>
                              </w:pPr>
                              <w:r w:rsidRPr="008A604D">
                                <w:rPr>
                                  <w:color w:val="000000"/>
                                </w:rPr>
                                <w:t>14.6</w:t>
                              </w:r>
                            </w:p>
                          </w:tc>
                          <w:tc>
                            <w:tcPr>
                              <w:tcW w:w="6.0%" w:type="pct"/>
                              <w:tcBorders>
                                <w:top w:val="double" w:sz="4" w:space="0" w:color="auto"/>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66A2FC59" w14:textId="77777777" w:rsidR="00A92FC2" w:rsidRPr="008A604D" w:rsidRDefault="00A92FC2" w:rsidP="0030560B">
                              <w:pPr>
                                <w:rPr>
                                  <w:rFonts w:eastAsia="Times New Roman"/>
                                  <w:color w:val="000000"/>
                                  <w:lang w:eastAsia="zh-CN"/>
                                </w:rPr>
                              </w:pPr>
                              <w:r w:rsidRPr="008A604D">
                                <w:rPr>
                                  <w:color w:val="000000"/>
                                </w:rPr>
                                <w:t>2</w:t>
                              </w:r>
                            </w:p>
                          </w:tc>
                          <w:tc>
                            <w:tcPr>
                              <w:tcW w:w="10.0%" w:type="pct"/>
                              <w:tcBorders>
                                <w:top w:val="double" w:sz="4" w:space="0" w:color="auto"/>
                                <w:start w:val="single" w:sz="4" w:space="0" w:color="D9D9D9" w:themeColor="background1" w:themeShade="D9"/>
                                <w:bottom w:val="single" w:sz="4" w:space="0" w:color="D9D9D9" w:themeColor="background1" w:themeShade="D9"/>
                                <w:end w:val="double" w:sz="4" w:space="0" w:color="000000" w:themeColor="text1"/>
                              </w:tcBorders>
                              <w:shd w:val="clear" w:color="auto" w:fill="auto"/>
                              <w:noWrap/>
                              <w:vAlign w:val="bottom"/>
                              <w:hideMark/>
                            </w:tcPr>
                            <w:p w14:paraId="15B7D041" w14:textId="77777777" w:rsidR="00A92FC2" w:rsidRPr="008A604D" w:rsidRDefault="00A92FC2" w:rsidP="0030560B">
                              <w:pPr>
                                <w:rPr>
                                  <w:rFonts w:eastAsia="Times New Roman"/>
                                  <w:color w:val="000000"/>
                                  <w:lang w:eastAsia="zh-CN"/>
                                </w:rPr>
                              </w:pPr>
                              <w:r w:rsidRPr="008A604D">
                                <w:rPr>
                                  <w:color w:val="000000"/>
                                </w:rPr>
                                <w:t>63</w:t>
                              </w:r>
                            </w:p>
                          </w:tc>
                        </w:tr>
                        <w:tr w:rsidR="000675DE" w:rsidRPr="0059318B" w14:paraId="71C01944" w14:textId="77777777" w:rsidTr="00B740C1">
                          <w:trPr>
                            <w:trHeight w:val="308"/>
                          </w:trPr>
                          <w:tc>
                            <w:tcPr>
                              <w:tcW w:w="19.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noWrap/>
                              <w:vAlign w:val="center"/>
                              <w:hideMark/>
                            </w:tcPr>
                            <w:p w14:paraId="3B8EA21E" w14:textId="7ECC2052" w:rsidR="00A92FC2" w:rsidRPr="008A604D" w:rsidRDefault="00A92FC2" w:rsidP="008A604D">
                              <w:pPr>
                                <w:rPr>
                                  <w:rFonts w:eastAsia="Times New Roman"/>
                                  <w:i/>
                                  <w:color w:val="000000"/>
                                  <w:lang w:eastAsia="zh-CN"/>
                                </w:rPr>
                              </w:pPr>
                            </w:p>
                          </w:tc>
                          <w:tc>
                            <w:tcPr>
                              <w:tcW w:w="12.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69EE3ECC" w14:textId="77777777" w:rsidR="00A92FC2" w:rsidRPr="008A604D" w:rsidRDefault="00A92FC2" w:rsidP="00B740C1">
                              <w:pPr>
                                <w:jc w:val="start"/>
                                <w:rPr>
                                  <w:rFonts w:eastAsia="Times New Roman"/>
                                  <w:i/>
                                  <w:color w:val="000000"/>
                                  <w:lang w:eastAsia="zh-CN"/>
                                </w:rPr>
                              </w:pPr>
                              <w:r w:rsidRPr="008A604D">
                                <w:rPr>
                                  <w:rFonts w:eastAsia="Times New Roman"/>
                                  <w:i/>
                                  <w:color w:val="000000"/>
                                  <w:lang w:eastAsia="zh-CN"/>
                                </w:rPr>
                                <w:t>Stated</w:t>
                              </w:r>
                            </w:p>
                          </w:tc>
                          <w:tc>
                            <w:tcPr>
                              <w:tcW w:w="28.0%" w:type="pct"/>
                              <w:vMerge/>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73EC1982" w14:textId="77777777" w:rsidR="00A92FC2" w:rsidRPr="008A604D" w:rsidRDefault="00A92FC2" w:rsidP="008A604D">
                              <w:pPr>
                                <w:rPr>
                                  <w:rFonts w:eastAsia="Times New Roman"/>
                                  <w:i/>
                                  <w:color w:val="000000"/>
                                  <w:lang w:eastAsia="zh-CN"/>
                                </w:rPr>
                              </w:pPr>
                            </w:p>
                          </w:tc>
                          <w:tc>
                            <w:tcPr>
                              <w:tcW w:w="8.0%" w:type="pct"/>
                              <w:tcBorders>
                                <w:top w:val="single" w:sz="4" w:space="0" w:color="D9D9D9" w:themeColor="background1" w:themeShade="D9"/>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439B84AA"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47%</w:t>
                              </w:r>
                            </w:p>
                          </w:tc>
                          <w:tc>
                            <w:tcPr>
                              <w:tcW w:w="8.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403D5216" w14:textId="77777777" w:rsidR="00A92FC2" w:rsidRPr="008A604D" w:rsidRDefault="00A92FC2" w:rsidP="0030560B">
                              <w:pPr>
                                <w:rPr>
                                  <w:rFonts w:eastAsia="Times New Roman"/>
                                  <w:color w:val="000000"/>
                                  <w:lang w:eastAsia="zh-CN"/>
                                </w:rPr>
                              </w:pPr>
                              <w:r w:rsidRPr="008A604D">
                                <w:rPr>
                                  <w:color w:val="000000"/>
                                </w:rPr>
                                <w:t>25.1</w:t>
                              </w:r>
                            </w:p>
                          </w:tc>
                          <w:tc>
                            <w:tcPr>
                              <w:tcW w:w="8.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0B82F827" w14:textId="77777777" w:rsidR="00A92FC2" w:rsidRPr="008A604D" w:rsidRDefault="00A92FC2" w:rsidP="0030560B">
                              <w:pPr>
                                <w:rPr>
                                  <w:rFonts w:eastAsia="Times New Roman"/>
                                  <w:color w:val="000000"/>
                                  <w:lang w:eastAsia="zh-CN"/>
                                </w:rPr>
                              </w:pPr>
                              <w:r w:rsidRPr="008A604D">
                                <w:rPr>
                                  <w:color w:val="000000"/>
                                </w:rPr>
                                <w:t>14.2</w:t>
                              </w:r>
                            </w:p>
                          </w:tc>
                          <w:tc>
                            <w:tcPr>
                              <w:tcW w:w="6.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3A76A1B2" w14:textId="77777777" w:rsidR="00A92FC2" w:rsidRPr="008A604D" w:rsidRDefault="00A92FC2" w:rsidP="0030560B">
                              <w:pPr>
                                <w:rPr>
                                  <w:rFonts w:eastAsia="Times New Roman"/>
                                  <w:color w:val="000000"/>
                                  <w:lang w:eastAsia="zh-CN"/>
                                </w:rPr>
                              </w:pPr>
                              <w:r w:rsidRPr="008A604D">
                                <w:rPr>
                                  <w:color w:val="000000"/>
                                </w:rPr>
                                <w:t>2</w:t>
                              </w:r>
                            </w:p>
                          </w:tc>
                          <w:tc>
                            <w:tcPr>
                              <w:tcW w:w="10.0%" w:type="pct"/>
                              <w:tcBorders>
                                <w:top w:val="single" w:sz="4" w:space="0" w:color="D9D9D9" w:themeColor="background1" w:themeShade="D9"/>
                                <w:start w:val="single" w:sz="4" w:space="0" w:color="D9D9D9" w:themeColor="background1" w:themeShade="D9"/>
                                <w:bottom w:val="single" w:sz="4" w:space="0" w:color="D9D9D9" w:themeColor="background1" w:themeShade="D9"/>
                                <w:end w:val="double" w:sz="4" w:space="0" w:color="000000" w:themeColor="text1"/>
                              </w:tcBorders>
                              <w:shd w:val="clear" w:color="auto" w:fill="auto"/>
                              <w:noWrap/>
                              <w:vAlign w:val="bottom"/>
                              <w:hideMark/>
                            </w:tcPr>
                            <w:p w14:paraId="742605F9" w14:textId="77777777" w:rsidR="00A92FC2" w:rsidRPr="008A604D" w:rsidRDefault="00A92FC2" w:rsidP="0030560B">
                              <w:pPr>
                                <w:rPr>
                                  <w:rFonts w:eastAsia="Times New Roman"/>
                                  <w:color w:val="000000"/>
                                  <w:lang w:eastAsia="zh-CN"/>
                                </w:rPr>
                              </w:pPr>
                              <w:r w:rsidRPr="008A604D">
                                <w:rPr>
                                  <w:color w:val="000000"/>
                                </w:rPr>
                                <w:t>63</w:t>
                              </w:r>
                            </w:p>
                          </w:tc>
                        </w:tr>
                        <w:tr w:rsidR="000675DE" w:rsidRPr="0059318B" w14:paraId="4D45F9D3" w14:textId="77777777" w:rsidTr="00B740C1">
                          <w:trPr>
                            <w:trHeight w:val="308"/>
                          </w:trPr>
                          <w:tc>
                            <w:tcPr>
                              <w:tcW w:w="19.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noWrap/>
                              <w:vAlign w:val="center"/>
                              <w:hideMark/>
                            </w:tcPr>
                            <w:p w14:paraId="719630A0" w14:textId="77777777" w:rsidR="00A92FC2" w:rsidRPr="008A604D" w:rsidRDefault="00A92FC2" w:rsidP="008A604D">
                              <w:pPr>
                                <w:rPr>
                                  <w:rFonts w:eastAsia="Times New Roman"/>
                                  <w:i/>
                                  <w:color w:val="000000"/>
                                  <w:lang w:eastAsia="zh-CN"/>
                                </w:rPr>
                              </w:pPr>
                            </w:p>
                          </w:tc>
                          <w:tc>
                            <w:tcPr>
                              <w:tcW w:w="12.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29D44BC2" w14:textId="77777777" w:rsidR="00A92FC2" w:rsidRPr="008A604D" w:rsidRDefault="00A92FC2" w:rsidP="00B740C1">
                              <w:pPr>
                                <w:jc w:val="start"/>
                                <w:rPr>
                                  <w:rFonts w:eastAsia="Times New Roman"/>
                                  <w:i/>
                                  <w:color w:val="000000"/>
                                  <w:lang w:eastAsia="zh-CN"/>
                                </w:rPr>
                              </w:pPr>
                              <w:r w:rsidRPr="008A604D">
                                <w:rPr>
                                  <w:rFonts w:eastAsia="Times New Roman"/>
                                  <w:i/>
                                  <w:color w:val="000000"/>
                                  <w:lang w:eastAsia="zh-CN"/>
                                </w:rPr>
                                <w:t>Revealed</w:t>
                              </w:r>
                            </w:p>
                          </w:tc>
                          <w:tc>
                            <w:tcPr>
                              <w:tcW w:w="28.0%" w:type="pct"/>
                              <w:vMerge w:val="restar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506B1F07" w14:textId="77777777" w:rsidR="00A92FC2" w:rsidRPr="008A604D" w:rsidRDefault="00A92FC2" w:rsidP="008A604D">
                              <w:pPr>
                                <w:rPr>
                                  <w:rFonts w:eastAsia="Times New Roman"/>
                                  <w:i/>
                                  <w:color w:val="000000"/>
                                  <w:lang w:eastAsia="zh-CN"/>
                                </w:rPr>
                              </w:pPr>
                              <w:r w:rsidRPr="008A604D">
                                <w:rPr>
                                  <w:rFonts w:eastAsia="Times New Roman"/>
                                  <w:i/>
                                  <w:color w:val="000000"/>
                                  <w:lang w:eastAsia="zh-CN"/>
                                </w:rPr>
                                <w:t>Public transport</w:t>
                              </w:r>
                            </w:p>
                          </w:tc>
                          <w:tc>
                            <w:tcPr>
                              <w:tcW w:w="8.0%" w:type="pct"/>
                              <w:tcBorders>
                                <w:top w:val="single" w:sz="4" w:space="0" w:color="D9D9D9" w:themeColor="background1" w:themeShade="D9"/>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3892294F"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21%</w:t>
                              </w:r>
                            </w:p>
                          </w:tc>
                          <w:tc>
                            <w:tcPr>
                              <w:tcW w:w="8.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5A478667" w14:textId="77777777" w:rsidR="00A92FC2" w:rsidRPr="008A604D" w:rsidRDefault="00A92FC2" w:rsidP="0030560B">
                              <w:pPr>
                                <w:rPr>
                                  <w:rFonts w:eastAsia="Times New Roman"/>
                                  <w:color w:val="000000"/>
                                  <w:lang w:eastAsia="zh-CN"/>
                                </w:rPr>
                              </w:pPr>
                              <w:r w:rsidRPr="008A604D">
                                <w:rPr>
                                  <w:color w:val="000000"/>
                                </w:rPr>
                                <w:t>29.5</w:t>
                              </w:r>
                            </w:p>
                          </w:tc>
                          <w:tc>
                            <w:tcPr>
                              <w:tcW w:w="8.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04FBFAEF" w14:textId="77777777" w:rsidR="00A92FC2" w:rsidRPr="008A604D" w:rsidRDefault="00A92FC2" w:rsidP="0030560B">
                              <w:pPr>
                                <w:rPr>
                                  <w:rFonts w:eastAsia="Times New Roman"/>
                                  <w:color w:val="000000"/>
                                  <w:lang w:eastAsia="zh-CN"/>
                                </w:rPr>
                              </w:pPr>
                              <w:r w:rsidRPr="008A604D">
                                <w:rPr>
                                  <w:color w:val="000000"/>
                                </w:rPr>
                                <w:t>13</w:t>
                              </w:r>
                            </w:p>
                          </w:tc>
                          <w:tc>
                            <w:tcPr>
                              <w:tcW w:w="6.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51D64A50" w14:textId="77777777" w:rsidR="00A92FC2" w:rsidRPr="008A604D" w:rsidRDefault="00A92FC2" w:rsidP="0030560B">
                              <w:pPr>
                                <w:rPr>
                                  <w:rFonts w:eastAsia="Times New Roman"/>
                                  <w:color w:val="000000"/>
                                  <w:lang w:eastAsia="zh-CN"/>
                                </w:rPr>
                              </w:pPr>
                              <w:r w:rsidRPr="008A604D">
                                <w:rPr>
                                  <w:color w:val="000000"/>
                                </w:rPr>
                                <w:t>10</w:t>
                              </w:r>
                            </w:p>
                          </w:tc>
                          <w:tc>
                            <w:tcPr>
                              <w:tcW w:w="10.0%" w:type="pct"/>
                              <w:tcBorders>
                                <w:top w:val="single" w:sz="4" w:space="0" w:color="D9D9D9" w:themeColor="background1" w:themeShade="D9"/>
                                <w:start w:val="single" w:sz="4" w:space="0" w:color="D9D9D9" w:themeColor="background1" w:themeShade="D9"/>
                                <w:bottom w:val="single" w:sz="4" w:space="0" w:color="D9D9D9" w:themeColor="background1" w:themeShade="D9"/>
                                <w:end w:val="double" w:sz="4" w:space="0" w:color="000000" w:themeColor="text1"/>
                              </w:tcBorders>
                              <w:shd w:val="clear" w:color="auto" w:fill="auto"/>
                              <w:noWrap/>
                              <w:vAlign w:val="bottom"/>
                              <w:hideMark/>
                            </w:tcPr>
                            <w:p w14:paraId="24EDAE57" w14:textId="77777777" w:rsidR="00A92FC2" w:rsidRPr="008A604D" w:rsidRDefault="00A92FC2" w:rsidP="0030560B">
                              <w:pPr>
                                <w:rPr>
                                  <w:rFonts w:eastAsia="Times New Roman"/>
                                  <w:color w:val="000000"/>
                                  <w:lang w:eastAsia="zh-CN"/>
                                </w:rPr>
                              </w:pPr>
                              <w:r w:rsidRPr="008A604D">
                                <w:rPr>
                                  <w:color w:val="000000"/>
                                </w:rPr>
                                <w:t>61</w:t>
                              </w:r>
                            </w:p>
                          </w:tc>
                        </w:tr>
                        <w:tr w:rsidR="000675DE" w:rsidRPr="0059318B" w14:paraId="0228383D" w14:textId="77777777" w:rsidTr="00B740C1">
                          <w:trPr>
                            <w:trHeight w:val="308"/>
                          </w:trPr>
                          <w:tc>
                            <w:tcPr>
                              <w:tcW w:w="19.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noWrap/>
                              <w:vAlign w:val="center"/>
                              <w:hideMark/>
                            </w:tcPr>
                            <w:p w14:paraId="108DF2AA" w14:textId="77777777" w:rsidR="00A92FC2" w:rsidRPr="008A604D" w:rsidRDefault="00A92FC2" w:rsidP="008A604D">
                              <w:pPr>
                                <w:rPr>
                                  <w:rFonts w:eastAsia="Times New Roman"/>
                                  <w:i/>
                                  <w:color w:val="000000"/>
                                  <w:lang w:eastAsia="zh-CN"/>
                                </w:rPr>
                              </w:pPr>
                            </w:p>
                          </w:tc>
                          <w:tc>
                            <w:tcPr>
                              <w:tcW w:w="12.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30A32386" w14:textId="77777777" w:rsidR="00A92FC2" w:rsidRPr="008A604D" w:rsidRDefault="00A92FC2" w:rsidP="00B740C1">
                              <w:pPr>
                                <w:jc w:val="start"/>
                                <w:rPr>
                                  <w:rFonts w:eastAsia="Times New Roman"/>
                                  <w:i/>
                                  <w:color w:val="000000"/>
                                  <w:lang w:eastAsia="zh-CN"/>
                                </w:rPr>
                              </w:pPr>
                              <w:r w:rsidRPr="008A604D">
                                <w:rPr>
                                  <w:rFonts w:eastAsia="Times New Roman"/>
                                  <w:i/>
                                  <w:color w:val="000000"/>
                                  <w:lang w:eastAsia="zh-CN"/>
                                </w:rPr>
                                <w:t>Stated</w:t>
                              </w:r>
                            </w:p>
                          </w:tc>
                          <w:tc>
                            <w:tcPr>
                              <w:tcW w:w="28.0%" w:type="pct"/>
                              <w:vMerge/>
                              <w:tcBorders>
                                <w:top w:val="single" w:sz="4" w:space="0" w:color="BFBFBF" w:themeColor="background1" w:themeShade="BF"/>
                                <w:start w:val="single" w:sz="4" w:space="0" w:color="BFBFBF" w:themeColor="background1" w:themeShade="BF"/>
                                <w:bottom w:val="single" w:sz="4" w:space="0" w:color="D9D9D9" w:themeColor="background1" w:themeShade="D9"/>
                                <w:end w:val="double" w:sz="4" w:space="0" w:color="auto"/>
                              </w:tcBorders>
                              <w:vAlign w:val="center"/>
                            </w:tcPr>
                            <w:p w14:paraId="7D969541" w14:textId="77777777" w:rsidR="00A92FC2" w:rsidRPr="008A604D" w:rsidRDefault="00A92FC2" w:rsidP="008A604D">
                              <w:pPr>
                                <w:rPr>
                                  <w:rFonts w:eastAsia="Times New Roman"/>
                                  <w:i/>
                                  <w:color w:val="000000"/>
                                  <w:lang w:eastAsia="zh-CN"/>
                                </w:rPr>
                              </w:pPr>
                            </w:p>
                          </w:tc>
                          <w:tc>
                            <w:tcPr>
                              <w:tcW w:w="8.0%" w:type="pct"/>
                              <w:tcBorders>
                                <w:top w:val="single" w:sz="4" w:space="0" w:color="D9D9D9" w:themeColor="background1" w:themeShade="D9"/>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14E8ED0E"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17%</w:t>
                              </w:r>
                            </w:p>
                          </w:tc>
                          <w:tc>
                            <w:tcPr>
                              <w:tcW w:w="8.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46DAF11A" w14:textId="77777777" w:rsidR="00A92FC2" w:rsidRPr="008A604D" w:rsidRDefault="00A92FC2" w:rsidP="0030560B">
                              <w:pPr>
                                <w:rPr>
                                  <w:rFonts w:eastAsia="Times New Roman"/>
                                  <w:color w:val="000000"/>
                                  <w:lang w:eastAsia="zh-CN"/>
                                </w:rPr>
                              </w:pPr>
                              <w:r w:rsidRPr="008A604D">
                                <w:rPr>
                                  <w:color w:val="000000"/>
                                </w:rPr>
                                <w:t>55.2</w:t>
                              </w:r>
                            </w:p>
                          </w:tc>
                          <w:tc>
                            <w:tcPr>
                              <w:tcW w:w="8.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58604311" w14:textId="77777777" w:rsidR="00A92FC2" w:rsidRPr="008A604D" w:rsidRDefault="00A92FC2" w:rsidP="0030560B">
                              <w:pPr>
                                <w:rPr>
                                  <w:rFonts w:eastAsia="Times New Roman"/>
                                  <w:color w:val="000000"/>
                                  <w:lang w:eastAsia="zh-CN"/>
                                </w:rPr>
                              </w:pPr>
                              <w:r w:rsidRPr="008A604D">
                                <w:rPr>
                                  <w:color w:val="000000"/>
                                </w:rPr>
                                <w:t>22</w:t>
                              </w:r>
                            </w:p>
                          </w:tc>
                          <w:tc>
                            <w:tcPr>
                              <w:tcW w:w="6.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7FF9CE18" w14:textId="77777777" w:rsidR="00A92FC2" w:rsidRPr="008A604D" w:rsidRDefault="00A92FC2" w:rsidP="0030560B">
                              <w:pPr>
                                <w:rPr>
                                  <w:rFonts w:eastAsia="Times New Roman"/>
                                  <w:color w:val="000000"/>
                                  <w:lang w:eastAsia="zh-CN"/>
                                </w:rPr>
                              </w:pPr>
                              <w:r w:rsidRPr="008A604D">
                                <w:rPr>
                                  <w:color w:val="000000"/>
                                </w:rPr>
                                <w:t>10</w:t>
                              </w:r>
                            </w:p>
                          </w:tc>
                          <w:tc>
                            <w:tcPr>
                              <w:tcW w:w="10.0%" w:type="pct"/>
                              <w:tcBorders>
                                <w:top w:val="single" w:sz="4" w:space="0" w:color="D9D9D9" w:themeColor="background1" w:themeShade="D9"/>
                                <w:start w:val="single" w:sz="4" w:space="0" w:color="D9D9D9" w:themeColor="background1" w:themeShade="D9"/>
                                <w:bottom w:val="single" w:sz="4" w:space="0" w:color="D9D9D9" w:themeColor="background1" w:themeShade="D9"/>
                                <w:end w:val="double" w:sz="4" w:space="0" w:color="000000" w:themeColor="text1"/>
                              </w:tcBorders>
                              <w:shd w:val="clear" w:color="auto" w:fill="auto"/>
                              <w:noWrap/>
                              <w:vAlign w:val="bottom"/>
                              <w:hideMark/>
                            </w:tcPr>
                            <w:p w14:paraId="2D6476A4" w14:textId="77777777" w:rsidR="00A92FC2" w:rsidRPr="008A604D" w:rsidRDefault="00A92FC2" w:rsidP="0030560B">
                              <w:pPr>
                                <w:rPr>
                                  <w:rFonts w:eastAsia="Times New Roman"/>
                                  <w:color w:val="000000"/>
                                  <w:lang w:eastAsia="zh-CN"/>
                                </w:rPr>
                              </w:pPr>
                              <w:r w:rsidRPr="008A604D">
                                <w:rPr>
                                  <w:color w:val="000000"/>
                                </w:rPr>
                                <w:t>107</w:t>
                              </w:r>
                            </w:p>
                          </w:tc>
                        </w:tr>
                        <w:tr w:rsidR="000675DE" w:rsidRPr="0059318B" w14:paraId="07848582" w14:textId="77777777" w:rsidTr="00B740C1">
                          <w:trPr>
                            <w:trHeight w:val="308"/>
                          </w:trPr>
                          <w:tc>
                            <w:tcPr>
                              <w:tcW w:w="19.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noWrap/>
                              <w:vAlign w:val="center"/>
                              <w:hideMark/>
                            </w:tcPr>
                            <w:p w14:paraId="5C023AA6" w14:textId="77777777" w:rsidR="00A92FC2" w:rsidRPr="008A604D" w:rsidRDefault="00A92FC2" w:rsidP="008A604D">
                              <w:pPr>
                                <w:rPr>
                                  <w:rFonts w:eastAsia="Times New Roman"/>
                                  <w:i/>
                                  <w:color w:val="000000"/>
                                  <w:lang w:eastAsia="zh-CN"/>
                                </w:rPr>
                              </w:pPr>
                            </w:p>
                          </w:tc>
                          <w:tc>
                            <w:tcPr>
                              <w:tcW w:w="12.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5C90DEE0" w14:textId="77777777" w:rsidR="00A92FC2" w:rsidRPr="008A604D" w:rsidRDefault="00A92FC2" w:rsidP="00B740C1">
                              <w:pPr>
                                <w:jc w:val="start"/>
                                <w:rPr>
                                  <w:rFonts w:eastAsia="Times New Roman"/>
                                  <w:i/>
                                  <w:color w:val="000000"/>
                                  <w:lang w:eastAsia="zh-CN"/>
                                </w:rPr>
                              </w:pPr>
                              <w:r w:rsidRPr="008A604D">
                                <w:rPr>
                                  <w:rFonts w:eastAsia="Times New Roman"/>
                                  <w:i/>
                                  <w:color w:val="000000"/>
                                  <w:lang w:eastAsia="zh-CN"/>
                                </w:rPr>
                                <w:t>Revealed</w:t>
                              </w:r>
                            </w:p>
                          </w:tc>
                          <w:tc>
                            <w:tcPr>
                              <w:tcW w:w="28.0%" w:type="pct"/>
                              <w:vMerge w:val="restart"/>
                              <w:tcBorders>
                                <w:top w:val="single" w:sz="4" w:space="0" w:color="D9D9D9" w:themeColor="background1" w:themeShade="D9"/>
                                <w:start w:val="single" w:sz="4" w:space="0" w:color="BFBFBF" w:themeColor="background1" w:themeShade="BF"/>
                                <w:bottom w:val="single" w:sz="4" w:space="0" w:color="BFBFBF" w:themeColor="background1" w:themeShade="BF"/>
                                <w:end w:val="double" w:sz="4" w:space="0" w:color="auto"/>
                              </w:tcBorders>
                              <w:vAlign w:val="center"/>
                            </w:tcPr>
                            <w:p w14:paraId="3CC32FC9" w14:textId="77777777" w:rsidR="00A92FC2" w:rsidRPr="008A604D" w:rsidRDefault="00A92FC2" w:rsidP="008A604D">
                              <w:pPr>
                                <w:rPr>
                                  <w:rFonts w:eastAsia="Times New Roman"/>
                                  <w:i/>
                                  <w:color w:val="000000"/>
                                  <w:lang w:eastAsia="zh-CN"/>
                                </w:rPr>
                              </w:pPr>
                              <w:r w:rsidRPr="008A604D">
                                <w:rPr>
                                  <w:rFonts w:eastAsia="Times New Roman"/>
                                  <w:i/>
                                  <w:color w:val="000000"/>
                                  <w:lang w:eastAsia="zh-CN"/>
                                </w:rPr>
                                <w:t>Bicycle</w:t>
                              </w:r>
                            </w:p>
                          </w:tc>
                          <w:tc>
                            <w:tcPr>
                              <w:tcW w:w="8.0%" w:type="pct"/>
                              <w:tcBorders>
                                <w:top w:val="single" w:sz="4" w:space="0" w:color="D9D9D9" w:themeColor="background1" w:themeShade="D9"/>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270D07E4"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26%</w:t>
                              </w:r>
                            </w:p>
                          </w:tc>
                          <w:tc>
                            <w:tcPr>
                              <w:tcW w:w="8.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39F46F73" w14:textId="77777777" w:rsidR="00A92FC2" w:rsidRPr="008A604D" w:rsidRDefault="00A92FC2" w:rsidP="0030560B">
                              <w:pPr>
                                <w:rPr>
                                  <w:rFonts w:eastAsia="Times New Roman"/>
                                  <w:color w:val="000000"/>
                                  <w:lang w:eastAsia="zh-CN"/>
                                </w:rPr>
                              </w:pPr>
                              <w:r w:rsidRPr="008A604D">
                                <w:rPr>
                                  <w:color w:val="000000"/>
                                </w:rPr>
                                <w:t>12.4</w:t>
                              </w:r>
                            </w:p>
                          </w:tc>
                          <w:tc>
                            <w:tcPr>
                              <w:tcW w:w="8.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71645C66" w14:textId="77777777" w:rsidR="00A92FC2" w:rsidRPr="008A604D" w:rsidRDefault="00A92FC2" w:rsidP="0030560B">
                              <w:pPr>
                                <w:rPr>
                                  <w:rFonts w:eastAsia="Times New Roman"/>
                                  <w:color w:val="000000"/>
                                  <w:lang w:eastAsia="zh-CN"/>
                                </w:rPr>
                              </w:pPr>
                              <w:r w:rsidRPr="008A604D">
                                <w:rPr>
                                  <w:color w:val="000000"/>
                                </w:rPr>
                                <w:t>9.5</w:t>
                              </w:r>
                            </w:p>
                          </w:tc>
                          <w:tc>
                            <w:tcPr>
                              <w:tcW w:w="6.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3239BC27" w14:textId="77777777" w:rsidR="00A92FC2" w:rsidRPr="008A604D" w:rsidRDefault="00A92FC2" w:rsidP="0030560B">
                              <w:pPr>
                                <w:rPr>
                                  <w:rFonts w:eastAsia="Times New Roman"/>
                                  <w:color w:val="000000"/>
                                  <w:lang w:eastAsia="zh-CN"/>
                                </w:rPr>
                              </w:pPr>
                              <w:r w:rsidRPr="008A604D">
                                <w:rPr>
                                  <w:color w:val="000000"/>
                                </w:rPr>
                                <w:t>2</w:t>
                              </w:r>
                            </w:p>
                          </w:tc>
                          <w:tc>
                            <w:tcPr>
                              <w:tcW w:w="10.0%" w:type="pct"/>
                              <w:tcBorders>
                                <w:top w:val="single" w:sz="4" w:space="0" w:color="D9D9D9" w:themeColor="background1" w:themeShade="D9"/>
                                <w:start w:val="single" w:sz="4" w:space="0" w:color="D9D9D9" w:themeColor="background1" w:themeShade="D9"/>
                                <w:bottom w:val="single" w:sz="4" w:space="0" w:color="D9D9D9" w:themeColor="background1" w:themeShade="D9"/>
                                <w:end w:val="double" w:sz="4" w:space="0" w:color="000000" w:themeColor="text1"/>
                              </w:tcBorders>
                              <w:shd w:val="clear" w:color="auto" w:fill="auto"/>
                              <w:noWrap/>
                              <w:vAlign w:val="bottom"/>
                              <w:hideMark/>
                            </w:tcPr>
                            <w:p w14:paraId="6BF3EAD3" w14:textId="77777777" w:rsidR="00A92FC2" w:rsidRPr="008A604D" w:rsidRDefault="00A92FC2" w:rsidP="0030560B">
                              <w:pPr>
                                <w:rPr>
                                  <w:rFonts w:eastAsia="Times New Roman"/>
                                  <w:color w:val="000000"/>
                                  <w:lang w:eastAsia="zh-CN"/>
                                </w:rPr>
                              </w:pPr>
                              <w:r w:rsidRPr="008A604D">
                                <w:rPr>
                                  <w:color w:val="000000"/>
                                </w:rPr>
                                <w:t>56</w:t>
                              </w:r>
                            </w:p>
                          </w:tc>
                        </w:tr>
                        <w:tr w:rsidR="000675DE" w:rsidRPr="0059318B" w14:paraId="4F11465E" w14:textId="77777777" w:rsidTr="00B740C1">
                          <w:trPr>
                            <w:trHeight w:val="308"/>
                          </w:trPr>
                          <w:tc>
                            <w:tcPr>
                              <w:tcW w:w="19.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noWrap/>
                              <w:vAlign w:val="center"/>
                              <w:hideMark/>
                            </w:tcPr>
                            <w:p w14:paraId="02029297" w14:textId="77777777" w:rsidR="00A92FC2" w:rsidRPr="008A604D" w:rsidRDefault="00A92FC2" w:rsidP="008A604D">
                              <w:pPr>
                                <w:rPr>
                                  <w:rFonts w:eastAsia="Times New Roman"/>
                                  <w:i/>
                                  <w:color w:val="000000"/>
                                  <w:lang w:eastAsia="zh-CN"/>
                                </w:rPr>
                              </w:pPr>
                            </w:p>
                          </w:tc>
                          <w:tc>
                            <w:tcPr>
                              <w:tcW w:w="12.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37BE4D79" w14:textId="77777777" w:rsidR="00A92FC2" w:rsidRPr="008A604D" w:rsidRDefault="00A92FC2" w:rsidP="00B740C1">
                              <w:pPr>
                                <w:jc w:val="start"/>
                                <w:rPr>
                                  <w:rFonts w:eastAsia="Times New Roman"/>
                                  <w:i/>
                                  <w:color w:val="000000"/>
                                  <w:lang w:eastAsia="zh-CN"/>
                                </w:rPr>
                              </w:pPr>
                              <w:r w:rsidRPr="008A604D">
                                <w:rPr>
                                  <w:rFonts w:eastAsia="Times New Roman"/>
                                  <w:i/>
                                  <w:color w:val="000000"/>
                                  <w:lang w:eastAsia="zh-CN"/>
                                </w:rPr>
                                <w:t>Stated</w:t>
                              </w:r>
                            </w:p>
                          </w:tc>
                          <w:tc>
                            <w:tcPr>
                              <w:tcW w:w="28.0%" w:type="pct"/>
                              <w:vMerge/>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1AAEF1A7" w14:textId="77777777" w:rsidR="00A92FC2" w:rsidRPr="008A604D" w:rsidRDefault="00A92FC2" w:rsidP="008A604D">
                              <w:pPr>
                                <w:rPr>
                                  <w:rFonts w:eastAsia="Times New Roman"/>
                                  <w:i/>
                                  <w:color w:val="000000"/>
                                  <w:lang w:eastAsia="zh-CN"/>
                                </w:rPr>
                              </w:pPr>
                            </w:p>
                          </w:tc>
                          <w:tc>
                            <w:tcPr>
                              <w:tcW w:w="8.0%" w:type="pct"/>
                              <w:tcBorders>
                                <w:top w:val="single" w:sz="4" w:space="0" w:color="D9D9D9" w:themeColor="background1" w:themeShade="D9"/>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44796437"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31%</w:t>
                              </w:r>
                            </w:p>
                          </w:tc>
                          <w:tc>
                            <w:tcPr>
                              <w:tcW w:w="8.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000675F0" w14:textId="77777777" w:rsidR="00A92FC2" w:rsidRPr="008A604D" w:rsidRDefault="00A92FC2" w:rsidP="0030560B">
                              <w:pPr>
                                <w:rPr>
                                  <w:rFonts w:eastAsia="Times New Roman"/>
                                  <w:color w:val="000000"/>
                                  <w:lang w:eastAsia="zh-CN"/>
                                </w:rPr>
                              </w:pPr>
                              <w:r w:rsidRPr="008A604D">
                                <w:rPr>
                                  <w:color w:val="000000"/>
                                </w:rPr>
                                <w:t>28.8</w:t>
                              </w:r>
                            </w:p>
                          </w:tc>
                          <w:tc>
                            <w:tcPr>
                              <w:tcW w:w="8.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12E73781" w14:textId="77777777" w:rsidR="00A92FC2" w:rsidRPr="008A604D" w:rsidRDefault="00A92FC2" w:rsidP="0030560B">
                              <w:pPr>
                                <w:rPr>
                                  <w:rFonts w:eastAsia="Times New Roman"/>
                                  <w:color w:val="000000"/>
                                  <w:lang w:eastAsia="zh-CN"/>
                                </w:rPr>
                              </w:pPr>
                              <w:r w:rsidRPr="008A604D">
                                <w:rPr>
                                  <w:color w:val="000000"/>
                                </w:rPr>
                                <w:t>43.8</w:t>
                              </w:r>
                            </w:p>
                          </w:tc>
                          <w:tc>
                            <w:tcPr>
                              <w:tcW w:w="6.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4B4915FF" w14:textId="77777777" w:rsidR="00A92FC2" w:rsidRPr="008A604D" w:rsidRDefault="00A92FC2" w:rsidP="0030560B">
                              <w:pPr>
                                <w:rPr>
                                  <w:rFonts w:eastAsia="Times New Roman"/>
                                  <w:color w:val="000000"/>
                                  <w:lang w:eastAsia="zh-CN"/>
                                </w:rPr>
                              </w:pPr>
                              <w:r w:rsidRPr="008A604D">
                                <w:rPr>
                                  <w:color w:val="000000"/>
                                </w:rPr>
                                <w:t>1</w:t>
                              </w:r>
                            </w:p>
                          </w:tc>
                          <w:tc>
                            <w:tcPr>
                              <w:tcW w:w="10.0%" w:type="pct"/>
                              <w:tcBorders>
                                <w:top w:val="single" w:sz="4" w:space="0" w:color="D9D9D9" w:themeColor="background1" w:themeShade="D9"/>
                                <w:start w:val="single" w:sz="4" w:space="0" w:color="D9D9D9" w:themeColor="background1" w:themeShade="D9"/>
                                <w:bottom w:val="single" w:sz="4" w:space="0" w:color="D9D9D9" w:themeColor="background1" w:themeShade="D9"/>
                                <w:end w:val="double" w:sz="4" w:space="0" w:color="000000" w:themeColor="text1"/>
                              </w:tcBorders>
                              <w:shd w:val="clear" w:color="auto" w:fill="auto"/>
                              <w:noWrap/>
                              <w:vAlign w:val="bottom"/>
                              <w:hideMark/>
                            </w:tcPr>
                            <w:p w14:paraId="4DDDBFBB" w14:textId="77777777" w:rsidR="00A92FC2" w:rsidRPr="008A604D" w:rsidRDefault="00A92FC2" w:rsidP="0030560B">
                              <w:pPr>
                                <w:rPr>
                                  <w:rFonts w:eastAsia="Times New Roman"/>
                                  <w:color w:val="000000"/>
                                  <w:lang w:eastAsia="zh-CN"/>
                                </w:rPr>
                              </w:pPr>
                              <w:r w:rsidRPr="008A604D">
                                <w:rPr>
                                  <w:color w:val="000000"/>
                                </w:rPr>
                                <w:t>204</w:t>
                              </w:r>
                            </w:p>
                          </w:tc>
                        </w:tr>
                        <w:tr w:rsidR="000675DE" w:rsidRPr="0059318B" w14:paraId="39B31FF0" w14:textId="77777777" w:rsidTr="00B740C1">
                          <w:trPr>
                            <w:trHeight w:val="308"/>
                          </w:trPr>
                          <w:tc>
                            <w:tcPr>
                              <w:tcW w:w="19.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noWrap/>
                              <w:vAlign w:val="center"/>
                              <w:hideMark/>
                            </w:tcPr>
                            <w:p w14:paraId="64C57164" w14:textId="77777777" w:rsidR="00A92FC2" w:rsidRPr="008A604D" w:rsidRDefault="00A92FC2" w:rsidP="008A604D">
                              <w:pPr>
                                <w:rPr>
                                  <w:rFonts w:eastAsia="Times New Roman"/>
                                  <w:i/>
                                  <w:color w:val="000000"/>
                                  <w:lang w:eastAsia="zh-CN"/>
                                </w:rPr>
                              </w:pPr>
                            </w:p>
                          </w:tc>
                          <w:tc>
                            <w:tcPr>
                              <w:tcW w:w="12.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059C0317" w14:textId="77777777" w:rsidR="00A92FC2" w:rsidRPr="008A604D" w:rsidRDefault="00A92FC2" w:rsidP="00B740C1">
                              <w:pPr>
                                <w:jc w:val="start"/>
                                <w:rPr>
                                  <w:rFonts w:eastAsia="Times New Roman"/>
                                  <w:i/>
                                  <w:color w:val="000000"/>
                                  <w:lang w:eastAsia="zh-CN"/>
                                </w:rPr>
                              </w:pPr>
                              <w:r w:rsidRPr="008A604D">
                                <w:rPr>
                                  <w:rFonts w:eastAsia="Times New Roman"/>
                                  <w:i/>
                                  <w:color w:val="000000"/>
                                  <w:lang w:eastAsia="zh-CN"/>
                                </w:rPr>
                                <w:t>Revealed</w:t>
                              </w:r>
                            </w:p>
                          </w:tc>
                          <w:tc>
                            <w:tcPr>
                              <w:tcW w:w="28.0%" w:type="pct"/>
                              <w:vMerge w:val="restar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4D2F4333" w14:textId="77777777" w:rsidR="00A92FC2" w:rsidRPr="008A604D" w:rsidRDefault="00A92FC2" w:rsidP="008A604D">
                              <w:pPr>
                                <w:rPr>
                                  <w:rFonts w:eastAsia="Times New Roman"/>
                                  <w:i/>
                                  <w:color w:val="000000"/>
                                  <w:lang w:eastAsia="zh-CN"/>
                                </w:rPr>
                              </w:pPr>
                              <w:r w:rsidRPr="008A604D">
                                <w:rPr>
                                  <w:rFonts w:eastAsia="Times New Roman"/>
                                  <w:i/>
                                  <w:color w:val="000000"/>
                                  <w:lang w:eastAsia="zh-CN"/>
                                </w:rPr>
                                <w:t>Walking</w:t>
                              </w:r>
                            </w:p>
                          </w:tc>
                          <w:tc>
                            <w:tcPr>
                              <w:tcW w:w="8.0%" w:type="pct"/>
                              <w:tcBorders>
                                <w:top w:val="single" w:sz="4" w:space="0" w:color="D9D9D9" w:themeColor="background1" w:themeShade="D9"/>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2931DE0F"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4%</w:t>
                              </w:r>
                            </w:p>
                          </w:tc>
                          <w:tc>
                            <w:tcPr>
                              <w:tcW w:w="8.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7920B9D1" w14:textId="77777777" w:rsidR="00A92FC2" w:rsidRPr="008A604D" w:rsidRDefault="00A92FC2" w:rsidP="0030560B">
                              <w:pPr>
                                <w:rPr>
                                  <w:rFonts w:eastAsia="Times New Roman"/>
                                  <w:color w:val="000000"/>
                                  <w:lang w:eastAsia="zh-CN"/>
                                </w:rPr>
                              </w:pPr>
                              <w:r w:rsidRPr="008A604D">
                                <w:rPr>
                                  <w:color w:val="000000"/>
                                </w:rPr>
                                <w:t>3.4</w:t>
                              </w:r>
                            </w:p>
                          </w:tc>
                          <w:tc>
                            <w:tcPr>
                              <w:tcW w:w="8.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778574FE" w14:textId="77777777" w:rsidR="00A92FC2" w:rsidRPr="008A604D" w:rsidRDefault="00A92FC2" w:rsidP="0030560B">
                              <w:pPr>
                                <w:rPr>
                                  <w:rFonts w:eastAsia="Times New Roman"/>
                                  <w:color w:val="000000"/>
                                  <w:lang w:eastAsia="zh-CN"/>
                                </w:rPr>
                              </w:pPr>
                              <w:r w:rsidRPr="008A604D">
                                <w:rPr>
                                  <w:color w:val="000000"/>
                                </w:rPr>
                                <w:t>1.1</w:t>
                              </w:r>
                            </w:p>
                          </w:tc>
                          <w:tc>
                            <w:tcPr>
                              <w:tcW w:w="6.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55E62E08" w14:textId="77777777" w:rsidR="00A92FC2" w:rsidRPr="008A604D" w:rsidRDefault="00A92FC2" w:rsidP="0030560B">
                              <w:pPr>
                                <w:rPr>
                                  <w:rFonts w:eastAsia="Times New Roman"/>
                                  <w:color w:val="000000"/>
                                  <w:lang w:eastAsia="zh-CN"/>
                                </w:rPr>
                              </w:pPr>
                              <w:r w:rsidRPr="008A604D">
                                <w:rPr>
                                  <w:color w:val="000000"/>
                                </w:rPr>
                                <w:t>2</w:t>
                              </w:r>
                            </w:p>
                          </w:tc>
                          <w:tc>
                            <w:tcPr>
                              <w:tcW w:w="10.0%" w:type="pct"/>
                              <w:tcBorders>
                                <w:top w:val="single" w:sz="4" w:space="0" w:color="D9D9D9" w:themeColor="background1" w:themeShade="D9"/>
                                <w:start w:val="single" w:sz="4" w:space="0" w:color="D9D9D9" w:themeColor="background1" w:themeShade="D9"/>
                                <w:bottom w:val="single" w:sz="4" w:space="0" w:color="D9D9D9" w:themeColor="background1" w:themeShade="D9"/>
                                <w:end w:val="double" w:sz="4" w:space="0" w:color="000000" w:themeColor="text1"/>
                              </w:tcBorders>
                              <w:shd w:val="clear" w:color="auto" w:fill="auto"/>
                              <w:noWrap/>
                              <w:vAlign w:val="bottom"/>
                              <w:hideMark/>
                            </w:tcPr>
                            <w:p w14:paraId="7A80C930" w14:textId="77777777" w:rsidR="00A92FC2" w:rsidRPr="008A604D" w:rsidRDefault="00A92FC2" w:rsidP="0030560B">
                              <w:pPr>
                                <w:rPr>
                                  <w:rFonts w:eastAsia="Times New Roman"/>
                                  <w:color w:val="000000"/>
                                  <w:lang w:eastAsia="zh-CN"/>
                                </w:rPr>
                              </w:pPr>
                              <w:r w:rsidRPr="008A604D">
                                <w:rPr>
                                  <w:color w:val="000000"/>
                                </w:rPr>
                                <w:t>5</w:t>
                              </w:r>
                            </w:p>
                          </w:tc>
                        </w:tr>
                        <w:tr w:rsidR="000675DE" w:rsidRPr="0059318B" w14:paraId="0683327D" w14:textId="77777777" w:rsidTr="00B740C1">
                          <w:trPr>
                            <w:trHeight w:val="308"/>
                          </w:trPr>
                          <w:tc>
                            <w:tcPr>
                              <w:tcW w:w="19.0%" w:type="pct"/>
                              <w:vMerge/>
                              <w:tcBorders>
                                <w:top w:val="single" w:sz="4" w:space="0" w:color="BFBFBF" w:themeColor="background1" w:themeShade="BF"/>
                                <w:bottom w:val="double" w:sz="4" w:space="0" w:color="auto"/>
                                <w:end w:val="single" w:sz="4" w:space="0" w:color="BFBFBF" w:themeColor="background1" w:themeShade="BF"/>
                              </w:tcBorders>
                              <w:shd w:val="clear" w:color="auto" w:fill="auto"/>
                              <w:noWrap/>
                              <w:vAlign w:val="center"/>
                              <w:hideMark/>
                            </w:tcPr>
                            <w:p w14:paraId="27DD0A70" w14:textId="77777777" w:rsidR="00A92FC2" w:rsidRPr="008A604D" w:rsidRDefault="00A92FC2" w:rsidP="008A604D">
                              <w:pPr>
                                <w:rPr>
                                  <w:rFonts w:eastAsia="Times New Roman"/>
                                  <w:i/>
                                  <w:color w:val="000000"/>
                                  <w:lang w:eastAsia="zh-CN"/>
                                </w:rPr>
                              </w:pPr>
                            </w:p>
                          </w:tc>
                          <w:tc>
                            <w:tcPr>
                              <w:tcW w:w="12.0%" w:type="pct"/>
                              <w:tcBorders>
                                <w:top w:val="single" w:sz="4" w:space="0" w:color="BFBFBF" w:themeColor="background1" w:themeShade="BF"/>
                                <w:start w:val="single" w:sz="4" w:space="0" w:color="BFBFBF" w:themeColor="background1" w:themeShade="BF"/>
                                <w:bottom w:val="double" w:sz="4" w:space="0" w:color="auto"/>
                                <w:end w:val="single" w:sz="4" w:space="0" w:color="BFBFBF" w:themeColor="background1" w:themeShade="BF"/>
                              </w:tcBorders>
                              <w:vAlign w:val="center"/>
                            </w:tcPr>
                            <w:p w14:paraId="65E632C4" w14:textId="77777777" w:rsidR="00A92FC2" w:rsidRPr="008A604D" w:rsidRDefault="00A92FC2" w:rsidP="00B740C1">
                              <w:pPr>
                                <w:jc w:val="start"/>
                                <w:rPr>
                                  <w:rFonts w:eastAsia="Times New Roman"/>
                                  <w:i/>
                                  <w:color w:val="000000"/>
                                  <w:lang w:eastAsia="zh-CN"/>
                                </w:rPr>
                              </w:pPr>
                              <w:r w:rsidRPr="008A604D">
                                <w:rPr>
                                  <w:rFonts w:eastAsia="Times New Roman"/>
                                  <w:i/>
                                  <w:color w:val="000000"/>
                                  <w:lang w:eastAsia="zh-CN"/>
                                </w:rPr>
                                <w:t>Stated</w:t>
                              </w:r>
                            </w:p>
                          </w:tc>
                          <w:tc>
                            <w:tcPr>
                              <w:tcW w:w="28.0%" w:type="pct"/>
                              <w:vMerge/>
                              <w:tcBorders>
                                <w:top w:val="single" w:sz="4" w:space="0" w:color="BFBFBF" w:themeColor="background1" w:themeShade="BF"/>
                                <w:start w:val="single" w:sz="4" w:space="0" w:color="BFBFBF" w:themeColor="background1" w:themeShade="BF"/>
                                <w:bottom w:val="double" w:sz="4" w:space="0" w:color="auto"/>
                                <w:end w:val="double" w:sz="4" w:space="0" w:color="auto"/>
                              </w:tcBorders>
                              <w:vAlign w:val="center"/>
                            </w:tcPr>
                            <w:p w14:paraId="4B367F5D" w14:textId="77777777" w:rsidR="00A92FC2" w:rsidRPr="008A604D" w:rsidRDefault="00A92FC2" w:rsidP="008A604D">
                              <w:pPr>
                                <w:rPr>
                                  <w:rFonts w:eastAsia="Times New Roman"/>
                                  <w:i/>
                                  <w:color w:val="000000"/>
                                  <w:lang w:eastAsia="zh-CN"/>
                                </w:rPr>
                              </w:pPr>
                            </w:p>
                          </w:tc>
                          <w:tc>
                            <w:tcPr>
                              <w:tcW w:w="8.0%" w:type="pct"/>
                              <w:tcBorders>
                                <w:top w:val="single" w:sz="4" w:space="0" w:color="D9D9D9" w:themeColor="background1" w:themeShade="D9"/>
                                <w:start w:val="double" w:sz="4" w:space="0" w:color="auto"/>
                                <w:bottom w:val="double" w:sz="4" w:space="0" w:color="auto"/>
                                <w:end w:val="single" w:sz="4" w:space="0" w:color="D9D9D9" w:themeColor="background1" w:themeShade="D9"/>
                              </w:tcBorders>
                              <w:shd w:val="clear" w:color="auto" w:fill="auto"/>
                              <w:noWrap/>
                              <w:vAlign w:val="bottom"/>
                              <w:hideMark/>
                            </w:tcPr>
                            <w:p w14:paraId="04C0FDC9"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5%</w:t>
                              </w:r>
                            </w:p>
                          </w:tc>
                          <w:tc>
                            <w:tcPr>
                              <w:tcW w:w="8.0%" w:type="pct"/>
                              <w:tcBorders>
                                <w:top w:val="single" w:sz="4" w:space="0" w:color="D9D9D9" w:themeColor="background1" w:themeShade="D9"/>
                                <w:start w:val="single" w:sz="4" w:space="0" w:color="D9D9D9" w:themeColor="background1" w:themeShade="D9"/>
                                <w:bottom w:val="double" w:sz="4" w:space="0" w:color="auto"/>
                                <w:end w:val="single" w:sz="4" w:space="0" w:color="D9D9D9" w:themeColor="background1" w:themeShade="D9"/>
                              </w:tcBorders>
                              <w:shd w:val="clear" w:color="auto" w:fill="auto"/>
                              <w:noWrap/>
                              <w:vAlign w:val="bottom"/>
                              <w:hideMark/>
                            </w:tcPr>
                            <w:p w14:paraId="7AD4CA2E" w14:textId="77777777" w:rsidR="00A92FC2" w:rsidRPr="008A604D" w:rsidRDefault="00A92FC2" w:rsidP="0030560B">
                              <w:pPr>
                                <w:rPr>
                                  <w:rFonts w:eastAsia="Times New Roman"/>
                                  <w:color w:val="000000"/>
                                  <w:lang w:eastAsia="zh-CN"/>
                                </w:rPr>
                              </w:pPr>
                              <w:r w:rsidRPr="008A604D">
                                <w:rPr>
                                  <w:color w:val="000000"/>
                                </w:rPr>
                                <w:t>13.5</w:t>
                              </w:r>
                            </w:p>
                          </w:tc>
                          <w:tc>
                            <w:tcPr>
                              <w:tcW w:w="8.0%" w:type="pct"/>
                              <w:tcBorders>
                                <w:top w:val="single" w:sz="4" w:space="0" w:color="D9D9D9" w:themeColor="background1" w:themeShade="D9"/>
                                <w:start w:val="single" w:sz="4" w:space="0" w:color="D9D9D9" w:themeColor="background1" w:themeShade="D9"/>
                                <w:bottom w:val="double" w:sz="4" w:space="0" w:color="auto"/>
                                <w:end w:val="single" w:sz="4" w:space="0" w:color="D9D9D9" w:themeColor="background1" w:themeShade="D9"/>
                              </w:tcBorders>
                              <w:shd w:val="clear" w:color="auto" w:fill="auto"/>
                              <w:noWrap/>
                              <w:vAlign w:val="bottom"/>
                              <w:hideMark/>
                            </w:tcPr>
                            <w:p w14:paraId="505D2F76" w14:textId="77777777" w:rsidR="00A92FC2" w:rsidRPr="008A604D" w:rsidRDefault="00A92FC2" w:rsidP="0030560B">
                              <w:pPr>
                                <w:rPr>
                                  <w:rFonts w:eastAsia="Times New Roman"/>
                                  <w:color w:val="000000"/>
                                  <w:lang w:eastAsia="zh-CN"/>
                                </w:rPr>
                              </w:pPr>
                              <w:r w:rsidRPr="008A604D">
                                <w:rPr>
                                  <w:color w:val="000000"/>
                                </w:rPr>
                                <w:t>12.4</w:t>
                              </w:r>
                            </w:p>
                          </w:tc>
                          <w:tc>
                            <w:tcPr>
                              <w:tcW w:w="6.0%" w:type="pct"/>
                              <w:tcBorders>
                                <w:top w:val="single" w:sz="4" w:space="0" w:color="D9D9D9" w:themeColor="background1" w:themeShade="D9"/>
                                <w:start w:val="single" w:sz="4" w:space="0" w:color="D9D9D9" w:themeColor="background1" w:themeShade="D9"/>
                                <w:bottom w:val="double" w:sz="4" w:space="0" w:color="auto"/>
                                <w:end w:val="single" w:sz="4" w:space="0" w:color="D9D9D9" w:themeColor="background1" w:themeShade="D9"/>
                              </w:tcBorders>
                              <w:shd w:val="clear" w:color="auto" w:fill="auto"/>
                              <w:noWrap/>
                              <w:vAlign w:val="bottom"/>
                              <w:hideMark/>
                            </w:tcPr>
                            <w:p w14:paraId="21F29950" w14:textId="77777777" w:rsidR="00A92FC2" w:rsidRPr="008A604D" w:rsidRDefault="00A92FC2" w:rsidP="0030560B">
                              <w:pPr>
                                <w:rPr>
                                  <w:rFonts w:eastAsia="Times New Roman"/>
                                  <w:color w:val="000000"/>
                                  <w:lang w:eastAsia="zh-CN"/>
                                </w:rPr>
                              </w:pPr>
                              <w:r w:rsidRPr="008A604D">
                                <w:rPr>
                                  <w:color w:val="000000"/>
                                </w:rPr>
                                <w:t>6</w:t>
                              </w:r>
                            </w:p>
                          </w:tc>
                          <w:tc>
                            <w:tcPr>
                              <w:tcW w:w="10.0%" w:type="pct"/>
                              <w:tcBorders>
                                <w:top w:val="single" w:sz="4" w:space="0" w:color="D9D9D9" w:themeColor="background1" w:themeShade="D9"/>
                                <w:start w:val="single" w:sz="4" w:space="0" w:color="D9D9D9" w:themeColor="background1" w:themeShade="D9"/>
                                <w:bottom w:val="double" w:sz="4" w:space="0" w:color="auto"/>
                                <w:end w:val="double" w:sz="4" w:space="0" w:color="000000" w:themeColor="text1"/>
                              </w:tcBorders>
                              <w:shd w:val="clear" w:color="auto" w:fill="auto"/>
                              <w:noWrap/>
                              <w:vAlign w:val="bottom"/>
                              <w:hideMark/>
                            </w:tcPr>
                            <w:p w14:paraId="72F04490" w14:textId="77777777" w:rsidR="00A92FC2" w:rsidRPr="008A604D" w:rsidRDefault="00A92FC2" w:rsidP="0030560B">
                              <w:pPr>
                                <w:rPr>
                                  <w:rFonts w:eastAsia="Times New Roman"/>
                                  <w:color w:val="000000"/>
                                  <w:lang w:eastAsia="zh-CN"/>
                                </w:rPr>
                              </w:pPr>
                              <w:r w:rsidRPr="008A604D">
                                <w:rPr>
                                  <w:color w:val="000000"/>
                                </w:rPr>
                                <w:t>49</w:t>
                              </w:r>
                            </w:p>
                          </w:tc>
                        </w:tr>
                        <w:tr w:rsidR="000675DE" w:rsidRPr="0059318B" w14:paraId="1DE32F29" w14:textId="77777777" w:rsidTr="00B740C1">
                          <w:trPr>
                            <w:trHeight w:val="308"/>
                          </w:trPr>
                          <w:tc>
                            <w:tcPr>
                              <w:tcW w:w="19.0%" w:type="pct"/>
                              <w:vMerge w:val="restart"/>
                              <w:tcBorders>
                                <w:bottom w:val="single" w:sz="4" w:space="0" w:color="BFBFBF" w:themeColor="background1" w:themeShade="BF"/>
                                <w:end w:val="single" w:sz="4" w:space="0" w:color="BFBFBF" w:themeColor="background1" w:themeShade="BF"/>
                              </w:tcBorders>
                              <w:shd w:val="clear" w:color="auto" w:fill="auto"/>
                              <w:noWrap/>
                              <w:vAlign w:val="center"/>
                              <w:hideMark/>
                            </w:tcPr>
                            <w:p w14:paraId="1B3C37F4" w14:textId="74C27844" w:rsidR="00A92FC2" w:rsidRPr="008A604D" w:rsidRDefault="00A92FC2" w:rsidP="008A604D">
                              <w:pPr>
                                <w:rPr>
                                  <w:rFonts w:eastAsia="Times New Roman"/>
                                  <w:i/>
                                  <w:color w:val="000000"/>
                                  <w:lang w:eastAsia="zh-CN"/>
                                </w:rPr>
                              </w:pPr>
                              <w:r w:rsidRPr="008A604D">
                                <w:rPr>
                                  <w:rFonts w:eastAsia="Times New Roman"/>
                                  <w:i/>
                                  <w:color w:val="000000"/>
                                  <w:lang w:eastAsia="zh-CN"/>
                                </w:rPr>
                                <w:t>Monthly</w:t>
                              </w:r>
                            </w:p>
                            <w:p w14:paraId="0D28FD54" w14:textId="77777777" w:rsidR="00A92FC2" w:rsidRDefault="00A92FC2" w:rsidP="008A604D">
                              <w:pPr>
                                <w:rPr>
                                  <w:rFonts w:eastAsia="Times New Roman"/>
                                  <w:i/>
                                  <w:color w:val="000000"/>
                                  <w:lang w:eastAsia="zh-CN"/>
                                </w:rPr>
                              </w:pPr>
                              <w:r w:rsidRPr="008A604D">
                                <w:rPr>
                                  <w:rFonts w:eastAsia="Times New Roman"/>
                                  <w:i/>
                                  <w:color w:val="000000"/>
                                  <w:lang w:eastAsia="zh-CN"/>
                                </w:rPr>
                                <w:t>commuting cost</w:t>
                              </w:r>
                            </w:p>
                            <w:p w14:paraId="7234A7B8" w14:textId="0053AA47" w:rsidR="00A92FC2" w:rsidRPr="008A604D" w:rsidRDefault="00A92FC2" w:rsidP="008A604D">
                              <w:pPr>
                                <w:rPr>
                                  <w:rFonts w:eastAsia="Times New Roman"/>
                                  <w:i/>
                                  <w:color w:val="000000"/>
                                  <w:lang w:eastAsia="zh-CN"/>
                                </w:rPr>
                              </w:pPr>
                              <w:r>
                                <w:rPr>
                                  <w:rFonts w:eastAsia="Times New Roman"/>
                                  <w:i/>
                                  <w:color w:val="000000"/>
                                  <w:lang w:eastAsia="zh-CN"/>
                                </w:rPr>
                                <w:t>(€)</w:t>
                              </w:r>
                            </w:p>
                          </w:tc>
                          <w:tc>
                            <w:tcPr>
                              <w:tcW w:w="12.0%" w:type="pct"/>
                              <w:tcBorders>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69133487" w14:textId="77777777" w:rsidR="00A92FC2" w:rsidRPr="008A604D" w:rsidRDefault="00A92FC2" w:rsidP="00B740C1">
                              <w:pPr>
                                <w:jc w:val="start"/>
                                <w:rPr>
                                  <w:rFonts w:eastAsia="Times New Roman"/>
                                  <w:i/>
                                  <w:color w:val="000000"/>
                                  <w:lang w:eastAsia="zh-CN"/>
                                </w:rPr>
                              </w:pPr>
                              <w:r w:rsidRPr="008A604D">
                                <w:rPr>
                                  <w:rFonts w:eastAsia="Times New Roman"/>
                                  <w:i/>
                                  <w:color w:val="000000"/>
                                  <w:lang w:eastAsia="zh-CN"/>
                                </w:rPr>
                                <w:t>Revealed</w:t>
                              </w:r>
                            </w:p>
                          </w:tc>
                          <w:tc>
                            <w:tcPr>
                              <w:tcW w:w="28.0%" w:type="pct"/>
                              <w:vMerge w:val="restart"/>
                              <w:tcBorders>
                                <w:top w:val="double" w:sz="4" w:space="0" w:color="auto"/>
                                <w:start w:val="single" w:sz="4" w:space="0" w:color="BFBFBF" w:themeColor="background1" w:themeShade="BF"/>
                                <w:bottom w:val="single" w:sz="4" w:space="0" w:color="BFBFBF" w:themeColor="background1" w:themeShade="BF"/>
                                <w:end w:val="double" w:sz="4" w:space="0" w:color="auto"/>
                              </w:tcBorders>
                              <w:vAlign w:val="center"/>
                            </w:tcPr>
                            <w:p w14:paraId="20D31475" w14:textId="77777777" w:rsidR="00A92FC2" w:rsidRPr="008A604D" w:rsidRDefault="00A92FC2" w:rsidP="008A604D">
                              <w:pPr>
                                <w:rPr>
                                  <w:rFonts w:eastAsia="Times New Roman"/>
                                  <w:i/>
                                  <w:color w:val="000000"/>
                                  <w:lang w:eastAsia="zh-CN"/>
                                </w:rPr>
                              </w:pPr>
                              <w:r w:rsidRPr="008A604D">
                                <w:rPr>
                                  <w:rFonts w:eastAsia="Times New Roman"/>
                                  <w:i/>
                                  <w:color w:val="000000"/>
                                  <w:lang w:eastAsia="zh-CN"/>
                                </w:rPr>
                                <w:t>Car</w:t>
                              </w:r>
                            </w:p>
                          </w:tc>
                          <w:tc>
                            <w:tcPr>
                              <w:tcW w:w="8.0%" w:type="pct"/>
                              <w:tcBorders>
                                <w:top w:val="double" w:sz="4" w:space="0" w:color="auto"/>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5CC4982E"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49%</w:t>
                              </w:r>
                            </w:p>
                          </w:tc>
                          <w:tc>
                            <w:tcPr>
                              <w:tcW w:w="8.0%" w:type="pct"/>
                              <w:tcBorders>
                                <w:top w:val="double" w:sz="4" w:space="0" w:color="auto"/>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7D0F0814" w14:textId="77777777" w:rsidR="00A92FC2" w:rsidRPr="008A604D" w:rsidRDefault="00A92FC2" w:rsidP="0030560B">
                              <w:pPr>
                                <w:rPr>
                                  <w:rFonts w:eastAsia="Times New Roman"/>
                                  <w:color w:val="000000"/>
                                  <w:lang w:eastAsia="zh-CN"/>
                                </w:rPr>
                              </w:pPr>
                              <w:r w:rsidRPr="008A604D">
                                <w:rPr>
                                  <w:color w:val="000000"/>
                                </w:rPr>
                                <w:t>120.9</w:t>
                              </w:r>
                            </w:p>
                          </w:tc>
                          <w:tc>
                            <w:tcPr>
                              <w:tcW w:w="8.0%" w:type="pct"/>
                              <w:tcBorders>
                                <w:top w:val="double" w:sz="4" w:space="0" w:color="auto"/>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44B5F2A2" w14:textId="77777777" w:rsidR="00A92FC2" w:rsidRPr="008A604D" w:rsidRDefault="00A92FC2" w:rsidP="0030560B">
                              <w:pPr>
                                <w:rPr>
                                  <w:rFonts w:eastAsia="Times New Roman"/>
                                  <w:color w:val="000000"/>
                                  <w:lang w:eastAsia="zh-CN"/>
                                </w:rPr>
                              </w:pPr>
                              <w:r w:rsidRPr="008A604D">
                                <w:rPr>
                                  <w:color w:val="000000"/>
                                </w:rPr>
                                <w:t>105.5</w:t>
                              </w:r>
                            </w:p>
                          </w:tc>
                          <w:tc>
                            <w:tcPr>
                              <w:tcW w:w="6.0%" w:type="pct"/>
                              <w:tcBorders>
                                <w:top w:val="double" w:sz="4" w:space="0" w:color="auto"/>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132A0500" w14:textId="77777777" w:rsidR="00A92FC2" w:rsidRPr="008A604D" w:rsidRDefault="00A92FC2" w:rsidP="0030560B">
                              <w:pPr>
                                <w:rPr>
                                  <w:rFonts w:eastAsia="Times New Roman"/>
                                  <w:color w:val="000000"/>
                                  <w:lang w:eastAsia="zh-CN"/>
                                </w:rPr>
                              </w:pPr>
                              <w:r w:rsidRPr="008A604D">
                                <w:rPr>
                                  <w:color w:val="000000"/>
                                </w:rPr>
                                <w:t>1</w:t>
                              </w:r>
                            </w:p>
                          </w:tc>
                          <w:tc>
                            <w:tcPr>
                              <w:tcW w:w="10.0%" w:type="pct"/>
                              <w:tcBorders>
                                <w:top w:val="double" w:sz="4" w:space="0" w:color="auto"/>
                                <w:start w:val="single" w:sz="4" w:space="0" w:color="D9D9D9" w:themeColor="background1" w:themeShade="D9"/>
                                <w:bottom w:val="single" w:sz="4" w:space="0" w:color="D9D9D9" w:themeColor="background1" w:themeShade="D9"/>
                                <w:end w:val="double" w:sz="4" w:space="0" w:color="000000" w:themeColor="text1"/>
                              </w:tcBorders>
                              <w:shd w:val="clear" w:color="auto" w:fill="auto"/>
                              <w:noWrap/>
                              <w:vAlign w:val="bottom"/>
                              <w:hideMark/>
                            </w:tcPr>
                            <w:p w14:paraId="4E0E83CD" w14:textId="77777777" w:rsidR="00A92FC2" w:rsidRPr="008A604D" w:rsidRDefault="00A92FC2" w:rsidP="0030560B">
                              <w:pPr>
                                <w:rPr>
                                  <w:rFonts w:eastAsia="Times New Roman"/>
                                  <w:color w:val="000000"/>
                                  <w:lang w:eastAsia="zh-CN"/>
                                </w:rPr>
                              </w:pPr>
                              <w:r w:rsidRPr="008A604D">
                                <w:rPr>
                                  <w:color w:val="000000"/>
                                </w:rPr>
                                <w:t>596</w:t>
                              </w:r>
                            </w:p>
                          </w:tc>
                        </w:tr>
                        <w:tr w:rsidR="000675DE" w:rsidRPr="0059318B" w14:paraId="36C5D3A2" w14:textId="77777777" w:rsidTr="00B740C1">
                          <w:trPr>
                            <w:trHeight w:val="308"/>
                          </w:trPr>
                          <w:tc>
                            <w:tcPr>
                              <w:tcW w:w="19.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noWrap/>
                              <w:vAlign w:val="center"/>
                              <w:hideMark/>
                            </w:tcPr>
                            <w:p w14:paraId="2F94E9A6" w14:textId="50B3C292" w:rsidR="00A92FC2" w:rsidRPr="008A604D" w:rsidRDefault="00A92FC2" w:rsidP="008A604D">
                              <w:pPr>
                                <w:rPr>
                                  <w:rFonts w:eastAsia="Times New Roman"/>
                                  <w:i/>
                                  <w:color w:val="000000"/>
                                  <w:lang w:eastAsia="zh-CN"/>
                                </w:rPr>
                              </w:pPr>
                            </w:p>
                          </w:tc>
                          <w:tc>
                            <w:tcPr>
                              <w:tcW w:w="12.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7ED45028" w14:textId="77777777" w:rsidR="00A92FC2" w:rsidRPr="008A604D" w:rsidRDefault="00A92FC2" w:rsidP="00B740C1">
                              <w:pPr>
                                <w:jc w:val="start"/>
                                <w:rPr>
                                  <w:rFonts w:eastAsia="Times New Roman"/>
                                  <w:i/>
                                  <w:color w:val="000000"/>
                                  <w:lang w:eastAsia="zh-CN"/>
                                </w:rPr>
                              </w:pPr>
                              <w:r w:rsidRPr="008A604D">
                                <w:rPr>
                                  <w:rFonts w:eastAsia="Times New Roman"/>
                                  <w:i/>
                                  <w:color w:val="000000"/>
                                  <w:lang w:eastAsia="zh-CN"/>
                                </w:rPr>
                                <w:t>Stated</w:t>
                              </w:r>
                            </w:p>
                          </w:tc>
                          <w:tc>
                            <w:tcPr>
                              <w:tcW w:w="28.0%" w:type="pct"/>
                              <w:vMerge/>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3213F9FB" w14:textId="77777777" w:rsidR="00A92FC2" w:rsidRPr="008A604D" w:rsidRDefault="00A92FC2" w:rsidP="008A604D">
                              <w:pPr>
                                <w:rPr>
                                  <w:rFonts w:eastAsia="Times New Roman"/>
                                  <w:i/>
                                  <w:color w:val="000000"/>
                                  <w:lang w:eastAsia="zh-CN"/>
                                </w:rPr>
                              </w:pPr>
                            </w:p>
                          </w:tc>
                          <w:tc>
                            <w:tcPr>
                              <w:tcW w:w="8.0%" w:type="pct"/>
                              <w:tcBorders>
                                <w:top w:val="single" w:sz="4" w:space="0" w:color="D9D9D9" w:themeColor="background1" w:themeShade="D9"/>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4369D7F1"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47%</w:t>
                              </w:r>
                            </w:p>
                          </w:tc>
                          <w:tc>
                            <w:tcPr>
                              <w:tcW w:w="8.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4E8E1683" w14:textId="77777777" w:rsidR="00A92FC2" w:rsidRPr="008A604D" w:rsidRDefault="00A92FC2" w:rsidP="0030560B">
                              <w:pPr>
                                <w:rPr>
                                  <w:rFonts w:eastAsia="Times New Roman"/>
                                  <w:color w:val="000000"/>
                                  <w:lang w:eastAsia="zh-CN"/>
                                </w:rPr>
                              </w:pPr>
                              <w:r w:rsidRPr="008A604D">
                                <w:rPr>
                                  <w:color w:val="000000"/>
                                </w:rPr>
                                <w:t>119.1</w:t>
                              </w:r>
                            </w:p>
                          </w:tc>
                          <w:tc>
                            <w:tcPr>
                              <w:tcW w:w="8.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3C0270E3" w14:textId="77777777" w:rsidR="00A92FC2" w:rsidRPr="008A604D" w:rsidRDefault="00A92FC2" w:rsidP="0030560B">
                              <w:pPr>
                                <w:rPr>
                                  <w:rFonts w:eastAsia="Times New Roman"/>
                                  <w:color w:val="000000"/>
                                  <w:lang w:eastAsia="zh-CN"/>
                                </w:rPr>
                              </w:pPr>
                              <w:r w:rsidRPr="008A604D">
                                <w:rPr>
                                  <w:color w:val="000000"/>
                                </w:rPr>
                                <w:t>96.4</w:t>
                              </w:r>
                            </w:p>
                          </w:tc>
                          <w:tc>
                            <w:tcPr>
                              <w:tcW w:w="6.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44B19160" w14:textId="77777777" w:rsidR="00A92FC2" w:rsidRPr="008A604D" w:rsidRDefault="00A92FC2" w:rsidP="0030560B">
                              <w:pPr>
                                <w:rPr>
                                  <w:rFonts w:eastAsia="Times New Roman"/>
                                  <w:color w:val="000000"/>
                                  <w:lang w:eastAsia="zh-CN"/>
                                </w:rPr>
                              </w:pPr>
                              <w:r w:rsidRPr="008A604D">
                                <w:rPr>
                                  <w:color w:val="000000"/>
                                </w:rPr>
                                <w:t>1</w:t>
                              </w:r>
                            </w:p>
                          </w:tc>
                          <w:tc>
                            <w:tcPr>
                              <w:tcW w:w="10.0%" w:type="pct"/>
                              <w:tcBorders>
                                <w:top w:val="single" w:sz="4" w:space="0" w:color="D9D9D9" w:themeColor="background1" w:themeShade="D9"/>
                                <w:start w:val="single" w:sz="4" w:space="0" w:color="D9D9D9" w:themeColor="background1" w:themeShade="D9"/>
                                <w:bottom w:val="single" w:sz="4" w:space="0" w:color="D9D9D9" w:themeColor="background1" w:themeShade="D9"/>
                                <w:end w:val="double" w:sz="4" w:space="0" w:color="000000" w:themeColor="text1"/>
                              </w:tcBorders>
                              <w:shd w:val="clear" w:color="auto" w:fill="auto"/>
                              <w:noWrap/>
                              <w:vAlign w:val="bottom"/>
                              <w:hideMark/>
                            </w:tcPr>
                            <w:p w14:paraId="6B22F2B4" w14:textId="77777777" w:rsidR="00A92FC2" w:rsidRPr="008A604D" w:rsidRDefault="00A92FC2" w:rsidP="0030560B">
                              <w:pPr>
                                <w:rPr>
                                  <w:rFonts w:eastAsia="Times New Roman"/>
                                  <w:color w:val="000000"/>
                                  <w:lang w:eastAsia="zh-CN"/>
                                </w:rPr>
                              </w:pPr>
                              <w:r w:rsidRPr="008A604D">
                                <w:rPr>
                                  <w:color w:val="000000"/>
                                </w:rPr>
                                <w:t>553.1</w:t>
                              </w:r>
                            </w:p>
                          </w:tc>
                        </w:tr>
                        <w:tr w:rsidR="000675DE" w:rsidRPr="0059318B" w14:paraId="4EEE0D06" w14:textId="77777777" w:rsidTr="000675DE">
                          <w:trPr>
                            <w:trHeight w:val="308"/>
                          </w:trPr>
                          <w:tc>
                            <w:tcPr>
                              <w:tcW w:w="19.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noWrap/>
                              <w:vAlign w:val="center"/>
                              <w:hideMark/>
                            </w:tcPr>
                            <w:p w14:paraId="5E54CB96" w14:textId="77777777" w:rsidR="00A92FC2" w:rsidRPr="008A604D" w:rsidRDefault="00A92FC2" w:rsidP="008A604D">
                              <w:pPr>
                                <w:rPr>
                                  <w:rFonts w:eastAsia="Times New Roman"/>
                                  <w:i/>
                                  <w:color w:val="000000"/>
                                  <w:lang w:eastAsia="zh-CN"/>
                                </w:rPr>
                              </w:pPr>
                            </w:p>
                          </w:tc>
                          <w:tc>
                            <w:tcPr>
                              <w:tcW w:w="12.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76131C3F" w14:textId="77777777" w:rsidR="00A92FC2" w:rsidRPr="008A604D" w:rsidRDefault="00A92FC2" w:rsidP="00B740C1">
                              <w:pPr>
                                <w:jc w:val="start"/>
                                <w:rPr>
                                  <w:rFonts w:eastAsia="Times New Roman"/>
                                  <w:i/>
                                  <w:color w:val="000000"/>
                                  <w:lang w:eastAsia="zh-CN"/>
                                </w:rPr>
                              </w:pPr>
                              <w:r w:rsidRPr="008A604D">
                                <w:rPr>
                                  <w:rFonts w:eastAsia="Times New Roman"/>
                                  <w:i/>
                                  <w:color w:val="000000"/>
                                  <w:lang w:eastAsia="zh-CN"/>
                                </w:rPr>
                                <w:t>Revealed</w:t>
                              </w:r>
                            </w:p>
                          </w:tc>
                          <w:tc>
                            <w:tcPr>
                              <w:tcW w:w="28.0%" w:type="pct"/>
                              <w:vMerge w:val="restar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562F8629" w14:textId="77777777" w:rsidR="00A92FC2" w:rsidRPr="008A604D" w:rsidRDefault="00A92FC2" w:rsidP="008A604D">
                              <w:pPr>
                                <w:rPr>
                                  <w:rFonts w:eastAsia="Times New Roman"/>
                                  <w:i/>
                                  <w:color w:val="000000"/>
                                  <w:lang w:eastAsia="zh-CN"/>
                                </w:rPr>
                              </w:pPr>
                              <w:r w:rsidRPr="008A604D">
                                <w:rPr>
                                  <w:rFonts w:eastAsia="Times New Roman"/>
                                  <w:i/>
                                  <w:color w:val="000000"/>
                                  <w:lang w:eastAsia="zh-CN"/>
                                </w:rPr>
                                <w:t>Public transport</w:t>
                              </w:r>
                            </w:p>
                          </w:tc>
                          <w:tc>
                            <w:tcPr>
                              <w:tcW w:w="8.0%" w:type="pct"/>
                              <w:tcBorders>
                                <w:top w:val="single" w:sz="4" w:space="0" w:color="D9D9D9" w:themeColor="background1" w:themeShade="D9"/>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783AB4AC"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21%</w:t>
                              </w:r>
                            </w:p>
                          </w:tc>
                          <w:tc>
                            <w:tcPr>
                              <w:tcW w:w="8.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7F322C42" w14:textId="77777777" w:rsidR="00A92FC2" w:rsidRPr="008A604D" w:rsidRDefault="00A92FC2" w:rsidP="0030560B">
                              <w:pPr>
                                <w:rPr>
                                  <w:rFonts w:eastAsia="Times New Roman"/>
                                  <w:color w:val="000000"/>
                                  <w:lang w:eastAsia="zh-CN"/>
                                </w:rPr>
                              </w:pPr>
                              <w:r w:rsidRPr="008A604D">
                                <w:rPr>
                                  <w:color w:val="000000"/>
                                </w:rPr>
                                <w:t>144.3</w:t>
                              </w:r>
                            </w:p>
                          </w:tc>
                          <w:tc>
                            <w:tcPr>
                              <w:tcW w:w="8.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42D8D0E5" w14:textId="77777777" w:rsidR="00A92FC2" w:rsidRPr="008A604D" w:rsidRDefault="00A92FC2" w:rsidP="0030560B">
                              <w:pPr>
                                <w:rPr>
                                  <w:rFonts w:eastAsia="Times New Roman"/>
                                  <w:color w:val="000000"/>
                                  <w:lang w:eastAsia="zh-CN"/>
                                </w:rPr>
                              </w:pPr>
                              <w:r w:rsidRPr="008A604D">
                                <w:rPr>
                                  <w:color w:val="000000"/>
                                </w:rPr>
                                <w:t>83.6</w:t>
                              </w:r>
                            </w:p>
                          </w:tc>
                          <w:tc>
                            <w:tcPr>
                              <w:tcW w:w="6.0%" w:type="pct"/>
                              <w:tcBorders>
                                <w:top w:val="single" w:sz="4" w:space="0" w:color="D9D9D9" w:themeColor="background1" w:themeShade="D9"/>
                                <w:start w:val="single" w:sz="4" w:space="0" w:color="D9D9D9" w:themeColor="background1" w:themeShade="D9"/>
                                <w:bottom w:val="single" w:sz="4" w:space="0" w:color="D9D9D9" w:themeColor="background1" w:themeShade="D9"/>
                                <w:end w:val="single" w:sz="4" w:space="0" w:color="D9D9D9" w:themeColor="background1" w:themeShade="D9"/>
                              </w:tcBorders>
                              <w:shd w:val="clear" w:color="auto" w:fill="auto"/>
                              <w:noWrap/>
                              <w:vAlign w:val="bottom"/>
                              <w:hideMark/>
                            </w:tcPr>
                            <w:p w14:paraId="12D2B0D8" w14:textId="77777777" w:rsidR="00A92FC2" w:rsidRPr="008A604D" w:rsidRDefault="00A92FC2" w:rsidP="0030560B">
                              <w:pPr>
                                <w:rPr>
                                  <w:rFonts w:eastAsia="Times New Roman"/>
                                  <w:color w:val="000000"/>
                                  <w:lang w:eastAsia="zh-CN"/>
                                </w:rPr>
                              </w:pPr>
                              <w:r w:rsidRPr="008A604D">
                                <w:rPr>
                                  <w:color w:val="000000"/>
                                </w:rPr>
                                <w:t>28</w:t>
                              </w:r>
                            </w:p>
                          </w:tc>
                          <w:tc>
                            <w:tcPr>
                              <w:tcW w:w="10.0%" w:type="pct"/>
                              <w:tcBorders>
                                <w:top w:val="single" w:sz="4" w:space="0" w:color="D9D9D9" w:themeColor="background1" w:themeShade="D9"/>
                                <w:start w:val="single" w:sz="4" w:space="0" w:color="D9D9D9" w:themeColor="background1" w:themeShade="D9"/>
                                <w:bottom w:val="single" w:sz="4" w:space="0" w:color="D9D9D9" w:themeColor="background1" w:themeShade="D9"/>
                                <w:end w:val="double" w:sz="4" w:space="0" w:color="000000" w:themeColor="text1"/>
                              </w:tcBorders>
                              <w:shd w:val="clear" w:color="auto" w:fill="auto"/>
                              <w:noWrap/>
                              <w:vAlign w:val="bottom"/>
                              <w:hideMark/>
                            </w:tcPr>
                            <w:p w14:paraId="37D7052B" w14:textId="77777777" w:rsidR="00A92FC2" w:rsidRPr="008A604D" w:rsidRDefault="00A92FC2" w:rsidP="0030560B">
                              <w:pPr>
                                <w:rPr>
                                  <w:rFonts w:eastAsia="Times New Roman"/>
                                  <w:color w:val="000000"/>
                                  <w:lang w:eastAsia="zh-CN"/>
                                </w:rPr>
                              </w:pPr>
                              <w:r w:rsidRPr="008A604D">
                                <w:rPr>
                                  <w:color w:val="000000"/>
                                </w:rPr>
                                <w:t>347</w:t>
                              </w:r>
                            </w:p>
                          </w:tc>
                        </w:tr>
                        <w:tr w:rsidR="000675DE" w:rsidRPr="0059318B" w14:paraId="15FBC05D" w14:textId="77777777" w:rsidTr="000675DE">
                          <w:trPr>
                            <w:trHeight w:val="308"/>
                          </w:trPr>
                          <w:tc>
                            <w:tcPr>
                              <w:tcW w:w="19.0%" w:type="pct"/>
                              <w:vMerge/>
                              <w:tcBorders>
                                <w:top w:val="single" w:sz="4" w:space="0" w:color="BFBFBF" w:themeColor="background1" w:themeShade="BF"/>
                                <w:bottom w:val="double" w:sz="4" w:space="0" w:color="auto"/>
                                <w:end w:val="single" w:sz="4" w:space="0" w:color="BFBFBF" w:themeColor="background1" w:themeShade="BF"/>
                              </w:tcBorders>
                              <w:shd w:val="clear" w:color="auto" w:fill="auto"/>
                              <w:noWrap/>
                              <w:vAlign w:val="center"/>
                              <w:hideMark/>
                            </w:tcPr>
                            <w:p w14:paraId="1D76872F" w14:textId="77777777" w:rsidR="00A92FC2" w:rsidRPr="008A604D" w:rsidRDefault="00A92FC2" w:rsidP="008A604D">
                              <w:pPr>
                                <w:rPr>
                                  <w:rFonts w:eastAsia="Times New Roman"/>
                                  <w:i/>
                                  <w:color w:val="000000"/>
                                  <w:lang w:eastAsia="zh-CN"/>
                                </w:rPr>
                              </w:pPr>
                            </w:p>
                          </w:tc>
                          <w:tc>
                            <w:tcPr>
                              <w:tcW w:w="12.0%" w:type="pct"/>
                              <w:tcBorders>
                                <w:top w:val="single" w:sz="4" w:space="0" w:color="BFBFBF" w:themeColor="background1" w:themeShade="BF"/>
                                <w:start w:val="single" w:sz="4" w:space="0" w:color="BFBFBF" w:themeColor="background1" w:themeShade="BF"/>
                                <w:bottom w:val="double" w:sz="4" w:space="0" w:color="auto"/>
                                <w:end w:val="single" w:sz="4" w:space="0" w:color="BFBFBF" w:themeColor="background1" w:themeShade="BF"/>
                              </w:tcBorders>
                              <w:vAlign w:val="center"/>
                            </w:tcPr>
                            <w:p w14:paraId="672CCE0B" w14:textId="77777777" w:rsidR="00A92FC2" w:rsidRPr="008A604D" w:rsidRDefault="00A92FC2" w:rsidP="00B740C1">
                              <w:pPr>
                                <w:jc w:val="start"/>
                                <w:rPr>
                                  <w:rFonts w:eastAsia="Times New Roman"/>
                                  <w:i/>
                                  <w:color w:val="000000"/>
                                  <w:lang w:eastAsia="zh-CN"/>
                                </w:rPr>
                              </w:pPr>
                              <w:r w:rsidRPr="008A604D">
                                <w:rPr>
                                  <w:rFonts w:eastAsia="Times New Roman"/>
                                  <w:i/>
                                  <w:color w:val="000000"/>
                                  <w:lang w:eastAsia="zh-CN"/>
                                </w:rPr>
                                <w:t>Stated</w:t>
                              </w:r>
                            </w:p>
                          </w:tc>
                          <w:tc>
                            <w:tcPr>
                              <w:tcW w:w="28.0%" w:type="pct"/>
                              <w:vMerge/>
                              <w:tcBorders>
                                <w:top w:val="single" w:sz="4" w:space="0" w:color="BFBFBF" w:themeColor="background1" w:themeShade="BF"/>
                                <w:start w:val="single" w:sz="4" w:space="0" w:color="BFBFBF" w:themeColor="background1" w:themeShade="BF"/>
                                <w:bottom w:val="double" w:sz="4" w:space="0" w:color="auto"/>
                                <w:end w:val="double" w:sz="4" w:space="0" w:color="auto"/>
                              </w:tcBorders>
                              <w:vAlign w:val="center"/>
                            </w:tcPr>
                            <w:p w14:paraId="3CE97023" w14:textId="77777777" w:rsidR="00A92FC2" w:rsidRPr="008A604D" w:rsidRDefault="00A92FC2" w:rsidP="008A604D">
                              <w:pPr>
                                <w:rPr>
                                  <w:rFonts w:eastAsia="Times New Roman"/>
                                  <w:i/>
                                  <w:color w:val="000000"/>
                                  <w:lang w:eastAsia="zh-CN"/>
                                </w:rPr>
                              </w:pPr>
                            </w:p>
                          </w:tc>
                          <w:tc>
                            <w:tcPr>
                              <w:tcW w:w="8.0%" w:type="pct"/>
                              <w:tcBorders>
                                <w:top w:val="single" w:sz="4" w:space="0" w:color="D9D9D9" w:themeColor="background1" w:themeShade="D9"/>
                                <w:start w:val="double" w:sz="4" w:space="0" w:color="auto"/>
                                <w:bottom w:val="double" w:sz="4" w:space="0" w:color="auto"/>
                                <w:end w:val="single" w:sz="4" w:space="0" w:color="D9D9D9" w:themeColor="background1" w:themeShade="D9"/>
                              </w:tcBorders>
                              <w:shd w:val="clear" w:color="auto" w:fill="auto"/>
                              <w:noWrap/>
                              <w:vAlign w:val="bottom"/>
                              <w:hideMark/>
                            </w:tcPr>
                            <w:p w14:paraId="627FB705"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17%</w:t>
                              </w:r>
                            </w:p>
                          </w:tc>
                          <w:tc>
                            <w:tcPr>
                              <w:tcW w:w="8.0%" w:type="pct"/>
                              <w:tcBorders>
                                <w:top w:val="single" w:sz="4" w:space="0" w:color="D9D9D9" w:themeColor="background1" w:themeShade="D9"/>
                                <w:start w:val="single" w:sz="4" w:space="0" w:color="D9D9D9" w:themeColor="background1" w:themeShade="D9"/>
                                <w:bottom w:val="double" w:sz="4" w:space="0" w:color="auto"/>
                                <w:end w:val="single" w:sz="4" w:space="0" w:color="D9D9D9" w:themeColor="background1" w:themeShade="D9"/>
                              </w:tcBorders>
                              <w:shd w:val="clear" w:color="auto" w:fill="auto"/>
                              <w:noWrap/>
                              <w:vAlign w:val="bottom"/>
                              <w:hideMark/>
                            </w:tcPr>
                            <w:p w14:paraId="589D1F85" w14:textId="77777777" w:rsidR="00A92FC2" w:rsidRPr="008A604D" w:rsidRDefault="00A92FC2" w:rsidP="0030560B">
                              <w:pPr>
                                <w:rPr>
                                  <w:rFonts w:eastAsia="Times New Roman"/>
                                  <w:color w:val="000000"/>
                                  <w:lang w:eastAsia="zh-CN"/>
                                </w:rPr>
                              </w:pPr>
                              <w:r w:rsidRPr="008A604D">
                                <w:rPr>
                                  <w:color w:val="000000"/>
                                </w:rPr>
                                <w:t>125.3</w:t>
                              </w:r>
                            </w:p>
                          </w:tc>
                          <w:tc>
                            <w:tcPr>
                              <w:tcW w:w="8.0%" w:type="pct"/>
                              <w:tcBorders>
                                <w:top w:val="single" w:sz="4" w:space="0" w:color="D9D9D9" w:themeColor="background1" w:themeShade="D9"/>
                                <w:start w:val="single" w:sz="4" w:space="0" w:color="D9D9D9" w:themeColor="background1" w:themeShade="D9"/>
                                <w:bottom w:val="double" w:sz="4" w:space="0" w:color="auto"/>
                                <w:end w:val="single" w:sz="4" w:space="0" w:color="D9D9D9" w:themeColor="background1" w:themeShade="D9"/>
                              </w:tcBorders>
                              <w:shd w:val="clear" w:color="auto" w:fill="auto"/>
                              <w:noWrap/>
                              <w:vAlign w:val="bottom"/>
                              <w:hideMark/>
                            </w:tcPr>
                            <w:p w14:paraId="1ECF0FF4" w14:textId="77777777" w:rsidR="00A92FC2" w:rsidRPr="008A604D" w:rsidRDefault="00A92FC2" w:rsidP="0030560B">
                              <w:pPr>
                                <w:rPr>
                                  <w:rFonts w:eastAsia="Times New Roman"/>
                                  <w:color w:val="000000"/>
                                  <w:lang w:eastAsia="zh-CN"/>
                                </w:rPr>
                              </w:pPr>
                              <w:r w:rsidRPr="008A604D">
                                <w:rPr>
                                  <w:color w:val="000000"/>
                                </w:rPr>
                                <w:t>100.4</w:t>
                              </w:r>
                            </w:p>
                          </w:tc>
                          <w:tc>
                            <w:tcPr>
                              <w:tcW w:w="6.0%" w:type="pct"/>
                              <w:tcBorders>
                                <w:top w:val="single" w:sz="4" w:space="0" w:color="D9D9D9" w:themeColor="background1" w:themeShade="D9"/>
                                <w:start w:val="single" w:sz="4" w:space="0" w:color="D9D9D9" w:themeColor="background1" w:themeShade="D9"/>
                                <w:bottom w:val="double" w:sz="4" w:space="0" w:color="auto"/>
                                <w:end w:val="single" w:sz="4" w:space="0" w:color="D9D9D9" w:themeColor="background1" w:themeShade="D9"/>
                              </w:tcBorders>
                              <w:shd w:val="clear" w:color="auto" w:fill="auto"/>
                              <w:noWrap/>
                              <w:vAlign w:val="bottom"/>
                              <w:hideMark/>
                            </w:tcPr>
                            <w:p w14:paraId="08A3C6EE" w14:textId="77777777" w:rsidR="00A92FC2" w:rsidRPr="008A604D" w:rsidRDefault="00A92FC2" w:rsidP="0030560B">
                              <w:pPr>
                                <w:rPr>
                                  <w:rFonts w:eastAsia="Times New Roman"/>
                                  <w:color w:val="000000"/>
                                  <w:lang w:eastAsia="zh-CN"/>
                                </w:rPr>
                              </w:pPr>
                              <w:r w:rsidRPr="008A604D">
                                <w:rPr>
                                  <w:color w:val="000000"/>
                                </w:rPr>
                                <w:t>1</w:t>
                              </w:r>
                            </w:p>
                          </w:tc>
                          <w:tc>
                            <w:tcPr>
                              <w:tcW w:w="10.0%" w:type="pct"/>
                              <w:tcBorders>
                                <w:top w:val="single" w:sz="4" w:space="0" w:color="D9D9D9" w:themeColor="background1" w:themeShade="D9"/>
                                <w:start w:val="single" w:sz="4" w:space="0" w:color="D9D9D9" w:themeColor="background1" w:themeShade="D9"/>
                                <w:bottom w:val="double" w:sz="4" w:space="0" w:color="auto"/>
                                <w:end w:val="double" w:sz="4" w:space="0" w:color="000000" w:themeColor="text1"/>
                              </w:tcBorders>
                              <w:shd w:val="clear" w:color="auto" w:fill="auto"/>
                              <w:noWrap/>
                              <w:vAlign w:val="bottom"/>
                              <w:hideMark/>
                            </w:tcPr>
                            <w:p w14:paraId="0E135049" w14:textId="77777777" w:rsidR="00A92FC2" w:rsidRPr="008A604D" w:rsidRDefault="00A92FC2" w:rsidP="0030560B">
                              <w:pPr>
                                <w:rPr>
                                  <w:rFonts w:eastAsia="Times New Roman"/>
                                  <w:color w:val="000000"/>
                                  <w:lang w:eastAsia="zh-CN"/>
                                </w:rPr>
                              </w:pPr>
                              <w:r w:rsidRPr="008A604D">
                                <w:rPr>
                                  <w:color w:val="000000"/>
                                </w:rPr>
                                <w:t>495</w:t>
                              </w:r>
                            </w:p>
                          </w:tc>
                        </w:tr>
                        <w:tr w:rsidR="000675DE" w:rsidRPr="0059318B" w14:paraId="71EDEAF0" w14:textId="77777777" w:rsidTr="00B740C1">
                          <w:trPr>
                            <w:trHeight w:val="308"/>
                          </w:trPr>
                          <w:tc>
                            <w:tcPr>
                              <w:tcW w:w="19.0%" w:type="pct"/>
                              <w:vMerge w:val="restart"/>
                              <w:tcBorders>
                                <w:bottom w:val="single" w:sz="4" w:space="0" w:color="BFBFBF" w:themeColor="background1" w:themeShade="BF"/>
                                <w:end w:val="single" w:sz="4" w:space="0" w:color="BFBFBF" w:themeColor="background1" w:themeShade="BF"/>
                              </w:tcBorders>
                              <w:shd w:val="clear" w:color="auto" w:fill="auto"/>
                              <w:noWrap/>
                              <w:vAlign w:val="center"/>
                            </w:tcPr>
                            <w:p w14:paraId="760F59F8" w14:textId="77777777" w:rsidR="00A92FC2" w:rsidRPr="008A604D" w:rsidRDefault="00A92FC2" w:rsidP="008A604D">
                              <w:pPr>
                                <w:rPr>
                                  <w:rFonts w:eastAsia="Times New Roman"/>
                                  <w:i/>
                                  <w:color w:val="000000"/>
                                  <w:lang w:eastAsia="zh-CN"/>
                                </w:rPr>
                              </w:pPr>
                              <w:r w:rsidRPr="008A604D">
                                <w:rPr>
                                  <w:rFonts w:eastAsia="Times New Roman"/>
                                  <w:i/>
                                  <w:color w:val="000000"/>
                                  <w:lang w:eastAsia="zh-CN"/>
                                </w:rPr>
                                <w:t>House type</w:t>
                              </w:r>
                            </w:p>
                          </w:tc>
                          <w:tc>
                            <w:tcPr>
                              <w:tcW w:w="12.0%" w:type="pct"/>
                              <w:tcBorders>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45FB630C" w14:textId="77777777" w:rsidR="00A92FC2" w:rsidRPr="008A604D" w:rsidRDefault="00A92FC2" w:rsidP="00B740C1">
                              <w:pPr>
                                <w:jc w:val="start"/>
                                <w:rPr>
                                  <w:rFonts w:eastAsia="Times New Roman"/>
                                  <w:i/>
                                  <w:color w:val="000000"/>
                                  <w:lang w:eastAsia="zh-CN"/>
                                </w:rPr>
                              </w:pPr>
                              <w:r w:rsidRPr="008A604D">
                                <w:rPr>
                                  <w:rFonts w:eastAsia="Times New Roman"/>
                                  <w:i/>
                                  <w:color w:val="000000"/>
                                  <w:lang w:eastAsia="zh-CN"/>
                                </w:rPr>
                                <w:t>Revealed</w:t>
                              </w:r>
                            </w:p>
                          </w:tc>
                          <w:tc>
                            <w:tcPr>
                              <w:tcW w:w="28.0%" w:type="pct"/>
                              <w:vMerge w:val="restart"/>
                              <w:tcBorders>
                                <w:start w:val="single" w:sz="4" w:space="0" w:color="BFBFBF" w:themeColor="background1" w:themeShade="BF"/>
                                <w:bottom w:val="single" w:sz="4" w:space="0" w:color="BFBFBF" w:themeColor="background1" w:themeShade="BF"/>
                                <w:end w:val="double" w:sz="4" w:space="0" w:color="auto"/>
                              </w:tcBorders>
                              <w:vAlign w:val="center"/>
                            </w:tcPr>
                            <w:p w14:paraId="5813A930" w14:textId="77777777" w:rsidR="00A92FC2" w:rsidRPr="008A604D" w:rsidRDefault="00A92FC2" w:rsidP="008A604D">
                              <w:pPr>
                                <w:rPr>
                                  <w:rFonts w:eastAsia="Times New Roman"/>
                                  <w:i/>
                                  <w:color w:val="000000"/>
                                  <w:lang w:eastAsia="zh-CN"/>
                                </w:rPr>
                              </w:pPr>
                              <w:r w:rsidRPr="008A604D">
                                <w:rPr>
                                  <w:rFonts w:eastAsia="Times New Roman"/>
                                  <w:i/>
                                  <w:color w:val="000000"/>
                                  <w:lang w:eastAsia="zh-CN"/>
                                </w:rPr>
                                <w:t>Apartment</w:t>
                              </w:r>
                            </w:p>
                          </w:tc>
                          <w:tc>
                            <w:tcPr>
                              <w:tcW w:w="8.0%" w:type="pct"/>
                              <w:tcBorders>
                                <w:top w:val="double" w:sz="4" w:space="0" w:color="auto"/>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054E6A83"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60%</w:t>
                              </w:r>
                            </w:p>
                          </w:tc>
                          <w:tc>
                            <w:tcPr>
                              <w:tcW w:w="8.0%" w:type="pct"/>
                              <w:tcBorders>
                                <w:top w:val="double" w:sz="4" w:space="0" w:color="auto"/>
                                <w:start w:val="single" w:sz="4" w:space="0" w:color="D9D9D9" w:themeColor="background1" w:themeShade="D9"/>
                                <w:bottom w:val="nil"/>
                                <w:end w:val="nil"/>
                              </w:tcBorders>
                              <w:shd w:val="clear" w:color="auto" w:fill="auto"/>
                              <w:noWrap/>
                              <w:vAlign w:val="bottom"/>
                              <w:hideMark/>
                            </w:tcPr>
                            <w:p w14:paraId="2C58CF6D" w14:textId="77777777" w:rsidR="00A92FC2" w:rsidRPr="008A604D" w:rsidRDefault="00A92FC2" w:rsidP="0030560B">
                              <w:pPr>
                                <w:rPr>
                                  <w:rFonts w:eastAsia="Times New Roman"/>
                                  <w:color w:val="000000"/>
                                  <w:lang w:eastAsia="zh-CN"/>
                                </w:rPr>
                              </w:pPr>
                            </w:p>
                          </w:tc>
                          <w:tc>
                            <w:tcPr>
                              <w:tcW w:w="8.0%" w:type="pct"/>
                              <w:tcBorders>
                                <w:top w:val="double" w:sz="4" w:space="0" w:color="auto"/>
                                <w:start w:val="nil"/>
                                <w:bottom w:val="nil"/>
                                <w:end w:val="nil"/>
                              </w:tcBorders>
                              <w:shd w:val="clear" w:color="auto" w:fill="auto"/>
                              <w:noWrap/>
                              <w:vAlign w:val="bottom"/>
                              <w:hideMark/>
                            </w:tcPr>
                            <w:p w14:paraId="661A4609" w14:textId="77777777" w:rsidR="00A92FC2" w:rsidRPr="008A604D" w:rsidRDefault="00A92FC2" w:rsidP="0030560B">
                              <w:pPr>
                                <w:rPr>
                                  <w:rFonts w:eastAsia="Times New Roman"/>
                                  <w:lang w:eastAsia="zh-CN"/>
                                </w:rPr>
                              </w:pPr>
                            </w:p>
                          </w:tc>
                          <w:tc>
                            <w:tcPr>
                              <w:tcW w:w="6.0%" w:type="pct"/>
                              <w:tcBorders>
                                <w:top w:val="double" w:sz="4" w:space="0" w:color="auto"/>
                                <w:start w:val="nil"/>
                                <w:bottom w:val="nil"/>
                                <w:end w:val="nil"/>
                              </w:tcBorders>
                              <w:shd w:val="clear" w:color="auto" w:fill="auto"/>
                              <w:noWrap/>
                              <w:vAlign w:val="bottom"/>
                              <w:hideMark/>
                            </w:tcPr>
                            <w:p w14:paraId="18FDC560" w14:textId="77777777" w:rsidR="00A92FC2" w:rsidRPr="008A604D" w:rsidRDefault="00A92FC2" w:rsidP="0030560B">
                              <w:pPr>
                                <w:rPr>
                                  <w:rFonts w:eastAsia="Times New Roman"/>
                                  <w:lang w:eastAsia="zh-CN"/>
                                </w:rPr>
                              </w:pPr>
                            </w:p>
                          </w:tc>
                          <w:tc>
                            <w:tcPr>
                              <w:tcW w:w="10.0%" w:type="pct"/>
                              <w:tcBorders>
                                <w:top w:val="double" w:sz="4" w:space="0" w:color="auto"/>
                                <w:start w:val="nil"/>
                                <w:bottom w:val="nil"/>
                                <w:end w:val="double" w:sz="4" w:space="0" w:color="000000" w:themeColor="text1"/>
                              </w:tcBorders>
                              <w:shd w:val="clear" w:color="auto" w:fill="auto"/>
                              <w:noWrap/>
                              <w:vAlign w:val="bottom"/>
                              <w:hideMark/>
                            </w:tcPr>
                            <w:p w14:paraId="5A89C240" w14:textId="77777777" w:rsidR="00A92FC2" w:rsidRPr="008A604D" w:rsidRDefault="00A92FC2" w:rsidP="0030560B">
                              <w:pPr>
                                <w:rPr>
                                  <w:rFonts w:eastAsia="Times New Roman"/>
                                  <w:lang w:eastAsia="zh-CN"/>
                                </w:rPr>
                              </w:pPr>
                            </w:p>
                          </w:tc>
                        </w:tr>
                        <w:tr w:rsidR="000675DE" w:rsidRPr="0059318B" w14:paraId="6631B3C4" w14:textId="77777777" w:rsidTr="00B740C1">
                          <w:trPr>
                            <w:trHeight w:val="308"/>
                          </w:trPr>
                          <w:tc>
                            <w:tcPr>
                              <w:tcW w:w="19.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noWrap/>
                              <w:vAlign w:val="center"/>
                            </w:tcPr>
                            <w:p w14:paraId="4F5AE349" w14:textId="77777777" w:rsidR="00A92FC2" w:rsidRPr="008A604D" w:rsidRDefault="00A92FC2" w:rsidP="008A604D">
                              <w:pPr>
                                <w:rPr>
                                  <w:rFonts w:eastAsia="Times New Roman"/>
                                  <w:i/>
                                  <w:lang w:eastAsia="zh-CN"/>
                                </w:rPr>
                              </w:pPr>
                            </w:p>
                          </w:tc>
                          <w:tc>
                            <w:tcPr>
                              <w:tcW w:w="12.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6CCE4926" w14:textId="77777777" w:rsidR="00A92FC2" w:rsidRPr="008A604D" w:rsidRDefault="00A92FC2" w:rsidP="00B740C1">
                              <w:pPr>
                                <w:jc w:val="start"/>
                                <w:rPr>
                                  <w:rFonts w:eastAsia="Times New Roman"/>
                                  <w:i/>
                                  <w:color w:val="000000"/>
                                  <w:lang w:eastAsia="zh-CN"/>
                                </w:rPr>
                              </w:pPr>
                              <w:r w:rsidRPr="008A604D">
                                <w:rPr>
                                  <w:rFonts w:eastAsia="Times New Roman"/>
                                  <w:i/>
                                  <w:color w:val="000000"/>
                                  <w:lang w:eastAsia="zh-CN"/>
                                </w:rPr>
                                <w:t>Stated</w:t>
                              </w:r>
                            </w:p>
                          </w:tc>
                          <w:tc>
                            <w:tcPr>
                              <w:tcW w:w="28.0%" w:type="pct"/>
                              <w:vMerge/>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40D92AA5" w14:textId="77777777" w:rsidR="00A92FC2" w:rsidRPr="008A604D" w:rsidRDefault="00A92FC2" w:rsidP="008A604D">
                              <w:pPr>
                                <w:rPr>
                                  <w:rFonts w:eastAsia="Times New Roman"/>
                                  <w:i/>
                                  <w:color w:val="000000"/>
                                  <w:lang w:eastAsia="zh-CN"/>
                                </w:rPr>
                              </w:pPr>
                            </w:p>
                          </w:tc>
                          <w:tc>
                            <w:tcPr>
                              <w:tcW w:w="8.0%" w:type="pct"/>
                              <w:tcBorders>
                                <w:top w:val="single" w:sz="4" w:space="0" w:color="D9D9D9" w:themeColor="background1" w:themeShade="D9"/>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6645CEE3"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50%</w:t>
                              </w:r>
                            </w:p>
                          </w:tc>
                          <w:tc>
                            <w:tcPr>
                              <w:tcW w:w="8.0%" w:type="pct"/>
                              <w:tcBorders>
                                <w:top w:val="nil"/>
                                <w:start w:val="single" w:sz="4" w:space="0" w:color="D9D9D9" w:themeColor="background1" w:themeShade="D9"/>
                                <w:bottom w:val="nil"/>
                                <w:end w:val="nil"/>
                              </w:tcBorders>
                              <w:shd w:val="clear" w:color="auto" w:fill="auto"/>
                              <w:noWrap/>
                              <w:vAlign w:val="bottom"/>
                              <w:hideMark/>
                            </w:tcPr>
                            <w:p w14:paraId="1F1EB73A" w14:textId="77777777" w:rsidR="00A92FC2" w:rsidRPr="008A604D" w:rsidRDefault="00A92FC2" w:rsidP="0030560B">
                              <w:pPr>
                                <w:rPr>
                                  <w:rFonts w:eastAsia="Times New Roman"/>
                                  <w:color w:val="000000"/>
                                  <w:lang w:eastAsia="zh-CN"/>
                                </w:rPr>
                              </w:pPr>
                            </w:p>
                          </w:tc>
                          <w:tc>
                            <w:tcPr>
                              <w:tcW w:w="8.0%" w:type="pct"/>
                              <w:tcBorders>
                                <w:top w:val="nil"/>
                                <w:start w:val="nil"/>
                                <w:bottom w:val="nil"/>
                                <w:end w:val="nil"/>
                              </w:tcBorders>
                              <w:shd w:val="clear" w:color="auto" w:fill="auto"/>
                              <w:noWrap/>
                              <w:vAlign w:val="bottom"/>
                              <w:hideMark/>
                            </w:tcPr>
                            <w:p w14:paraId="786800F6" w14:textId="77777777" w:rsidR="00A92FC2" w:rsidRPr="008A604D" w:rsidRDefault="00A92FC2" w:rsidP="0030560B">
                              <w:pPr>
                                <w:rPr>
                                  <w:rFonts w:eastAsia="Times New Roman"/>
                                  <w:lang w:eastAsia="zh-CN"/>
                                </w:rPr>
                              </w:pPr>
                            </w:p>
                          </w:tc>
                          <w:tc>
                            <w:tcPr>
                              <w:tcW w:w="6.0%" w:type="pct"/>
                              <w:tcBorders>
                                <w:top w:val="nil"/>
                                <w:start w:val="nil"/>
                                <w:bottom w:val="nil"/>
                                <w:end w:val="nil"/>
                              </w:tcBorders>
                              <w:shd w:val="clear" w:color="auto" w:fill="auto"/>
                              <w:noWrap/>
                              <w:vAlign w:val="bottom"/>
                              <w:hideMark/>
                            </w:tcPr>
                            <w:p w14:paraId="48F9D5DA" w14:textId="77777777" w:rsidR="00A92FC2" w:rsidRPr="008A604D" w:rsidRDefault="00A92FC2" w:rsidP="0030560B">
                              <w:pPr>
                                <w:rPr>
                                  <w:rFonts w:eastAsia="Times New Roman"/>
                                  <w:lang w:eastAsia="zh-CN"/>
                                </w:rPr>
                              </w:pPr>
                            </w:p>
                          </w:tc>
                          <w:tc>
                            <w:tcPr>
                              <w:tcW w:w="10.0%" w:type="pct"/>
                              <w:tcBorders>
                                <w:top w:val="nil"/>
                                <w:start w:val="nil"/>
                                <w:bottom w:val="nil"/>
                                <w:end w:val="double" w:sz="4" w:space="0" w:color="000000" w:themeColor="text1"/>
                              </w:tcBorders>
                              <w:shd w:val="clear" w:color="auto" w:fill="auto"/>
                              <w:noWrap/>
                              <w:vAlign w:val="bottom"/>
                              <w:hideMark/>
                            </w:tcPr>
                            <w:p w14:paraId="338DE908" w14:textId="77777777" w:rsidR="00A92FC2" w:rsidRPr="008A604D" w:rsidRDefault="00A92FC2" w:rsidP="0030560B">
                              <w:pPr>
                                <w:rPr>
                                  <w:rFonts w:eastAsia="Times New Roman"/>
                                  <w:lang w:eastAsia="zh-CN"/>
                                </w:rPr>
                              </w:pPr>
                            </w:p>
                          </w:tc>
                        </w:tr>
                        <w:tr w:rsidR="000675DE" w:rsidRPr="0059318B" w14:paraId="64D0C682" w14:textId="77777777" w:rsidTr="00B740C1">
                          <w:trPr>
                            <w:trHeight w:val="308"/>
                          </w:trPr>
                          <w:tc>
                            <w:tcPr>
                              <w:tcW w:w="19.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noWrap/>
                              <w:vAlign w:val="center"/>
                            </w:tcPr>
                            <w:p w14:paraId="1BCA5A92" w14:textId="77777777" w:rsidR="00A92FC2" w:rsidRPr="008A604D" w:rsidRDefault="00A92FC2" w:rsidP="008A604D">
                              <w:pPr>
                                <w:rPr>
                                  <w:rFonts w:eastAsia="Times New Roman"/>
                                  <w:i/>
                                  <w:color w:val="000000"/>
                                  <w:lang w:eastAsia="zh-CN"/>
                                </w:rPr>
                              </w:pPr>
                            </w:p>
                          </w:tc>
                          <w:tc>
                            <w:tcPr>
                              <w:tcW w:w="12.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3D0149E3" w14:textId="77777777" w:rsidR="00A92FC2" w:rsidRPr="008A604D" w:rsidRDefault="00A92FC2" w:rsidP="00B740C1">
                              <w:pPr>
                                <w:jc w:val="start"/>
                                <w:rPr>
                                  <w:rFonts w:eastAsia="Times New Roman"/>
                                  <w:i/>
                                  <w:color w:val="000000"/>
                                  <w:lang w:eastAsia="zh-CN"/>
                                </w:rPr>
                              </w:pPr>
                              <w:r w:rsidRPr="008A604D">
                                <w:rPr>
                                  <w:rFonts w:eastAsia="Times New Roman"/>
                                  <w:i/>
                                  <w:color w:val="000000"/>
                                  <w:lang w:eastAsia="zh-CN"/>
                                </w:rPr>
                                <w:t>Revealed</w:t>
                              </w:r>
                            </w:p>
                          </w:tc>
                          <w:tc>
                            <w:tcPr>
                              <w:tcW w:w="28.0%" w:type="pct"/>
                              <w:vMerge w:val="restar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757C61CD" w14:textId="77777777" w:rsidR="00A92FC2" w:rsidRPr="008A604D" w:rsidRDefault="00A92FC2" w:rsidP="008A604D">
                              <w:pPr>
                                <w:rPr>
                                  <w:rFonts w:eastAsia="Times New Roman"/>
                                  <w:i/>
                                  <w:color w:val="000000"/>
                                  <w:lang w:eastAsia="zh-CN"/>
                                </w:rPr>
                              </w:pPr>
                              <w:r w:rsidRPr="008A604D">
                                <w:rPr>
                                  <w:rFonts w:eastAsia="Times New Roman"/>
                                  <w:i/>
                                  <w:color w:val="000000"/>
                                  <w:lang w:eastAsia="zh-CN"/>
                                </w:rPr>
                                <w:t>Terraced house</w:t>
                              </w:r>
                            </w:p>
                          </w:tc>
                          <w:tc>
                            <w:tcPr>
                              <w:tcW w:w="8.0%" w:type="pct"/>
                              <w:tcBorders>
                                <w:top w:val="single" w:sz="4" w:space="0" w:color="D9D9D9" w:themeColor="background1" w:themeShade="D9"/>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3FC0FB98"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36%</w:t>
                              </w:r>
                            </w:p>
                          </w:tc>
                          <w:tc>
                            <w:tcPr>
                              <w:tcW w:w="8.0%" w:type="pct"/>
                              <w:tcBorders>
                                <w:top w:val="nil"/>
                                <w:start w:val="single" w:sz="4" w:space="0" w:color="D9D9D9" w:themeColor="background1" w:themeShade="D9"/>
                                <w:bottom w:val="nil"/>
                                <w:end w:val="nil"/>
                              </w:tcBorders>
                              <w:shd w:val="clear" w:color="auto" w:fill="auto"/>
                              <w:noWrap/>
                              <w:vAlign w:val="bottom"/>
                              <w:hideMark/>
                            </w:tcPr>
                            <w:p w14:paraId="6980D573" w14:textId="77777777" w:rsidR="00A92FC2" w:rsidRPr="008A604D" w:rsidRDefault="00A92FC2" w:rsidP="0030560B">
                              <w:pPr>
                                <w:rPr>
                                  <w:rFonts w:eastAsia="Times New Roman"/>
                                  <w:color w:val="000000"/>
                                  <w:lang w:eastAsia="zh-CN"/>
                                </w:rPr>
                              </w:pPr>
                            </w:p>
                          </w:tc>
                          <w:tc>
                            <w:tcPr>
                              <w:tcW w:w="8.0%" w:type="pct"/>
                              <w:tcBorders>
                                <w:top w:val="nil"/>
                                <w:start w:val="nil"/>
                                <w:bottom w:val="nil"/>
                                <w:end w:val="nil"/>
                              </w:tcBorders>
                              <w:shd w:val="clear" w:color="auto" w:fill="auto"/>
                              <w:noWrap/>
                              <w:vAlign w:val="bottom"/>
                              <w:hideMark/>
                            </w:tcPr>
                            <w:p w14:paraId="0E8997D0" w14:textId="77777777" w:rsidR="00A92FC2" w:rsidRPr="008A604D" w:rsidRDefault="00A92FC2" w:rsidP="0030560B">
                              <w:pPr>
                                <w:rPr>
                                  <w:rFonts w:eastAsia="Times New Roman"/>
                                  <w:lang w:eastAsia="zh-CN"/>
                                </w:rPr>
                              </w:pPr>
                            </w:p>
                          </w:tc>
                          <w:tc>
                            <w:tcPr>
                              <w:tcW w:w="6.0%" w:type="pct"/>
                              <w:tcBorders>
                                <w:top w:val="nil"/>
                                <w:start w:val="nil"/>
                                <w:bottom w:val="nil"/>
                                <w:end w:val="nil"/>
                              </w:tcBorders>
                              <w:shd w:val="clear" w:color="auto" w:fill="auto"/>
                              <w:noWrap/>
                              <w:vAlign w:val="bottom"/>
                              <w:hideMark/>
                            </w:tcPr>
                            <w:p w14:paraId="4F91C3C7" w14:textId="77777777" w:rsidR="00A92FC2" w:rsidRPr="008A604D" w:rsidRDefault="00A92FC2" w:rsidP="0030560B">
                              <w:pPr>
                                <w:rPr>
                                  <w:rFonts w:eastAsia="Times New Roman"/>
                                  <w:lang w:eastAsia="zh-CN"/>
                                </w:rPr>
                              </w:pPr>
                            </w:p>
                          </w:tc>
                          <w:tc>
                            <w:tcPr>
                              <w:tcW w:w="10.0%" w:type="pct"/>
                              <w:tcBorders>
                                <w:top w:val="nil"/>
                                <w:start w:val="nil"/>
                                <w:bottom w:val="nil"/>
                                <w:end w:val="double" w:sz="4" w:space="0" w:color="000000" w:themeColor="text1"/>
                              </w:tcBorders>
                              <w:shd w:val="clear" w:color="auto" w:fill="auto"/>
                              <w:noWrap/>
                              <w:vAlign w:val="bottom"/>
                              <w:hideMark/>
                            </w:tcPr>
                            <w:p w14:paraId="2610927F" w14:textId="77777777" w:rsidR="00A92FC2" w:rsidRPr="008A604D" w:rsidRDefault="00A92FC2" w:rsidP="0030560B">
                              <w:pPr>
                                <w:rPr>
                                  <w:rFonts w:eastAsia="Times New Roman"/>
                                  <w:lang w:eastAsia="zh-CN"/>
                                </w:rPr>
                              </w:pPr>
                            </w:p>
                          </w:tc>
                        </w:tr>
                        <w:tr w:rsidR="000675DE" w:rsidRPr="0059318B" w14:paraId="3AC94072" w14:textId="77777777" w:rsidTr="00B740C1">
                          <w:trPr>
                            <w:trHeight w:val="308"/>
                          </w:trPr>
                          <w:tc>
                            <w:tcPr>
                              <w:tcW w:w="19.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noWrap/>
                              <w:vAlign w:val="center"/>
                            </w:tcPr>
                            <w:p w14:paraId="385C6828" w14:textId="77777777" w:rsidR="00A92FC2" w:rsidRPr="008A604D" w:rsidRDefault="00A92FC2" w:rsidP="008A604D">
                              <w:pPr>
                                <w:rPr>
                                  <w:rFonts w:eastAsia="Times New Roman"/>
                                  <w:i/>
                                  <w:lang w:eastAsia="zh-CN"/>
                                </w:rPr>
                              </w:pPr>
                            </w:p>
                          </w:tc>
                          <w:tc>
                            <w:tcPr>
                              <w:tcW w:w="12.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4C1494D5" w14:textId="77777777" w:rsidR="00A92FC2" w:rsidRPr="008A604D" w:rsidRDefault="00A92FC2" w:rsidP="00B740C1">
                              <w:pPr>
                                <w:jc w:val="start"/>
                                <w:rPr>
                                  <w:rFonts w:eastAsia="Times New Roman"/>
                                  <w:i/>
                                  <w:color w:val="000000"/>
                                  <w:lang w:eastAsia="zh-CN"/>
                                </w:rPr>
                              </w:pPr>
                              <w:r w:rsidRPr="008A604D">
                                <w:rPr>
                                  <w:rFonts w:eastAsia="Times New Roman"/>
                                  <w:i/>
                                  <w:color w:val="000000"/>
                                  <w:lang w:eastAsia="zh-CN"/>
                                </w:rPr>
                                <w:t>Stated</w:t>
                              </w:r>
                            </w:p>
                          </w:tc>
                          <w:tc>
                            <w:tcPr>
                              <w:tcW w:w="28.0%" w:type="pct"/>
                              <w:vMerge/>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4C9E8219" w14:textId="77777777" w:rsidR="00A92FC2" w:rsidRPr="008A604D" w:rsidRDefault="00A92FC2" w:rsidP="008A604D">
                              <w:pPr>
                                <w:rPr>
                                  <w:rFonts w:eastAsia="Times New Roman"/>
                                  <w:i/>
                                  <w:color w:val="000000"/>
                                  <w:lang w:eastAsia="zh-CN"/>
                                </w:rPr>
                              </w:pPr>
                            </w:p>
                          </w:tc>
                          <w:tc>
                            <w:tcPr>
                              <w:tcW w:w="8.0%" w:type="pct"/>
                              <w:tcBorders>
                                <w:top w:val="single" w:sz="4" w:space="0" w:color="D9D9D9" w:themeColor="background1" w:themeShade="D9"/>
                                <w:start w:val="double" w:sz="4" w:space="0" w:color="auto"/>
                                <w:bottom w:val="nil"/>
                                <w:end w:val="single" w:sz="4" w:space="0" w:color="D9D9D9" w:themeColor="background1" w:themeShade="D9"/>
                              </w:tcBorders>
                              <w:shd w:val="clear" w:color="auto" w:fill="auto"/>
                              <w:noWrap/>
                              <w:vAlign w:val="bottom"/>
                              <w:hideMark/>
                            </w:tcPr>
                            <w:p w14:paraId="77F1E74C"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37%</w:t>
                              </w:r>
                            </w:p>
                          </w:tc>
                          <w:tc>
                            <w:tcPr>
                              <w:tcW w:w="8.0%" w:type="pct"/>
                              <w:tcBorders>
                                <w:top w:val="nil"/>
                                <w:start w:val="single" w:sz="4" w:space="0" w:color="D9D9D9" w:themeColor="background1" w:themeShade="D9"/>
                                <w:bottom w:val="nil"/>
                                <w:end w:val="nil"/>
                              </w:tcBorders>
                              <w:shd w:val="clear" w:color="auto" w:fill="auto"/>
                              <w:noWrap/>
                              <w:vAlign w:val="bottom"/>
                              <w:hideMark/>
                            </w:tcPr>
                            <w:p w14:paraId="1643563C" w14:textId="77777777" w:rsidR="00A92FC2" w:rsidRPr="008A604D" w:rsidRDefault="00A92FC2" w:rsidP="0030560B">
                              <w:pPr>
                                <w:rPr>
                                  <w:rFonts w:eastAsia="Times New Roman"/>
                                  <w:color w:val="000000"/>
                                  <w:lang w:eastAsia="zh-CN"/>
                                </w:rPr>
                              </w:pPr>
                            </w:p>
                          </w:tc>
                          <w:tc>
                            <w:tcPr>
                              <w:tcW w:w="8.0%" w:type="pct"/>
                              <w:tcBorders>
                                <w:top w:val="nil"/>
                                <w:start w:val="nil"/>
                                <w:bottom w:val="nil"/>
                                <w:end w:val="nil"/>
                              </w:tcBorders>
                              <w:shd w:val="clear" w:color="auto" w:fill="auto"/>
                              <w:noWrap/>
                              <w:vAlign w:val="bottom"/>
                              <w:hideMark/>
                            </w:tcPr>
                            <w:p w14:paraId="304FE695" w14:textId="77777777" w:rsidR="00A92FC2" w:rsidRPr="008A604D" w:rsidRDefault="00A92FC2" w:rsidP="0030560B">
                              <w:pPr>
                                <w:rPr>
                                  <w:rFonts w:eastAsia="Times New Roman"/>
                                  <w:lang w:eastAsia="zh-CN"/>
                                </w:rPr>
                              </w:pPr>
                            </w:p>
                          </w:tc>
                          <w:tc>
                            <w:tcPr>
                              <w:tcW w:w="6.0%" w:type="pct"/>
                              <w:tcBorders>
                                <w:top w:val="nil"/>
                                <w:start w:val="nil"/>
                                <w:bottom w:val="nil"/>
                                <w:end w:val="nil"/>
                              </w:tcBorders>
                              <w:shd w:val="clear" w:color="auto" w:fill="auto"/>
                              <w:noWrap/>
                              <w:vAlign w:val="bottom"/>
                              <w:hideMark/>
                            </w:tcPr>
                            <w:p w14:paraId="044DB11B" w14:textId="77777777" w:rsidR="00A92FC2" w:rsidRPr="008A604D" w:rsidRDefault="00A92FC2" w:rsidP="0030560B">
                              <w:pPr>
                                <w:rPr>
                                  <w:rFonts w:eastAsia="Times New Roman"/>
                                  <w:lang w:eastAsia="zh-CN"/>
                                </w:rPr>
                              </w:pPr>
                            </w:p>
                          </w:tc>
                          <w:tc>
                            <w:tcPr>
                              <w:tcW w:w="10.0%" w:type="pct"/>
                              <w:tcBorders>
                                <w:top w:val="nil"/>
                                <w:start w:val="nil"/>
                                <w:bottom w:val="nil"/>
                                <w:end w:val="double" w:sz="4" w:space="0" w:color="000000" w:themeColor="text1"/>
                              </w:tcBorders>
                              <w:shd w:val="clear" w:color="auto" w:fill="auto"/>
                              <w:noWrap/>
                              <w:vAlign w:val="bottom"/>
                              <w:hideMark/>
                            </w:tcPr>
                            <w:p w14:paraId="33901D85" w14:textId="77777777" w:rsidR="00A92FC2" w:rsidRPr="008A604D" w:rsidRDefault="00A92FC2" w:rsidP="0030560B">
                              <w:pPr>
                                <w:rPr>
                                  <w:rFonts w:eastAsia="Times New Roman"/>
                                  <w:lang w:eastAsia="zh-CN"/>
                                </w:rPr>
                              </w:pPr>
                            </w:p>
                          </w:tc>
                        </w:tr>
                        <w:tr w:rsidR="000675DE" w:rsidRPr="0059318B" w14:paraId="70DB9730" w14:textId="77777777" w:rsidTr="00B740C1">
                          <w:trPr>
                            <w:trHeight w:val="308"/>
                          </w:trPr>
                          <w:tc>
                            <w:tcPr>
                              <w:tcW w:w="19.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noWrap/>
                              <w:vAlign w:val="center"/>
                            </w:tcPr>
                            <w:p w14:paraId="55BA3A0B" w14:textId="77777777" w:rsidR="00A92FC2" w:rsidRPr="008A604D" w:rsidRDefault="00A92FC2" w:rsidP="008A604D">
                              <w:pPr>
                                <w:rPr>
                                  <w:rFonts w:eastAsia="Times New Roman"/>
                                  <w:i/>
                                  <w:color w:val="000000"/>
                                  <w:lang w:eastAsia="zh-CN"/>
                                </w:rPr>
                              </w:pPr>
                            </w:p>
                          </w:tc>
                          <w:tc>
                            <w:tcPr>
                              <w:tcW w:w="12.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64518FA9" w14:textId="77777777" w:rsidR="00A92FC2" w:rsidRPr="008A604D" w:rsidRDefault="00A92FC2" w:rsidP="00B740C1">
                              <w:pPr>
                                <w:jc w:val="start"/>
                                <w:rPr>
                                  <w:rFonts w:eastAsia="Times New Roman"/>
                                  <w:i/>
                                  <w:color w:val="000000"/>
                                  <w:lang w:eastAsia="zh-CN"/>
                                </w:rPr>
                              </w:pPr>
                              <w:r w:rsidRPr="008A604D">
                                <w:rPr>
                                  <w:rFonts w:eastAsia="Times New Roman"/>
                                  <w:i/>
                                  <w:color w:val="000000"/>
                                  <w:lang w:eastAsia="zh-CN"/>
                                </w:rPr>
                                <w:t>Revealed</w:t>
                              </w:r>
                            </w:p>
                          </w:tc>
                          <w:tc>
                            <w:tcPr>
                              <w:tcW w:w="28.0%" w:type="pct"/>
                              <w:vMerge w:val="restar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2801342B" w14:textId="77777777" w:rsidR="00A92FC2" w:rsidRPr="008A604D" w:rsidRDefault="00A92FC2" w:rsidP="008A604D">
                              <w:pPr>
                                <w:rPr>
                                  <w:rFonts w:eastAsia="Times New Roman"/>
                                  <w:i/>
                                  <w:color w:val="000000"/>
                                  <w:lang w:eastAsia="zh-CN"/>
                                </w:rPr>
                              </w:pPr>
                              <w:r w:rsidRPr="008A604D">
                                <w:rPr>
                                  <w:rFonts w:eastAsia="Times New Roman"/>
                                  <w:i/>
                                  <w:color w:val="000000"/>
                                  <w:lang w:eastAsia="zh-CN"/>
                                </w:rPr>
                                <w:t>Detached house</w:t>
                              </w:r>
                            </w:p>
                          </w:tc>
                          <w:tc>
                            <w:tcPr>
                              <w:tcW w:w="8.0%" w:type="pct"/>
                              <w:tcBorders>
                                <w:top w:val="nil"/>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513B0D11"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4%</w:t>
                              </w:r>
                            </w:p>
                          </w:tc>
                          <w:tc>
                            <w:tcPr>
                              <w:tcW w:w="8.0%" w:type="pct"/>
                              <w:tcBorders>
                                <w:top w:val="nil"/>
                                <w:start w:val="single" w:sz="4" w:space="0" w:color="D9D9D9" w:themeColor="background1" w:themeShade="D9"/>
                                <w:bottom w:val="nil"/>
                                <w:end w:val="nil"/>
                              </w:tcBorders>
                              <w:shd w:val="clear" w:color="auto" w:fill="auto"/>
                              <w:noWrap/>
                              <w:vAlign w:val="bottom"/>
                              <w:hideMark/>
                            </w:tcPr>
                            <w:p w14:paraId="61712EE6" w14:textId="77777777" w:rsidR="00A92FC2" w:rsidRPr="008A604D" w:rsidRDefault="00A92FC2" w:rsidP="0030560B">
                              <w:pPr>
                                <w:rPr>
                                  <w:rFonts w:eastAsia="Times New Roman"/>
                                  <w:color w:val="000000"/>
                                  <w:lang w:eastAsia="zh-CN"/>
                                </w:rPr>
                              </w:pPr>
                            </w:p>
                          </w:tc>
                          <w:tc>
                            <w:tcPr>
                              <w:tcW w:w="8.0%" w:type="pct"/>
                              <w:tcBorders>
                                <w:top w:val="nil"/>
                                <w:start w:val="nil"/>
                                <w:bottom w:val="nil"/>
                                <w:end w:val="nil"/>
                              </w:tcBorders>
                              <w:shd w:val="clear" w:color="auto" w:fill="auto"/>
                              <w:noWrap/>
                              <w:vAlign w:val="bottom"/>
                              <w:hideMark/>
                            </w:tcPr>
                            <w:p w14:paraId="4E2112B5" w14:textId="77777777" w:rsidR="00A92FC2" w:rsidRPr="008A604D" w:rsidRDefault="00A92FC2" w:rsidP="0030560B">
                              <w:pPr>
                                <w:rPr>
                                  <w:rFonts w:eastAsia="Times New Roman"/>
                                  <w:lang w:eastAsia="zh-CN"/>
                                </w:rPr>
                              </w:pPr>
                            </w:p>
                          </w:tc>
                          <w:tc>
                            <w:tcPr>
                              <w:tcW w:w="6.0%" w:type="pct"/>
                              <w:tcBorders>
                                <w:top w:val="nil"/>
                                <w:start w:val="nil"/>
                                <w:bottom w:val="nil"/>
                                <w:end w:val="nil"/>
                              </w:tcBorders>
                              <w:shd w:val="clear" w:color="auto" w:fill="auto"/>
                              <w:noWrap/>
                              <w:vAlign w:val="bottom"/>
                              <w:hideMark/>
                            </w:tcPr>
                            <w:p w14:paraId="65D78BD5" w14:textId="77777777" w:rsidR="00A92FC2" w:rsidRPr="008A604D" w:rsidRDefault="00A92FC2" w:rsidP="0030560B">
                              <w:pPr>
                                <w:rPr>
                                  <w:rFonts w:eastAsia="Times New Roman"/>
                                  <w:lang w:eastAsia="zh-CN"/>
                                </w:rPr>
                              </w:pPr>
                            </w:p>
                          </w:tc>
                          <w:tc>
                            <w:tcPr>
                              <w:tcW w:w="10.0%" w:type="pct"/>
                              <w:tcBorders>
                                <w:top w:val="nil"/>
                                <w:start w:val="nil"/>
                                <w:bottom w:val="nil"/>
                                <w:end w:val="double" w:sz="4" w:space="0" w:color="000000" w:themeColor="text1"/>
                              </w:tcBorders>
                              <w:shd w:val="clear" w:color="auto" w:fill="auto"/>
                              <w:noWrap/>
                              <w:vAlign w:val="bottom"/>
                              <w:hideMark/>
                            </w:tcPr>
                            <w:p w14:paraId="191C61AB" w14:textId="77777777" w:rsidR="00A92FC2" w:rsidRPr="008A604D" w:rsidRDefault="00A92FC2" w:rsidP="0030560B">
                              <w:pPr>
                                <w:rPr>
                                  <w:rFonts w:eastAsia="Times New Roman"/>
                                  <w:lang w:eastAsia="zh-CN"/>
                                </w:rPr>
                              </w:pPr>
                            </w:p>
                          </w:tc>
                        </w:tr>
                        <w:tr w:rsidR="000675DE" w:rsidRPr="0059318B" w14:paraId="4B352ACE" w14:textId="77777777" w:rsidTr="00B740C1">
                          <w:trPr>
                            <w:trHeight w:val="308"/>
                          </w:trPr>
                          <w:tc>
                            <w:tcPr>
                              <w:tcW w:w="19.0%" w:type="pct"/>
                              <w:vMerge/>
                              <w:tcBorders>
                                <w:top w:val="single" w:sz="4" w:space="0" w:color="BFBFBF" w:themeColor="background1" w:themeShade="BF"/>
                                <w:bottom w:val="double" w:sz="4" w:space="0" w:color="auto"/>
                                <w:end w:val="single" w:sz="4" w:space="0" w:color="BFBFBF" w:themeColor="background1" w:themeShade="BF"/>
                              </w:tcBorders>
                              <w:shd w:val="clear" w:color="auto" w:fill="auto"/>
                              <w:noWrap/>
                              <w:vAlign w:val="center"/>
                            </w:tcPr>
                            <w:p w14:paraId="334403E0" w14:textId="77777777" w:rsidR="00A92FC2" w:rsidRPr="008A604D" w:rsidRDefault="00A92FC2" w:rsidP="008A604D">
                              <w:pPr>
                                <w:rPr>
                                  <w:rFonts w:eastAsia="Times New Roman"/>
                                  <w:i/>
                                  <w:lang w:eastAsia="zh-CN"/>
                                </w:rPr>
                              </w:pPr>
                            </w:p>
                          </w:tc>
                          <w:tc>
                            <w:tcPr>
                              <w:tcW w:w="12.0%" w:type="pct"/>
                              <w:tcBorders>
                                <w:top w:val="single" w:sz="4" w:space="0" w:color="BFBFBF" w:themeColor="background1" w:themeShade="BF"/>
                                <w:start w:val="single" w:sz="4" w:space="0" w:color="BFBFBF" w:themeColor="background1" w:themeShade="BF"/>
                                <w:bottom w:val="double" w:sz="4" w:space="0" w:color="auto"/>
                                <w:end w:val="single" w:sz="4" w:space="0" w:color="BFBFBF" w:themeColor="background1" w:themeShade="BF"/>
                              </w:tcBorders>
                              <w:vAlign w:val="center"/>
                            </w:tcPr>
                            <w:p w14:paraId="53557088" w14:textId="77777777" w:rsidR="00A92FC2" w:rsidRPr="008A604D" w:rsidRDefault="00A92FC2" w:rsidP="00B740C1">
                              <w:pPr>
                                <w:jc w:val="start"/>
                                <w:rPr>
                                  <w:rFonts w:eastAsia="Times New Roman"/>
                                  <w:i/>
                                  <w:color w:val="000000"/>
                                  <w:lang w:eastAsia="zh-CN"/>
                                </w:rPr>
                              </w:pPr>
                              <w:r w:rsidRPr="008A604D">
                                <w:rPr>
                                  <w:rFonts w:eastAsia="Times New Roman"/>
                                  <w:i/>
                                  <w:color w:val="000000"/>
                                  <w:lang w:eastAsia="zh-CN"/>
                                </w:rPr>
                                <w:t>Stated</w:t>
                              </w:r>
                            </w:p>
                          </w:tc>
                          <w:tc>
                            <w:tcPr>
                              <w:tcW w:w="28.0%" w:type="pct"/>
                              <w:vMerge/>
                              <w:tcBorders>
                                <w:top w:val="single" w:sz="4" w:space="0" w:color="BFBFBF" w:themeColor="background1" w:themeShade="BF"/>
                                <w:start w:val="single" w:sz="4" w:space="0" w:color="BFBFBF" w:themeColor="background1" w:themeShade="BF"/>
                                <w:bottom w:val="double" w:sz="4" w:space="0" w:color="auto"/>
                                <w:end w:val="double" w:sz="4" w:space="0" w:color="auto"/>
                              </w:tcBorders>
                              <w:vAlign w:val="center"/>
                            </w:tcPr>
                            <w:p w14:paraId="0FCAE82D" w14:textId="77777777" w:rsidR="00A92FC2" w:rsidRPr="008A604D" w:rsidRDefault="00A92FC2" w:rsidP="008A604D">
                              <w:pPr>
                                <w:rPr>
                                  <w:rFonts w:eastAsia="Times New Roman"/>
                                  <w:i/>
                                  <w:color w:val="000000"/>
                                  <w:lang w:eastAsia="zh-CN"/>
                                </w:rPr>
                              </w:pPr>
                            </w:p>
                          </w:tc>
                          <w:tc>
                            <w:tcPr>
                              <w:tcW w:w="8.0%" w:type="pct"/>
                              <w:tcBorders>
                                <w:top w:val="single" w:sz="4" w:space="0" w:color="D9D9D9" w:themeColor="background1" w:themeShade="D9"/>
                                <w:start w:val="double" w:sz="4" w:space="0" w:color="auto"/>
                                <w:bottom w:val="double" w:sz="4" w:space="0" w:color="auto"/>
                                <w:end w:val="single" w:sz="4" w:space="0" w:color="D9D9D9" w:themeColor="background1" w:themeShade="D9"/>
                              </w:tcBorders>
                              <w:shd w:val="clear" w:color="auto" w:fill="auto"/>
                              <w:noWrap/>
                              <w:vAlign w:val="bottom"/>
                              <w:hideMark/>
                            </w:tcPr>
                            <w:p w14:paraId="7639C6DC"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13%</w:t>
                              </w:r>
                            </w:p>
                          </w:tc>
                          <w:tc>
                            <w:tcPr>
                              <w:tcW w:w="8.0%" w:type="pct"/>
                              <w:tcBorders>
                                <w:top w:val="nil"/>
                                <w:start w:val="single" w:sz="4" w:space="0" w:color="D9D9D9" w:themeColor="background1" w:themeShade="D9"/>
                                <w:bottom w:val="double" w:sz="4" w:space="0" w:color="auto"/>
                                <w:end w:val="nil"/>
                              </w:tcBorders>
                              <w:shd w:val="clear" w:color="auto" w:fill="auto"/>
                              <w:noWrap/>
                              <w:vAlign w:val="bottom"/>
                              <w:hideMark/>
                            </w:tcPr>
                            <w:p w14:paraId="218ECED3" w14:textId="77777777" w:rsidR="00A92FC2" w:rsidRPr="008A604D" w:rsidRDefault="00A92FC2" w:rsidP="0030560B">
                              <w:pPr>
                                <w:rPr>
                                  <w:rFonts w:eastAsia="Times New Roman"/>
                                  <w:color w:val="000000"/>
                                  <w:lang w:eastAsia="zh-CN"/>
                                </w:rPr>
                              </w:pPr>
                            </w:p>
                          </w:tc>
                          <w:tc>
                            <w:tcPr>
                              <w:tcW w:w="8.0%" w:type="pct"/>
                              <w:tcBorders>
                                <w:top w:val="nil"/>
                                <w:start w:val="nil"/>
                                <w:bottom w:val="double" w:sz="4" w:space="0" w:color="auto"/>
                                <w:end w:val="nil"/>
                              </w:tcBorders>
                              <w:shd w:val="clear" w:color="auto" w:fill="auto"/>
                              <w:noWrap/>
                              <w:vAlign w:val="bottom"/>
                              <w:hideMark/>
                            </w:tcPr>
                            <w:p w14:paraId="7EA13384" w14:textId="77777777" w:rsidR="00A92FC2" w:rsidRPr="008A604D" w:rsidRDefault="00A92FC2" w:rsidP="0030560B">
                              <w:pPr>
                                <w:rPr>
                                  <w:rFonts w:eastAsia="Times New Roman"/>
                                  <w:lang w:eastAsia="zh-CN"/>
                                </w:rPr>
                              </w:pPr>
                            </w:p>
                          </w:tc>
                          <w:tc>
                            <w:tcPr>
                              <w:tcW w:w="6.0%" w:type="pct"/>
                              <w:tcBorders>
                                <w:top w:val="nil"/>
                                <w:start w:val="nil"/>
                                <w:bottom w:val="double" w:sz="4" w:space="0" w:color="auto"/>
                                <w:end w:val="nil"/>
                              </w:tcBorders>
                              <w:shd w:val="clear" w:color="auto" w:fill="auto"/>
                              <w:noWrap/>
                              <w:vAlign w:val="bottom"/>
                              <w:hideMark/>
                            </w:tcPr>
                            <w:p w14:paraId="09423802" w14:textId="77777777" w:rsidR="00A92FC2" w:rsidRPr="008A604D" w:rsidRDefault="00A92FC2" w:rsidP="0030560B">
                              <w:pPr>
                                <w:rPr>
                                  <w:rFonts w:eastAsia="Times New Roman"/>
                                  <w:lang w:eastAsia="zh-CN"/>
                                </w:rPr>
                              </w:pPr>
                            </w:p>
                          </w:tc>
                          <w:tc>
                            <w:tcPr>
                              <w:tcW w:w="10.0%" w:type="pct"/>
                              <w:tcBorders>
                                <w:top w:val="nil"/>
                                <w:start w:val="nil"/>
                                <w:bottom w:val="double" w:sz="4" w:space="0" w:color="auto"/>
                                <w:end w:val="double" w:sz="4" w:space="0" w:color="000000" w:themeColor="text1"/>
                              </w:tcBorders>
                              <w:shd w:val="clear" w:color="auto" w:fill="auto"/>
                              <w:noWrap/>
                              <w:vAlign w:val="bottom"/>
                              <w:hideMark/>
                            </w:tcPr>
                            <w:p w14:paraId="4C6B4B50" w14:textId="77777777" w:rsidR="00A92FC2" w:rsidRPr="008A604D" w:rsidRDefault="00A92FC2" w:rsidP="0030560B">
                              <w:pPr>
                                <w:rPr>
                                  <w:rFonts w:eastAsia="Times New Roman"/>
                                  <w:lang w:eastAsia="zh-CN"/>
                                </w:rPr>
                              </w:pPr>
                            </w:p>
                          </w:tc>
                        </w:tr>
                        <w:tr w:rsidR="000675DE" w:rsidRPr="0059318B" w14:paraId="3F56C134" w14:textId="77777777" w:rsidTr="00B740C1">
                          <w:trPr>
                            <w:trHeight w:val="308"/>
                          </w:trPr>
                          <w:tc>
                            <w:tcPr>
                              <w:tcW w:w="19.0%" w:type="pct"/>
                              <w:vMerge w:val="restart"/>
                              <w:tcBorders>
                                <w:bottom w:val="single" w:sz="4" w:space="0" w:color="BFBFBF" w:themeColor="background1" w:themeShade="BF"/>
                                <w:end w:val="single" w:sz="4" w:space="0" w:color="BFBFBF" w:themeColor="background1" w:themeShade="BF"/>
                              </w:tcBorders>
                              <w:shd w:val="clear" w:color="auto" w:fill="auto"/>
                              <w:noWrap/>
                              <w:vAlign w:val="center"/>
                              <w:hideMark/>
                            </w:tcPr>
                            <w:p w14:paraId="4185E450" w14:textId="77777777" w:rsidR="00A92FC2" w:rsidRPr="008A604D" w:rsidRDefault="00A92FC2" w:rsidP="008A604D">
                              <w:pPr>
                                <w:rPr>
                                  <w:rFonts w:eastAsia="Times New Roman"/>
                                  <w:i/>
                                  <w:color w:val="000000"/>
                                  <w:lang w:eastAsia="zh-CN"/>
                                </w:rPr>
                              </w:pPr>
                              <w:r w:rsidRPr="008A604D">
                                <w:rPr>
                                  <w:rFonts w:eastAsia="Times New Roman"/>
                                  <w:i/>
                                  <w:color w:val="000000"/>
                                  <w:lang w:eastAsia="zh-CN"/>
                                </w:rPr>
                                <w:t>Parking distance</w:t>
                              </w:r>
                            </w:p>
                            <w:p w14:paraId="51B80C82" w14:textId="3F200C39" w:rsidR="00A92FC2" w:rsidRPr="00E075F7" w:rsidRDefault="00A92FC2" w:rsidP="00E075F7">
                              <w:pPr>
                                <w:rPr>
                                  <w:rFonts w:eastAsia="Times New Roman"/>
                                  <w:i/>
                                  <w:lang w:eastAsia="zh-CN"/>
                                </w:rPr>
                              </w:pPr>
                              <w:r w:rsidRPr="008A604D">
                                <w:rPr>
                                  <w:rFonts w:eastAsia="Times New Roman"/>
                                  <w:i/>
                                  <w:lang w:eastAsia="zh-CN"/>
                                </w:rPr>
                                <w:t>from home</w:t>
                              </w:r>
                            </w:p>
                          </w:tc>
                          <w:tc>
                            <w:tcPr>
                              <w:tcW w:w="12.0%" w:type="pct"/>
                              <w:tcBorders>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1CC4B1BE" w14:textId="77777777" w:rsidR="00A92FC2" w:rsidRPr="008A604D" w:rsidRDefault="00A92FC2" w:rsidP="00B740C1">
                              <w:pPr>
                                <w:jc w:val="start"/>
                                <w:rPr>
                                  <w:rFonts w:eastAsia="Times New Roman"/>
                                  <w:i/>
                                  <w:color w:val="000000"/>
                                  <w:lang w:eastAsia="zh-CN"/>
                                </w:rPr>
                              </w:pPr>
                              <w:r w:rsidRPr="008A604D">
                                <w:rPr>
                                  <w:rFonts w:eastAsia="Times New Roman"/>
                                  <w:i/>
                                  <w:color w:val="000000"/>
                                  <w:lang w:eastAsia="zh-CN"/>
                                </w:rPr>
                                <w:t>Revealed</w:t>
                              </w:r>
                            </w:p>
                          </w:tc>
                          <w:tc>
                            <w:tcPr>
                              <w:tcW w:w="28.0%" w:type="pct"/>
                              <w:vMerge w:val="restart"/>
                              <w:tcBorders>
                                <w:start w:val="single" w:sz="4" w:space="0" w:color="BFBFBF" w:themeColor="background1" w:themeShade="BF"/>
                                <w:bottom w:val="single" w:sz="4" w:space="0" w:color="BFBFBF" w:themeColor="background1" w:themeShade="BF"/>
                                <w:end w:val="double" w:sz="4" w:space="0" w:color="auto"/>
                              </w:tcBorders>
                              <w:vAlign w:val="center"/>
                            </w:tcPr>
                            <w:p w14:paraId="40E389AF" w14:textId="77777777" w:rsidR="00A92FC2" w:rsidRPr="008A604D" w:rsidRDefault="00A92FC2" w:rsidP="008A604D">
                              <w:pPr>
                                <w:rPr>
                                  <w:rFonts w:eastAsia="Times New Roman"/>
                                  <w:i/>
                                  <w:color w:val="000000"/>
                                  <w:lang w:eastAsia="zh-CN"/>
                                </w:rPr>
                              </w:pPr>
                              <w:r w:rsidRPr="008A604D">
                                <w:rPr>
                                  <w:rFonts w:eastAsia="Times New Roman"/>
                                  <w:i/>
                                  <w:color w:val="000000"/>
                                  <w:lang w:eastAsia="zh-CN"/>
                                </w:rPr>
                                <w:t>&lt; 5 minutes</w:t>
                              </w:r>
                            </w:p>
                          </w:tc>
                          <w:tc>
                            <w:tcPr>
                              <w:tcW w:w="8.0%" w:type="pct"/>
                              <w:tcBorders>
                                <w:top w:val="double" w:sz="4" w:space="0" w:color="auto"/>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7425D93C"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65%</w:t>
                              </w:r>
                            </w:p>
                          </w:tc>
                          <w:tc>
                            <w:tcPr>
                              <w:tcW w:w="8.0%" w:type="pct"/>
                              <w:tcBorders>
                                <w:top w:val="double" w:sz="4" w:space="0" w:color="auto"/>
                                <w:start w:val="single" w:sz="4" w:space="0" w:color="D9D9D9" w:themeColor="background1" w:themeShade="D9"/>
                                <w:bottom w:val="nil"/>
                                <w:end w:val="nil"/>
                              </w:tcBorders>
                              <w:shd w:val="clear" w:color="auto" w:fill="auto"/>
                              <w:noWrap/>
                              <w:vAlign w:val="bottom"/>
                              <w:hideMark/>
                            </w:tcPr>
                            <w:p w14:paraId="6B0BCAC1" w14:textId="77777777" w:rsidR="00A92FC2" w:rsidRPr="008A604D" w:rsidRDefault="00A92FC2" w:rsidP="0030560B">
                              <w:pPr>
                                <w:rPr>
                                  <w:rFonts w:eastAsia="Times New Roman"/>
                                  <w:color w:val="000000"/>
                                  <w:lang w:eastAsia="zh-CN"/>
                                </w:rPr>
                              </w:pPr>
                            </w:p>
                          </w:tc>
                          <w:tc>
                            <w:tcPr>
                              <w:tcW w:w="8.0%" w:type="pct"/>
                              <w:tcBorders>
                                <w:top w:val="double" w:sz="4" w:space="0" w:color="auto"/>
                                <w:start w:val="nil"/>
                                <w:bottom w:val="nil"/>
                                <w:end w:val="nil"/>
                              </w:tcBorders>
                              <w:shd w:val="clear" w:color="auto" w:fill="auto"/>
                              <w:noWrap/>
                              <w:vAlign w:val="bottom"/>
                              <w:hideMark/>
                            </w:tcPr>
                            <w:p w14:paraId="3E6E46F9" w14:textId="77777777" w:rsidR="00A92FC2" w:rsidRPr="008A604D" w:rsidRDefault="00A92FC2" w:rsidP="0030560B">
                              <w:pPr>
                                <w:rPr>
                                  <w:rFonts w:eastAsia="Times New Roman"/>
                                  <w:lang w:eastAsia="zh-CN"/>
                                </w:rPr>
                              </w:pPr>
                            </w:p>
                          </w:tc>
                          <w:tc>
                            <w:tcPr>
                              <w:tcW w:w="6.0%" w:type="pct"/>
                              <w:tcBorders>
                                <w:top w:val="double" w:sz="4" w:space="0" w:color="auto"/>
                                <w:start w:val="nil"/>
                                <w:bottom w:val="nil"/>
                                <w:end w:val="nil"/>
                              </w:tcBorders>
                              <w:shd w:val="clear" w:color="auto" w:fill="auto"/>
                              <w:noWrap/>
                              <w:vAlign w:val="bottom"/>
                              <w:hideMark/>
                            </w:tcPr>
                            <w:p w14:paraId="27A597D9" w14:textId="77777777" w:rsidR="00A92FC2" w:rsidRPr="008A604D" w:rsidRDefault="00A92FC2" w:rsidP="0030560B">
                              <w:pPr>
                                <w:rPr>
                                  <w:rFonts w:eastAsia="Times New Roman"/>
                                  <w:lang w:eastAsia="zh-CN"/>
                                </w:rPr>
                              </w:pPr>
                            </w:p>
                          </w:tc>
                          <w:tc>
                            <w:tcPr>
                              <w:tcW w:w="10.0%" w:type="pct"/>
                              <w:tcBorders>
                                <w:top w:val="double" w:sz="4" w:space="0" w:color="auto"/>
                                <w:start w:val="nil"/>
                                <w:bottom w:val="nil"/>
                                <w:end w:val="double" w:sz="4" w:space="0" w:color="000000" w:themeColor="text1"/>
                              </w:tcBorders>
                              <w:shd w:val="clear" w:color="auto" w:fill="auto"/>
                              <w:noWrap/>
                              <w:vAlign w:val="bottom"/>
                              <w:hideMark/>
                            </w:tcPr>
                            <w:p w14:paraId="16BF2E0F" w14:textId="77777777" w:rsidR="00A92FC2" w:rsidRPr="008A604D" w:rsidRDefault="00A92FC2" w:rsidP="0030560B">
                              <w:pPr>
                                <w:rPr>
                                  <w:rFonts w:eastAsia="Times New Roman"/>
                                  <w:lang w:eastAsia="zh-CN"/>
                                </w:rPr>
                              </w:pPr>
                            </w:p>
                          </w:tc>
                        </w:tr>
                        <w:tr w:rsidR="000675DE" w:rsidRPr="0059318B" w14:paraId="25EE1296" w14:textId="77777777" w:rsidTr="00B740C1">
                          <w:trPr>
                            <w:trHeight w:val="308"/>
                          </w:trPr>
                          <w:tc>
                            <w:tcPr>
                              <w:tcW w:w="19.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noWrap/>
                              <w:vAlign w:val="center"/>
                              <w:hideMark/>
                            </w:tcPr>
                            <w:p w14:paraId="7E3EB3DD" w14:textId="7E814D78" w:rsidR="00A92FC2" w:rsidRPr="008A604D" w:rsidRDefault="00A92FC2" w:rsidP="008A604D">
                              <w:pPr>
                                <w:rPr>
                                  <w:rFonts w:eastAsia="Times New Roman"/>
                                  <w:i/>
                                  <w:lang w:eastAsia="zh-CN"/>
                                </w:rPr>
                              </w:pPr>
                            </w:p>
                          </w:tc>
                          <w:tc>
                            <w:tcPr>
                              <w:tcW w:w="12.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46872C88" w14:textId="77777777" w:rsidR="00A92FC2" w:rsidRPr="008A604D" w:rsidRDefault="00A92FC2" w:rsidP="00B740C1">
                              <w:pPr>
                                <w:jc w:val="start"/>
                                <w:rPr>
                                  <w:rFonts w:eastAsia="Times New Roman"/>
                                  <w:i/>
                                  <w:color w:val="000000"/>
                                  <w:lang w:eastAsia="zh-CN"/>
                                </w:rPr>
                              </w:pPr>
                              <w:r w:rsidRPr="008A604D">
                                <w:rPr>
                                  <w:rFonts w:eastAsia="Times New Roman"/>
                                  <w:i/>
                                  <w:color w:val="000000"/>
                                  <w:lang w:eastAsia="zh-CN"/>
                                </w:rPr>
                                <w:t>Stated</w:t>
                              </w:r>
                            </w:p>
                          </w:tc>
                          <w:tc>
                            <w:tcPr>
                              <w:tcW w:w="28.0%" w:type="pct"/>
                              <w:vMerge/>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4AC43200" w14:textId="77777777" w:rsidR="00A92FC2" w:rsidRPr="008A604D" w:rsidRDefault="00A92FC2" w:rsidP="008A604D">
                              <w:pPr>
                                <w:rPr>
                                  <w:rFonts w:eastAsia="Times New Roman"/>
                                  <w:i/>
                                  <w:color w:val="000000"/>
                                  <w:lang w:eastAsia="zh-CN"/>
                                </w:rPr>
                              </w:pPr>
                            </w:p>
                          </w:tc>
                          <w:tc>
                            <w:tcPr>
                              <w:tcW w:w="8.0%" w:type="pct"/>
                              <w:tcBorders>
                                <w:top w:val="single" w:sz="4" w:space="0" w:color="D9D9D9" w:themeColor="background1" w:themeShade="D9"/>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63BF069C"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59%</w:t>
                              </w:r>
                            </w:p>
                          </w:tc>
                          <w:tc>
                            <w:tcPr>
                              <w:tcW w:w="8.0%" w:type="pct"/>
                              <w:tcBorders>
                                <w:top w:val="nil"/>
                                <w:start w:val="single" w:sz="4" w:space="0" w:color="D9D9D9" w:themeColor="background1" w:themeShade="D9"/>
                                <w:bottom w:val="nil"/>
                                <w:end w:val="nil"/>
                              </w:tcBorders>
                              <w:shd w:val="clear" w:color="auto" w:fill="auto"/>
                              <w:noWrap/>
                              <w:vAlign w:val="bottom"/>
                              <w:hideMark/>
                            </w:tcPr>
                            <w:p w14:paraId="326D7BFE" w14:textId="77777777" w:rsidR="00A92FC2" w:rsidRPr="008A604D" w:rsidRDefault="00A92FC2" w:rsidP="0030560B">
                              <w:pPr>
                                <w:rPr>
                                  <w:rFonts w:eastAsia="Times New Roman"/>
                                  <w:color w:val="000000"/>
                                  <w:lang w:eastAsia="zh-CN"/>
                                </w:rPr>
                              </w:pPr>
                            </w:p>
                          </w:tc>
                          <w:tc>
                            <w:tcPr>
                              <w:tcW w:w="8.0%" w:type="pct"/>
                              <w:tcBorders>
                                <w:top w:val="nil"/>
                                <w:start w:val="nil"/>
                                <w:bottom w:val="nil"/>
                                <w:end w:val="nil"/>
                              </w:tcBorders>
                              <w:shd w:val="clear" w:color="auto" w:fill="auto"/>
                              <w:noWrap/>
                              <w:vAlign w:val="bottom"/>
                              <w:hideMark/>
                            </w:tcPr>
                            <w:p w14:paraId="2D3A99A3" w14:textId="77777777" w:rsidR="00A92FC2" w:rsidRPr="008A604D" w:rsidRDefault="00A92FC2" w:rsidP="0030560B">
                              <w:pPr>
                                <w:rPr>
                                  <w:rFonts w:eastAsia="Times New Roman"/>
                                  <w:lang w:eastAsia="zh-CN"/>
                                </w:rPr>
                              </w:pPr>
                            </w:p>
                          </w:tc>
                          <w:tc>
                            <w:tcPr>
                              <w:tcW w:w="6.0%" w:type="pct"/>
                              <w:tcBorders>
                                <w:top w:val="nil"/>
                                <w:start w:val="nil"/>
                                <w:bottom w:val="nil"/>
                                <w:end w:val="nil"/>
                              </w:tcBorders>
                              <w:shd w:val="clear" w:color="auto" w:fill="auto"/>
                              <w:noWrap/>
                              <w:vAlign w:val="bottom"/>
                              <w:hideMark/>
                            </w:tcPr>
                            <w:p w14:paraId="3C24DE4D" w14:textId="77777777" w:rsidR="00A92FC2" w:rsidRPr="008A604D" w:rsidRDefault="00A92FC2" w:rsidP="0030560B">
                              <w:pPr>
                                <w:rPr>
                                  <w:rFonts w:eastAsia="Times New Roman"/>
                                  <w:lang w:eastAsia="zh-CN"/>
                                </w:rPr>
                              </w:pPr>
                            </w:p>
                          </w:tc>
                          <w:tc>
                            <w:tcPr>
                              <w:tcW w:w="10.0%" w:type="pct"/>
                              <w:tcBorders>
                                <w:top w:val="nil"/>
                                <w:start w:val="nil"/>
                                <w:bottom w:val="nil"/>
                                <w:end w:val="double" w:sz="4" w:space="0" w:color="000000" w:themeColor="text1"/>
                              </w:tcBorders>
                              <w:shd w:val="clear" w:color="auto" w:fill="auto"/>
                              <w:noWrap/>
                              <w:vAlign w:val="bottom"/>
                              <w:hideMark/>
                            </w:tcPr>
                            <w:p w14:paraId="6D7112E0" w14:textId="77777777" w:rsidR="00A92FC2" w:rsidRPr="008A604D" w:rsidRDefault="00A92FC2" w:rsidP="0030560B">
                              <w:pPr>
                                <w:rPr>
                                  <w:rFonts w:eastAsia="Times New Roman"/>
                                  <w:lang w:eastAsia="zh-CN"/>
                                </w:rPr>
                              </w:pPr>
                            </w:p>
                          </w:tc>
                        </w:tr>
                        <w:tr w:rsidR="000675DE" w:rsidRPr="0059318B" w14:paraId="2F72B8B1" w14:textId="77777777" w:rsidTr="00B740C1">
                          <w:trPr>
                            <w:trHeight w:val="308"/>
                          </w:trPr>
                          <w:tc>
                            <w:tcPr>
                              <w:tcW w:w="19.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noWrap/>
                              <w:vAlign w:val="center"/>
                              <w:hideMark/>
                            </w:tcPr>
                            <w:p w14:paraId="394BDE08" w14:textId="77777777" w:rsidR="00A92FC2" w:rsidRPr="008A604D" w:rsidRDefault="00A92FC2" w:rsidP="008A604D">
                              <w:pPr>
                                <w:rPr>
                                  <w:rFonts w:eastAsia="Times New Roman"/>
                                  <w:i/>
                                  <w:color w:val="000000"/>
                                  <w:lang w:eastAsia="zh-CN"/>
                                </w:rPr>
                              </w:pPr>
                            </w:p>
                          </w:tc>
                          <w:tc>
                            <w:tcPr>
                              <w:tcW w:w="12.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2E91B512" w14:textId="77777777" w:rsidR="00A92FC2" w:rsidRPr="008A604D" w:rsidRDefault="00A92FC2" w:rsidP="00B740C1">
                              <w:pPr>
                                <w:jc w:val="start"/>
                                <w:rPr>
                                  <w:rFonts w:eastAsia="Times New Roman"/>
                                  <w:i/>
                                  <w:color w:val="000000"/>
                                  <w:lang w:eastAsia="zh-CN"/>
                                </w:rPr>
                              </w:pPr>
                              <w:r w:rsidRPr="008A604D">
                                <w:rPr>
                                  <w:rFonts w:eastAsia="Times New Roman"/>
                                  <w:i/>
                                  <w:color w:val="000000"/>
                                  <w:lang w:eastAsia="zh-CN"/>
                                </w:rPr>
                                <w:t>Revealed</w:t>
                              </w:r>
                            </w:p>
                          </w:tc>
                          <w:tc>
                            <w:tcPr>
                              <w:tcW w:w="28.0%" w:type="pct"/>
                              <w:vMerge w:val="restar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26DC370D" w14:textId="77777777" w:rsidR="00A92FC2" w:rsidRPr="008A604D" w:rsidRDefault="00A92FC2" w:rsidP="008A604D">
                              <w:pPr>
                                <w:rPr>
                                  <w:rFonts w:eastAsia="Times New Roman"/>
                                  <w:i/>
                                  <w:color w:val="000000"/>
                                  <w:lang w:eastAsia="zh-CN"/>
                                </w:rPr>
                              </w:pPr>
                              <w:r w:rsidRPr="008A604D">
                                <w:rPr>
                                  <w:rFonts w:eastAsia="Times New Roman"/>
                                  <w:i/>
                                  <w:color w:val="000000"/>
                                  <w:lang w:eastAsia="zh-CN"/>
                                </w:rPr>
                                <w:t>&gt; 5 minutes</w:t>
                              </w:r>
                            </w:p>
                          </w:tc>
                          <w:tc>
                            <w:tcPr>
                              <w:tcW w:w="8.0%" w:type="pct"/>
                              <w:tcBorders>
                                <w:top w:val="single" w:sz="4" w:space="0" w:color="D9D9D9" w:themeColor="background1" w:themeShade="D9"/>
                                <w:start w:val="double" w:sz="4" w:space="0" w:color="auto"/>
                                <w:bottom w:val="single" w:sz="4" w:space="0" w:color="D9D9D9" w:themeColor="background1" w:themeShade="D9"/>
                                <w:end w:val="single" w:sz="4" w:space="0" w:color="D9D9D9" w:themeColor="background1" w:themeShade="D9"/>
                              </w:tcBorders>
                              <w:shd w:val="clear" w:color="auto" w:fill="auto"/>
                              <w:noWrap/>
                              <w:vAlign w:val="bottom"/>
                              <w:hideMark/>
                            </w:tcPr>
                            <w:p w14:paraId="6938BA72"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2%</w:t>
                              </w:r>
                            </w:p>
                          </w:tc>
                          <w:tc>
                            <w:tcPr>
                              <w:tcW w:w="8.0%" w:type="pct"/>
                              <w:tcBorders>
                                <w:top w:val="nil"/>
                                <w:start w:val="single" w:sz="4" w:space="0" w:color="D9D9D9" w:themeColor="background1" w:themeShade="D9"/>
                                <w:bottom w:val="nil"/>
                                <w:end w:val="nil"/>
                              </w:tcBorders>
                              <w:shd w:val="clear" w:color="auto" w:fill="auto"/>
                              <w:noWrap/>
                              <w:vAlign w:val="bottom"/>
                              <w:hideMark/>
                            </w:tcPr>
                            <w:p w14:paraId="4055A79E" w14:textId="77777777" w:rsidR="00A92FC2" w:rsidRPr="008A604D" w:rsidRDefault="00A92FC2" w:rsidP="0030560B">
                              <w:pPr>
                                <w:rPr>
                                  <w:rFonts w:eastAsia="Times New Roman"/>
                                  <w:color w:val="000000"/>
                                  <w:lang w:eastAsia="zh-CN"/>
                                </w:rPr>
                              </w:pPr>
                            </w:p>
                          </w:tc>
                          <w:tc>
                            <w:tcPr>
                              <w:tcW w:w="8.0%" w:type="pct"/>
                              <w:tcBorders>
                                <w:top w:val="nil"/>
                                <w:start w:val="nil"/>
                                <w:bottom w:val="nil"/>
                                <w:end w:val="nil"/>
                              </w:tcBorders>
                              <w:shd w:val="clear" w:color="auto" w:fill="auto"/>
                              <w:noWrap/>
                              <w:vAlign w:val="bottom"/>
                              <w:hideMark/>
                            </w:tcPr>
                            <w:p w14:paraId="310C2A12" w14:textId="77777777" w:rsidR="00A92FC2" w:rsidRPr="008A604D" w:rsidRDefault="00A92FC2" w:rsidP="0030560B">
                              <w:pPr>
                                <w:rPr>
                                  <w:rFonts w:eastAsia="Times New Roman"/>
                                  <w:lang w:eastAsia="zh-CN"/>
                                </w:rPr>
                              </w:pPr>
                            </w:p>
                          </w:tc>
                          <w:tc>
                            <w:tcPr>
                              <w:tcW w:w="6.0%" w:type="pct"/>
                              <w:tcBorders>
                                <w:top w:val="nil"/>
                                <w:start w:val="nil"/>
                                <w:bottom w:val="nil"/>
                                <w:end w:val="nil"/>
                              </w:tcBorders>
                              <w:shd w:val="clear" w:color="auto" w:fill="auto"/>
                              <w:noWrap/>
                              <w:vAlign w:val="bottom"/>
                              <w:hideMark/>
                            </w:tcPr>
                            <w:p w14:paraId="3AB6CDEE" w14:textId="77777777" w:rsidR="00A92FC2" w:rsidRPr="008A604D" w:rsidRDefault="00A92FC2" w:rsidP="0030560B">
                              <w:pPr>
                                <w:rPr>
                                  <w:rFonts w:eastAsia="Times New Roman"/>
                                  <w:lang w:eastAsia="zh-CN"/>
                                </w:rPr>
                              </w:pPr>
                            </w:p>
                          </w:tc>
                          <w:tc>
                            <w:tcPr>
                              <w:tcW w:w="10.0%" w:type="pct"/>
                              <w:tcBorders>
                                <w:top w:val="nil"/>
                                <w:start w:val="nil"/>
                                <w:bottom w:val="nil"/>
                                <w:end w:val="double" w:sz="4" w:space="0" w:color="000000" w:themeColor="text1"/>
                              </w:tcBorders>
                              <w:shd w:val="clear" w:color="auto" w:fill="auto"/>
                              <w:noWrap/>
                              <w:vAlign w:val="bottom"/>
                              <w:hideMark/>
                            </w:tcPr>
                            <w:p w14:paraId="1206F1B0" w14:textId="77777777" w:rsidR="00A92FC2" w:rsidRPr="008A604D" w:rsidRDefault="00A92FC2" w:rsidP="0030560B">
                              <w:pPr>
                                <w:rPr>
                                  <w:rFonts w:eastAsia="Times New Roman"/>
                                  <w:lang w:eastAsia="zh-CN"/>
                                </w:rPr>
                              </w:pPr>
                            </w:p>
                          </w:tc>
                        </w:tr>
                        <w:tr w:rsidR="000675DE" w:rsidRPr="0059318B" w14:paraId="18926278" w14:textId="77777777" w:rsidTr="00B740C1">
                          <w:trPr>
                            <w:trHeight w:val="308"/>
                          </w:trPr>
                          <w:tc>
                            <w:tcPr>
                              <w:tcW w:w="19.0%" w:type="pct"/>
                              <w:vMerge/>
                              <w:tcBorders>
                                <w:top w:val="single" w:sz="4" w:space="0" w:color="BFBFBF" w:themeColor="background1" w:themeShade="BF"/>
                                <w:end w:val="single" w:sz="4" w:space="0" w:color="BFBFBF" w:themeColor="background1" w:themeShade="BF"/>
                              </w:tcBorders>
                              <w:shd w:val="clear" w:color="auto" w:fill="auto"/>
                              <w:noWrap/>
                              <w:vAlign w:val="bottom"/>
                              <w:hideMark/>
                            </w:tcPr>
                            <w:p w14:paraId="5F242A47" w14:textId="77777777" w:rsidR="00A92FC2" w:rsidRPr="008A604D" w:rsidRDefault="00A92FC2" w:rsidP="0030560B">
                              <w:pPr>
                                <w:rPr>
                                  <w:rFonts w:eastAsia="Times New Roman"/>
                                  <w:i/>
                                  <w:lang w:eastAsia="zh-CN"/>
                                </w:rPr>
                              </w:pPr>
                            </w:p>
                          </w:tc>
                          <w:tc>
                            <w:tcPr>
                              <w:tcW w:w="12.0%" w:type="pct"/>
                              <w:tcBorders>
                                <w:top w:val="single" w:sz="4" w:space="0" w:color="BFBFBF" w:themeColor="background1" w:themeShade="BF"/>
                                <w:start w:val="single" w:sz="4" w:space="0" w:color="BFBFBF" w:themeColor="background1" w:themeShade="BF"/>
                                <w:end w:val="single" w:sz="4" w:space="0" w:color="BFBFBF" w:themeColor="background1" w:themeShade="BF"/>
                              </w:tcBorders>
                              <w:vAlign w:val="bottom"/>
                            </w:tcPr>
                            <w:p w14:paraId="0976C6AE" w14:textId="77777777" w:rsidR="00A92FC2" w:rsidRPr="008A604D" w:rsidRDefault="00A92FC2" w:rsidP="00B740C1">
                              <w:pPr>
                                <w:jc w:val="start"/>
                                <w:rPr>
                                  <w:rFonts w:eastAsia="Times New Roman"/>
                                  <w:i/>
                                  <w:color w:val="000000"/>
                                  <w:lang w:eastAsia="zh-CN"/>
                                </w:rPr>
                              </w:pPr>
                              <w:r w:rsidRPr="008A604D">
                                <w:rPr>
                                  <w:rFonts w:eastAsia="Times New Roman"/>
                                  <w:i/>
                                  <w:color w:val="000000"/>
                                  <w:lang w:eastAsia="zh-CN"/>
                                </w:rPr>
                                <w:t>Stated</w:t>
                              </w:r>
                            </w:p>
                          </w:tc>
                          <w:tc>
                            <w:tcPr>
                              <w:tcW w:w="28.0%" w:type="pct"/>
                              <w:vMerge/>
                              <w:tcBorders>
                                <w:top w:val="single" w:sz="4" w:space="0" w:color="BFBFBF" w:themeColor="background1" w:themeShade="BF"/>
                                <w:start w:val="single" w:sz="4" w:space="0" w:color="BFBFBF" w:themeColor="background1" w:themeShade="BF"/>
                                <w:end w:val="double" w:sz="4" w:space="0" w:color="auto"/>
                              </w:tcBorders>
                            </w:tcPr>
                            <w:p w14:paraId="2CB0AF5E" w14:textId="77777777" w:rsidR="00A92FC2" w:rsidRPr="008A604D" w:rsidRDefault="00A92FC2" w:rsidP="0030560B">
                              <w:pPr>
                                <w:rPr>
                                  <w:rFonts w:eastAsia="Times New Roman"/>
                                  <w:color w:val="000000"/>
                                  <w:lang w:eastAsia="zh-CN"/>
                                </w:rPr>
                              </w:pPr>
                            </w:p>
                          </w:tc>
                          <w:tc>
                            <w:tcPr>
                              <w:tcW w:w="8.0%" w:type="pct"/>
                              <w:tcBorders>
                                <w:top w:val="single" w:sz="4" w:space="0" w:color="D9D9D9" w:themeColor="background1" w:themeShade="D9"/>
                                <w:start w:val="double" w:sz="4" w:space="0" w:color="auto"/>
                                <w:bottom w:val="double" w:sz="4" w:space="0" w:color="auto"/>
                                <w:end w:val="single" w:sz="4" w:space="0" w:color="D9D9D9" w:themeColor="background1" w:themeShade="D9"/>
                              </w:tcBorders>
                              <w:shd w:val="clear" w:color="auto" w:fill="auto"/>
                              <w:noWrap/>
                              <w:vAlign w:val="bottom"/>
                              <w:hideMark/>
                            </w:tcPr>
                            <w:p w14:paraId="11447ECB" w14:textId="77777777" w:rsidR="00A92FC2" w:rsidRPr="008A604D" w:rsidRDefault="00A92FC2" w:rsidP="0030560B">
                              <w:pPr>
                                <w:rPr>
                                  <w:rFonts w:eastAsia="Times New Roman"/>
                                  <w:color w:val="000000"/>
                                  <w:lang w:eastAsia="zh-CN"/>
                                </w:rPr>
                              </w:pPr>
                              <w:r w:rsidRPr="008A604D">
                                <w:rPr>
                                  <w:rFonts w:eastAsia="Times New Roman"/>
                                  <w:color w:val="000000"/>
                                  <w:lang w:eastAsia="zh-CN"/>
                                </w:rPr>
                                <w:t>16%</w:t>
                              </w:r>
                            </w:p>
                          </w:tc>
                          <w:tc>
                            <w:tcPr>
                              <w:tcW w:w="8.0%" w:type="pct"/>
                              <w:tcBorders>
                                <w:top w:val="nil"/>
                                <w:start w:val="single" w:sz="4" w:space="0" w:color="D9D9D9" w:themeColor="background1" w:themeShade="D9"/>
                                <w:bottom w:val="double" w:sz="4" w:space="0" w:color="auto"/>
                                <w:end w:val="nil"/>
                              </w:tcBorders>
                              <w:shd w:val="clear" w:color="auto" w:fill="auto"/>
                              <w:noWrap/>
                              <w:vAlign w:val="bottom"/>
                              <w:hideMark/>
                            </w:tcPr>
                            <w:p w14:paraId="0BC0FCD4" w14:textId="77777777" w:rsidR="00A92FC2" w:rsidRPr="008A604D" w:rsidRDefault="00A92FC2" w:rsidP="0030560B">
                              <w:pPr>
                                <w:jc w:val="end"/>
                                <w:rPr>
                                  <w:rFonts w:eastAsia="Times New Roman"/>
                                  <w:color w:val="000000"/>
                                  <w:lang w:eastAsia="zh-CN"/>
                                </w:rPr>
                              </w:pPr>
                            </w:p>
                          </w:tc>
                          <w:tc>
                            <w:tcPr>
                              <w:tcW w:w="8.0%" w:type="pct"/>
                              <w:tcBorders>
                                <w:top w:val="nil"/>
                                <w:start w:val="nil"/>
                                <w:bottom w:val="double" w:sz="4" w:space="0" w:color="auto"/>
                                <w:end w:val="nil"/>
                              </w:tcBorders>
                              <w:shd w:val="clear" w:color="auto" w:fill="auto"/>
                              <w:noWrap/>
                              <w:vAlign w:val="bottom"/>
                              <w:hideMark/>
                            </w:tcPr>
                            <w:p w14:paraId="05B004A5" w14:textId="77777777" w:rsidR="00A92FC2" w:rsidRPr="008A604D" w:rsidRDefault="00A92FC2" w:rsidP="0030560B">
                              <w:pPr>
                                <w:rPr>
                                  <w:rFonts w:eastAsia="Times New Roman"/>
                                  <w:lang w:eastAsia="zh-CN"/>
                                </w:rPr>
                              </w:pPr>
                            </w:p>
                          </w:tc>
                          <w:tc>
                            <w:tcPr>
                              <w:tcW w:w="6.0%" w:type="pct"/>
                              <w:tcBorders>
                                <w:top w:val="nil"/>
                                <w:start w:val="nil"/>
                                <w:bottom w:val="double" w:sz="4" w:space="0" w:color="auto"/>
                                <w:end w:val="nil"/>
                              </w:tcBorders>
                              <w:shd w:val="clear" w:color="auto" w:fill="auto"/>
                              <w:noWrap/>
                              <w:vAlign w:val="bottom"/>
                              <w:hideMark/>
                            </w:tcPr>
                            <w:p w14:paraId="4CAEE730" w14:textId="77777777" w:rsidR="00A92FC2" w:rsidRPr="008A604D" w:rsidRDefault="00A92FC2" w:rsidP="0030560B">
                              <w:pPr>
                                <w:rPr>
                                  <w:rFonts w:eastAsia="Times New Roman"/>
                                  <w:lang w:eastAsia="zh-CN"/>
                                </w:rPr>
                              </w:pPr>
                            </w:p>
                          </w:tc>
                          <w:tc>
                            <w:tcPr>
                              <w:tcW w:w="10.0%" w:type="pct"/>
                              <w:tcBorders>
                                <w:top w:val="nil"/>
                                <w:start w:val="nil"/>
                                <w:bottom w:val="double" w:sz="4" w:space="0" w:color="auto"/>
                                <w:end w:val="double" w:sz="4" w:space="0" w:color="000000" w:themeColor="text1"/>
                              </w:tcBorders>
                              <w:shd w:val="clear" w:color="auto" w:fill="auto"/>
                              <w:noWrap/>
                              <w:vAlign w:val="bottom"/>
                              <w:hideMark/>
                            </w:tcPr>
                            <w:p w14:paraId="6CE7ED95" w14:textId="77777777" w:rsidR="00A92FC2" w:rsidRPr="008A604D" w:rsidRDefault="00A92FC2" w:rsidP="0030560B">
                              <w:pPr>
                                <w:rPr>
                                  <w:rFonts w:eastAsia="Times New Roman"/>
                                  <w:lang w:eastAsia="zh-CN"/>
                                </w:rPr>
                              </w:pPr>
                            </w:p>
                          </w:tc>
                        </w:tr>
                      </w:tbl>
                      <w:p w14:paraId="42D85A74" w14:textId="77777777" w:rsidR="00A92FC2" w:rsidRPr="00AF2E3B" w:rsidRDefault="00A92FC2" w:rsidP="0030560B">
                        <w:pPr>
                          <w:rPr>
                            <w:lang w:val="nl-NL"/>
                          </w:rPr>
                        </w:pP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Pr>
          <w:bCs/>
        </w:rPr>
        <w:br w:type="page"/>
      </w:r>
    </w:p>
    <w:p w14:paraId="70C3F2DC" w14:textId="05E01397" w:rsidR="00877347" w:rsidRPr="00877347" w:rsidRDefault="00877347">
      <w:pPr>
        <w:jc w:val="start"/>
        <w:rPr>
          <w:rFonts w:eastAsiaTheme="majorEastAsia"/>
          <w:bCs/>
          <w:spacing w:val="-1"/>
          <w:sz w:val="22"/>
          <w:szCs w:val="22"/>
          <w:lang w:val="x-none" w:eastAsia="x-none"/>
        </w:rPr>
      </w:pPr>
      <w:r w:rsidRPr="00877347">
        <w:rPr>
          <w:noProof/>
          <w:lang w:val="en-GB" w:eastAsia="en-GB"/>
        </w:rPr>
        <w:lastRenderedPageBreak/>
        <w:drawing>
          <wp:anchor distT="0" distB="0" distL="114300" distR="114300" simplePos="0" relativeHeight="251715072" behindDoc="0" locked="0" layoutInCell="1" allowOverlap="1" wp14:anchorId="3DB2B9A0" wp14:editId="6B318C94">
            <wp:simplePos x="0" y="0"/>
            <wp:positionH relativeFrom="margin">
              <wp:posOffset>1632585</wp:posOffset>
            </wp:positionH>
            <wp:positionV relativeFrom="paragraph">
              <wp:posOffset>6663055</wp:posOffset>
            </wp:positionV>
            <wp:extent cx="3131820" cy="2159635"/>
            <wp:effectExtent l="0" t="0" r="11430" b="12065"/>
            <wp:wrapSquare wrapText="bothSides"/>
            <wp:docPr id="9" name="Grafiek 9">
              <a:extLst xmlns:a="http://purl.oclc.org/ooxml/drawingml/main">
                <a:ext uri="{FF2B5EF4-FFF2-40B4-BE49-F238E27FC236}">
                  <a16:creationId xmlns:a16="http://schemas.microsoft.com/office/drawing/2014/main" id="{2E573A60-533A-459F-8FB6-952375BB6921}"/>
                </a:ext>
              </a:extLst>
            </wp:docPr>
            <wp:cNvGraphicFramePr/>
            <a:graphic xmlns:a="http://purl.oclc.org/ooxml/drawingml/main">
              <a:graphicData uri="http://purl.oclc.org/ooxml/drawingml/chart">
                <c:chart xmlns:c="http://purl.oclc.org/ooxml/drawingml/chart" xmlns:r="http://purl.oclc.org/ooxml/officeDocument/relationships" r:id="rId34"/>
              </a:graphicData>
            </a:graphic>
            <wp14:sizeRelH relativeFrom="margin">
              <wp14:pctWidth>0%</wp14:pctWidth>
            </wp14:sizeRelH>
            <wp14:sizeRelV relativeFrom="margin">
              <wp14:pctHeight>0%</wp14:pctHeight>
            </wp14:sizeRelV>
          </wp:anchor>
        </w:drawing>
      </w:r>
      <w:r w:rsidRPr="00877347">
        <w:rPr>
          <w:rFonts w:eastAsiaTheme="majorEastAsia"/>
          <w:noProof/>
          <w:sz w:val="22"/>
          <w:szCs w:val="22"/>
          <w:lang w:val="en-GB" w:eastAsia="en-GB"/>
        </w:rPr>
        <w:drawing>
          <wp:anchor distT="0" distB="0" distL="114300" distR="114300" simplePos="0" relativeHeight="251716096" behindDoc="0" locked="0" layoutInCell="1" allowOverlap="1" wp14:anchorId="5A4857D7" wp14:editId="137F5748">
            <wp:simplePos x="0" y="0"/>
            <wp:positionH relativeFrom="margin">
              <wp:align>left</wp:align>
            </wp:positionH>
            <wp:positionV relativeFrom="paragraph">
              <wp:posOffset>4453255</wp:posOffset>
            </wp:positionV>
            <wp:extent cx="3132000" cy="2160000"/>
            <wp:effectExtent l="0" t="0" r="11430" b="12065"/>
            <wp:wrapSquare wrapText="bothSides"/>
            <wp:docPr id="10" name="Grafiek 10">
              <a:extLst xmlns:a="http://purl.oclc.org/ooxml/drawingml/main">
                <a:ext uri="{FF2B5EF4-FFF2-40B4-BE49-F238E27FC236}">
                  <a16:creationId xmlns:a16="http://schemas.microsoft.com/office/drawing/2014/main" id="{329D7989-74EC-43E8-AB40-4A2F231C93A0}"/>
                </a:ext>
              </a:extLst>
            </wp:docPr>
            <wp:cNvGraphicFramePr/>
            <a:graphic xmlns:a="http://purl.oclc.org/ooxml/drawingml/main">
              <a:graphicData uri="http://purl.oclc.org/ooxml/drawingml/chart">
                <c:chart xmlns:c="http://purl.oclc.org/ooxml/drawingml/chart" xmlns:r="http://purl.oclc.org/ooxml/officeDocument/relationships" r:id="rId35"/>
              </a:graphicData>
            </a:graphic>
            <wp14:sizeRelH relativeFrom="margin">
              <wp14:pctWidth>0%</wp14:pctWidth>
            </wp14:sizeRelH>
            <wp14:sizeRelV relativeFrom="margin">
              <wp14:pctHeight>0%</wp14:pctHeight>
            </wp14:sizeRelV>
          </wp:anchor>
        </w:drawing>
      </w:r>
      <w:r w:rsidRPr="00877347">
        <w:rPr>
          <w:rFonts w:eastAsiaTheme="majorEastAsia"/>
          <w:noProof/>
          <w:sz w:val="22"/>
          <w:szCs w:val="22"/>
          <w:lang w:val="en-GB" w:eastAsia="en-GB"/>
        </w:rPr>
        <w:drawing>
          <wp:anchor distT="0" distB="0" distL="114300" distR="114300" simplePos="0" relativeHeight="251719168" behindDoc="0" locked="0" layoutInCell="1" allowOverlap="1" wp14:anchorId="02020E3C" wp14:editId="0B0EAB99">
            <wp:simplePos x="0" y="0"/>
            <wp:positionH relativeFrom="margin">
              <wp:align>left</wp:align>
            </wp:positionH>
            <wp:positionV relativeFrom="paragraph">
              <wp:posOffset>2247265</wp:posOffset>
            </wp:positionV>
            <wp:extent cx="3131820" cy="2159635"/>
            <wp:effectExtent l="0" t="0" r="11430" b="12065"/>
            <wp:wrapSquare wrapText="bothSides"/>
            <wp:docPr id="14" name="Grafiek 14">
              <a:extLst xmlns:a="http://purl.oclc.org/ooxml/drawingml/main">
                <a:ext uri="{FF2B5EF4-FFF2-40B4-BE49-F238E27FC236}">
                  <a16:creationId xmlns:a16="http://schemas.microsoft.com/office/drawing/2014/main" id="{DEBD6CE8-1DC5-40A8-A560-0C8722AA103F}"/>
                </a:ext>
              </a:extLst>
            </wp:docPr>
            <wp:cNvGraphicFramePr/>
            <a:graphic xmlns:a="http://purl.oclc.org/ooxml/drawingml/main">
              <a:graphicData uri="http://purl.oclc.org/ooxml/drawingml/chart">
                <c:chart xmlns:c="http://purl.oclc.org/ooxml/drawingml/chart" xmlns:r="http://purl.oclc.org/ooxml/officeDocument/relationships" r:id="rId36"/>
              </a:graphicData>
            </a:graphic>
            <wp14:sizeRelH relativeFrom="margin">
              <wp14:pctWidth>0%</wp14:pctWidth>
            </wp14:sizeRelH>
            <wp14:sizeRelV relativeFrom="margin">
              <wp14:pctHeight>0%</wp14:pctHeight>
            </wp14:sizeRelV>
          </wp:anchor>
        </w:drawing>
      </w:r>
      <w:r w:rsidRPr="00877347">
        <w:rPr>
          <w:rFonts w:eastAsiaTheme="majorEastAsia"/>
          <w:noProof/>
          <w:sz w:val="22"/>
          <w:szCs w:val="22"/>
          <w:lang w:val="en-GB" w:eastAsia="en-GB"/>
        </w:rPr>
        <w:drawing>
          <wp:anchor distT="0" distB="0" distL="114300" distR="114300" simplePos="0" relativeHeight="251713024" behindDoc="0" locked="0" layoutInCell="1" allowOverlap="1" wp14:anchorId="5133CDA2" wp14:editId="631C3D8D">
            <wp:simplePos x="0" y="0"/>
            <wp:positionH relativeFrom="margin">
              <wp:align>left</wp:align>
            </wp:positionH>
            <wp:positionV relativeFrom="paragraph">
              <wp:posOffset>4445</wp:posOffset>
            </wp:positionV>
            <wp:extent cx="3132000" cy="2159635"/>
            <wp:effectExtent l="0" t="0" r="11430" b="12065"/>
            <wp:wrapSquare wrapText="bothSides"/>
            <wp:docPr id="5" name="Grafiek 5">
              <a:extLst xmlns:a="http://purl.oclc.org/ooxml/drawingml/main">
                <a:ext uri="{FF2B5EF4-FFF2-40B4-BE49-F238E27FC236}">
                  <a16:creationId xmlns:a16="http://schemas.microsoft.com/office/drawing/2014/main" id="{812B9FF3-9084-45A5-B302-9A403FD8FD4A}"/>
                </a:ext>
              </a:extLst>
            </wp:docPr>
            <wp:cNvGraphicFramePr/>
            <a:graphic xmlns:a="http://purl.oclc.org/ooxml/drawingml/main">
              <a:graphicData uri="http://purl.oclc.org/ooxml/drawingml/chart">
                <c:chart xmlns:c="http://purl.oclc.org/ooxml/drawingml/chart" xmlns:r="http://purl.oclc.org/ooxml/officeDocument/relationships" r:id="rId37"/>
              </a:graphicData>
            </a:graphic>
            <wp14:sizeRelH relativeFrom="margin">
              <wp14:pctWidth>0%</wp14:pctWidth>
            </wp14:sizeRelH>
            <wp14:sizeRelV relativeFrom="margin">
              <wp14:pctHeight>0%</wp14:pctHeight>
            </wp14:sizeRelV>
          </wp:anchor>
        </w:drawing>
      </w:r>
      <w:r w:rsidRPr="00877347">
        <w:rPr>
          <w:rFonts w:eastAsiaTheme="majorEastAsia"/>
          <w:noProof/>
          <w:sz w:val="22"/>
          <w:szCs w:val="22"/>
          <w:lang w:val="en-GB" w:eastAsia="en-GB"/>
        </w:rPr>
        <w:drawing>
          <wp:anchor distT="0" distB="0" distL="114300" distR="114300" simplePos="0" relativeHeight="251714048" behindDoc="0" locked="0" layoutInCell="1" allowOverlap="1" wp14:anchorId="6E999F43" wp14:editId="7FDCDEBE">
            <wp:simplePos x="0" y="0"/>
            <wp:positionH relativeFrom="margin">
              <wp:align>right</wp:align>
            </wp:positionH>
            <wp:positionV relativeFrom="paragraph">
              <wp:posOffset>4445</wp:posOffset>
            </wp:positionV>
            <wp:extent cx="3132000" cy="2160000"/>
            <wp:effectExtent l="0" t="0" r="11430" b="12065"/>
            <wp:wrapSquare wrapText="bothSides"/>
            <wp:docPr id="8" name="Grafiek 8">
              <a:extLst xmlns:a="http://purl.oclc.org/ooxml/drawingml/main">
                <a:ext uri="{FF2B5EF4-FFF2-40B4-BE49-F238E27FC236}">
                  <a16:creationId xmlns:a16="http://schemas.microsoft.com/office/drawing/2014/main" id="{5F9575E6-7CC6-45BF-A246-4C17C7C198CB}"/>
                </a:ext>
              </a:extLst>
            </wp:docPr>
            <wp:cNvGraphicFramePr/>
            <a:graphic xmlns:a="http://purl.oclc.org/ooxml/drawingml/main">
              <a:graphicData uri="http://purl.oclc.org/ooxml/drawingml/chart">
                <c:chart xmlns:c="http://purl.oclc.org/ooxml/drawingml/chart" xmlns:r="http://purl.oclc.org/ooxml/officeDocument/relationships" r:id="rId38"/>
              </a:graphicData>
            </a:graphic>
            <wp14:sizeRelH relativeFrom="margin">
              <wp14:pctWidth>0%</wp14:pctWidth>
            </wp14:sizeRelH>
            <wp14:sizeRelV relativeFrom="margin">
              <wp14:pctHeight>0%</wp14:pctHeight>
            </wp14:sizeRelV>
          </wp:anchor>
        </w:drawing>
      </w:r>
    </w:p>
    <w:p w14:paraId="5BA57DD1" w14:textId="6CADA64B" w:rsidR="00877347" w:rsidRPr="00877347" w:rsidRDefault="00877347" w:rsidP="00877347">
      <w:pPr>
        <w:pStyle w:val="Plattetekst"/>
        <w:rPr>
          <w:rFonts w:eastAsiaTheme="majorEastAsia"/>
          <w:bCs/>
          <w:sz w:val="22"/>
          <w:szCs w:val="22"/>
        </w:rPr>
      </w:pPr>
    </w:p>
    <w:p w14:paraId="167F17F6" w14:textId="293009EE" w:rsidR="00675EFD" w:rsidRPr="00877347" w:rsidRDefault="00877347" w:rsidP="00675EFD">
      <w:pPr>
        <w:pStyle w:val="Plattetekst"/>
        <w:jc w:val="distribute"/>
        <w:rPr>
          <w:rFonts w:eastAsiaTheme="majorEastAsia"/>
          <w:bCs/>
          <w:sz w:val="22"/>
          <w:szCs w:val="22"/>
        </w:rPr>
      </w:pPr>
      <w:r w:rsidRPr="00877347">
        <w:rPr>
          <w:rFonts w:eastAsiaTheme="majorEastAsia"/>
          <w:noProof/>
          <w:sz w:val="22"/>
          <w:szCs w:val="22"/>
          <w:lang w:val="en-GB" w:eastAsia="en-GB"/>
        </w:rPr>
        <w:drawing>
          <wp:anchor distT="45720" distB="45720" distL="114300" distR="114300" simplePos="0" relativeHeight="251721216" behindDoc="0" locked="0" layoutInCell="1" allowOverlap="1" wp14:anchorId="25DF8F0D" wp14:editId="4C040C77">
            <wp:simplePos x="0" y="0"/>
            <wp:positionH relativeFrom="margin">
              <wp:posOffset>814705</wp:posOffset>
            </wp:positionH>
            <wp:positionV relativeFrom="paragraph">
              <wp:posOffset>1855470</wp:posOffset>
            </wp:positionV>
            <wp:extent cx="4819650" cy="1404620"/>
            <wp:effectExtent l="0" t="0" r="0" b="1270"/>
            <wp:wrapSquare wrapText="bothSides"/>
            <wp:docPr id="194" name="Tekstvak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4819650" cy="1404620"/>
                    </a:xfrm>
                    <a:prstGeom prst="rect">
                      <a:avLst/>
                    </a:prstGeom>
                    <a:solidFill>
                      <a:srgbClr val="FFFFFF"/>
                    </a:solidFill>
                    <a:ln w="9525">
                      <a:noFill/>
                      <a:miter lim="800%"/>
                      <a:headEnd/>
                      <a:tailEnd/>
                    </a:ln>
                  </wp:spPr>
                  <wp:txbx>
                    <wne:txbxContent>
                      <w:p w14:paraId="3939F1A9" w14:textId="78BEF964" w:rsidR="00A92FC2" w:rsidRPr="00F867D5" w:rsidRDefault="00A92FC2">
                        <w:r>
                          <w:t>Fig. 4.1: Sensitive analysis of the stated preference</w:t>
                        </w:r>
                      </w:p>
                    </wne:txbxContent>
                  </wp:txbx>
                  <wp:bodyPr rot="0" vert="horz" wrap="square" lIns="91440" tIns="45720" rIns="91440" bIns="45720" anchor="t" anchorCtr="0">
                    <a:spAutoFit/>
                  </wp:bodyPr>
                </wp:wsp>
              </a:graphicData>
            </a:graphic>
            <wp14:sizeRelH relativeFrom="margin">
              <wp14:pctWidth>0%</wp14:pctWidth>
            </wp14:sizeRelH>
            <wp14:sizeRelV relativeFrom="margin">
              <wp14:pctHeight>20%</wp14:pctHeight>
            </wp14:sizeRelV>
          </wp:anchor>
        </w:drawing>
      </w:r>
      <w:r w:rsidR="00103DA8" w:rsidRPr="00877347">
        <w:rPr>
          <w:rFonts w:eastAsiaTheme="majorEastAsia"/>
          <w:bCs/>
          <w:sz w:val="22"/>
          <w:szCs w:val="22"/>
        </w:rPr>
        <w:t xml:space="preserve"> </w:t>
      </w:r>
    </w:p>
    <w:p w14:paraId="1261E8FC" w14:textId="054AFF47" w:rsidR="00675EFD" w:rsidRDefault="00877347" w:rsidP="00675EFD">
      <w:r w:rsidRPr="00877347">
        <w:rPr>
          <w:rFonts w:eastAsiaTheme="majorEastAsia"/>
          <w:noProof/>
          <w:sz w:val="22"/>
          <w:szCs w:val="22"/>
          <w:lang w:val="en-GB" w:eastAsia="en-GB"/>
        </w:rPr>
        <w:drawing>
          <wp:anchor distT="0" distB="0" distL="114300" distR="114300" simplePos="0" relativeHeight="251718144" behindDoc="0" locked="0" layoutInCell="1" allowOverlap="1" wp14:anchorId="55F0E2A6" wp14:editId="34BCEB74">
            <wp:simplePos x="0" y="0"/>
            <wp:positionH relativeFrom="margin">
              <wp:posOffset>3265170</wp:posOffset>
            </wp:positionH>
            <wp:positionV relativeFrom="paragraph">
              <wp:posOffset>4460875</wp:posOffset>
            </wp:positionV>
            <wp:extent cx="3131820" cy="2159635"/>
            <wp:effectExtent l="0" t="0" r="11430" b="12065"/>
            <wp:wrapSquare wrapText="bothSides"/>
            <wp:docPr id="11" name="Grafiek 11">
              <a:extLst xmlns:a="http://purl.oclc.org/ooxml/drawingml/main">
                <a:ext uri="{FF2B5EF4-FFF2-40B4-BE49-F238E27FC236}">
                  <a16:creationId xmlns:a16="http://schemas.microsoft.com/office/drawing/2014/main" id="{074B52AA-E4EA-4A28-8A35-AEB89801271B}"/>
                </a:ext>
              </a:extLst>
            </wp:docPr>
            <wp:cNvGraphicFramePr/>
            <a:graphic xmlns:a="http://purl.oclc.org/ooxml/drawingml/main">
              <a:graphicData uri="http://purl.oclc.org/ooxml/drawingml/chart">
                <c:chart xmlns:c="http://purl.oclc.org/ooxml/drawingml/chart" xmlns:r="http://purl.oclc.org/ooxml/officeDocument/relationships" r:id="rId39"/>
              </a:graphicData>
            </a:graphic>
            <wp14:sizeRelH relativeFrom="margin">
              <wp14:pctWidth>0%</wp14:pctWidth>
            </wp14:sizeRelH>
            <wp14:sizeRelV relativeFrom="margin">
              <wp14:pctHeight>0%</wp14:pctHeight>
            </wp14:sizeRelV>
          </wp:anchor>
        </w:drawing>
      </w:r>
      <w:r w:rsidRPr="00877347">
        <w:rPr>
          <w:rFonts w:eastAsiaTheme="majorEastAsia"/>
          <w:noProof/>
          <w:sz w:val="22"/>
          <w:szCs w:val="22"/>
          <w:lang w:val="en-GB" w:eastAsia="en-GB"/>
        </w:rPr>
        <w:drawing>
          <wp:anchor distT="0" distB="0" distL="114300" distR="114300" simplePos="0" relativeHeight="251717120" behindDoc="0" locked="0" layoutInCell="1" allowOverlap="1" wp14:anchorId="613CD924" wp14:editId="05174481">
            <wp:simplePos x="0" y="0"/>
            <wp:positionH relativeFrom="margin">
              <wp:posOffset>3265170</wp:posOffset>
            </wp:positionH>
            <wp:positionV relativeFrom="paragraph">
              <wp:posOffset>2251710</wp:posOffset>
            </wp:positionV>
            <wp:extent cx="3132000" cy="2160000"/>
            <wp:effectExtent l="0" t="0" r="11430" b="12065"/>
            <wp:wrapSquare wrapText="bothSides"/>
            <wp:docPr id="12" name="Grafiek 12">
              <a:extLst xmlns:a="http://purl.oclc.org/ooxml/drawingml/main">
                <a:ext uri="{FF2B5EF4-FFF2-40B4-BE49-F238E27FC236}">
                  <a16:creationId xmlns:a16="http://schemas.microsoft.com/office/drawing/2014/main" id="{ED5BFDE1-1B80-4140-ACDF-5D63C0789B87}"/>
                </a:ext>
              </a:extLst>
            </wp:docPr>
            <wp:cNvGraphicFramePr/>
            <a:graphic xmlns:a="http://purl.oclc.org/ooxml/drawingml/main">
              <a:graphicData uri="http://purl.oclc.org/ooxml/drawingml/chart">
                <c:chart xmlns:c="http://purl.oclc.org/ooxml/drawingml/chart" xmlns:r="http://purl.oclc.org/ooxml/officeDocument/relationships" r:id="rId40"/>
              </a:graphicData>
            </a:graphic>
            <wp14:sizeRelH relativeFrom="margin">
              <wp14:pctWidth>0%</wp14:pctWidth>
            </wp14:sizeRelH>
            <wp14:sizeRelV relativeFrom="margin">
              <wp14:pctHeight>0%</wp14:pctHeight>
            </wp14:sizeRelV>
          </wp:anchor>
        </w:drawing>
      </w:r>
      <w:r w:rsidR="00675EFD">
        <w:br w:type="page"/>
      </w:r>
    </w:p>
    <w:p w14:paraId="575C42C9" w14:textId="77777777" w:rsidR="00103DA8" w:rsidRDefault="00103DA8" w:rsidP="00103DA8">
      <w:pPr>
        <w:pStyle w:val="Plattetekst"/>
        <w:rPr>
          <w:bCs/>
        </w:rPr>
      </w:pPr>
      <w:r w:rsidRPr="00103DA8">
        <w:rPr>
          <w:bCs/>
        </w:rPr>
        <w:lastRenderedPageBreak/>
        <w:t>In summary, the data shows that the respondent is reluctant to move to the neighborhood with mobility hubs. Only in 23% of the choice scenarios does the respondent opt to move to the proposed residential location. The total costs and commuting time look to be the most significant deterrents. Factors that in general stimulate a move are a terraced or detached house as house type and a shorter distance to the city center. Among respondents, older adults, and respondents with a low income, the frequency of moving are lower than in their counterparts. Differences between education level groups do not occur between neighborhoods, but rather between modes.</w:t>
      </w:r>
    </w:p>
    <w:p w14:paraId="097AF94E" w14:textId="77777777" w:rsidR="00103DA8" w:rsidRPr="00103DA8" w:rsidRDefault="00103DA8" w:rsidP="00103DA8">
      <w:pPr>
        <w:pStyle w:val="Kop1"/>
        <w:rPr>
          <w:lang w:val="nl-NL"/>
        </w:rPr>
      </w:pPr>
      <w:r>
        <w:rPr>
          <w:lang w:val="nl-NL"/>
        </w:rPr>
        <w:t>Empirical results</w:t>
      </w:r>
    </w:p>
    <w:p w14:paraId="4DBAE879" w14:textId="503FCBF9" w:rsidR="00103DA8" w:rsidRDefault="00103DA8" w:rsidP="00103DA8">
      <w:pPr>
        <w:pStyle w:val="Plattetekst"/>
        <w:rPr>
          <w:bCs/>
        </w:rPr>
      </w:pPr>
      <w:r w:rsidRPr="00103DA8">
        <w:rPr>
          <w:bCs/>
        </w:rPr>
        <w:t xml:space="preserve">The LCNL, NL, and MNL frameworks were employed on the described dataset to model the residential self-selection and commute mode choice of employed individuals living in a single-member household in the Dutch context. In the following sections, the variables used for modeling purposes are defined, the best-fitted model is selected based on the model fit measures, and finally, the results of the MNL model as the outperformed model are discussed. </w:t>
      </w:r>
    </w:p>
    <w:p w14:paraId="16753A35" w14:textId="77777777" w:rsidR="00103DA8" w:rsidRPr="00103DA8" w:rsidRDefault="00103DA8" w:rsidP="00103DA8">
      <w:pPr>
        <w:pStyle w:val="Kop2"/>
      </w:pPr>
      <w:r>
        <w:t>Variables</w:t>
      </w:r>
    </w:p>
    <w:p w14:paraId="2A46CB56" w14:textId="323108D3" w:rsidR="00103DA8" w:rsidRPr="00103DA8" w:rsidRDefault="00103DA8" w:rsidP="00103DA8">
      <w:pPr>
        <w:pStyle w:val="Plattetekst"/>
        <w:rPr>
          <w:bCs/>
        </w:rPr>
      </w:pPr>
      <w:r w:rsidRPr="00103DA8">
        <w:rPr>
          <w:bCs/>
        </w:rPr>
        <w:t xml:space="preserve">Based on the literature, four categories of variables are defined and collected in our survey for each respondent to be used in the model. </w:t>
      </w:r>
      <w:r w:rsidRPr="00103DA8">
        <w:rPr>
          <w:bCs/>
          <w:i/>
          <w:iCs/>
          <w:u w:val="single"/>
        </w:rPr>
        <w:t>First</w:t>
      </w:r>
      <w:r w:rsidRPr="00103DA8">
        <w:rPr>
          <w:bCs/>
        </w:rPr>
        <w:t xml:space="preserve">, data on the one round commute trip between home and work on the respondent’s last workday was collected in the RP part of the designed survey. This category of variables consists of departure and arrival time, travel costs, modal choice, fuel costs, accompaniment type, parking costs, distance to nearest parking, number of stops, access and egress mode, and duration information. </w:t>
      </w:r>
      <w:r w:rsidRPr="00103DA8">
        <w:rPr>
          <w:bCs/>
          <w:i/>
          <w:iCs/>
          <w:u w:val="single"/>
        </w:rPr>
        <w:t>Second</w:t>
      </w:r>
      <w:r w:rsidRPr="00103DA8">
        <w:rPr>
          <w:bCs/>
        </w:rPr>
        <w:t xml:space="preserve">, residential and work location information was gathered. This category consists of housing costs, age of the residential building, residential location, work location. </w:t>
      </w:r>
      <w:r w:rsidRPr="00103DA8">
        <w:rPr>
          <w:bCs/>
          <w:i/>
          <w:iCs/>
          <w:u w:val="single"/>
        </w:rPr>
        <w:t>Third</w:t>
      </w:r>
      <w:r w:rsidRPr="00103DA8">
        <w:rPr>
          <w:bCs/>
        </w:rPr>
        <w:t xml:space="preserve">, data related to the SP choice experiment are gathered. This includes the level of SP variables represented in each alternative in each SP scenario, and the chosen alternative is recorded. </w:t>
      </w:r>
      <w:r w:rsidRPr="00103DA8">
        <w:rPr>
          <w:bCs/>
          <w:i/>
          <w:iCs/>
          <w:u w:val="single"/>
        </w:rPr>
        <w:t>Fourth</w:t>
      </w:r>
      <w:r w:rsidRPr="00103DA8">
        <w:rPr>
          <w:bCs/>
        </w:rPr>
        <w:t xml:space="preserve">, data on the individual socioeconomic characteristics of the respondent are collected. This category includes income, age, gender, education level, employment status (part-time or full-time), car ownership, and driving license. </w:t>
      </w:r>
    </w:p>
    <w:p w14:paraId="78F3720A" w14:textId="77777777" w:rsidR="00103DA8" w:rsidRDefault="00103DA8" w:rsidP="00103DA8">
      <w:pPr>
        <w:pStyle w:val="Plattetekst"/>
        <w:rPr>
          <w:bCs/>
        </w:rPr>
      </w:pPr>
      <w:r w:rsidRPr="00103DA8">
        <w:rPr>
          <w:bCs/>
        </w:rPr>
        <w:t>It should be noted that for modeling proposes, in addition to estimating a variable’s impact on residential self-selection and commute mode choice (dependent variable), the deviations of reasonable variables were evaluated and estimated through interaction variables, for example, income * house cost. The model specification was arrived at through a systematic process of removing statistically insignificant variables and combining variables when their effects were not significantly different.  All continuous variables were tested with dummy variables in different ranges in order to give a better fit model in comparison with the equivalent linear variables.</w:t>
      </w:r>
    </w:p>
    <w:p w14:paraId="2E6AD4A2" w14:textId="77777777" w:rsidR="00103DA8" w:rsidRPr="00103DA8" w:rsidRDefault="00103DA8" w:rsidP="00103DA8">
      <w:pPr>
        <w:pStyle w:val="Kop2"/>
        <w:rPr>
          <w:lang w:val="nl-NL"/>
        </w:rPr>
      </w:pPr>
      <w:r>
        <w:rPr>
          <w:lang w:val="nl-NL"/>
        </w:rPr>
        <w:t>Model parameters and elasticity</w:t>
      </w:r>
    </w:p>
    <w:p w14:paraId="536C0D03" w14:textId="5C5E27FE" w:rsidR="00103DA8" w:rsidRPr="00103DA8" w:rsidRDefault="00103DA8" w:rsidP="00103DA8">
      <w:pPr>
        <w:pStyle w:val="Plattetekst"/>
        <w:rPr>
          <w:bCs/>
        </w:rPr>
      </w:pPr>
      <w:r w:rsidRPr="00103DA8">
        <w:rPr>
          <w:bCs/>
        </w:rPr>
        <w:t xml:space="preserve">The following section presents the results of the best-fitted model among LCNL, NL, and MNL models. </w:t>
      </w:r>
      <w:r w:rsidR="007B604F" w:rsidRPr="007B604F">
        <w:rPr>
          <w:bCs/>
          <w:lang w:val="en-US"/>
        </w:rPr>
        <w:t>TA</w:t>
      </w:r>
      <w:r w:rsidR="007B604F">
        <w:rPr>
          <w:bCs/>
          <w:lang w:val="en-US"/>
        </w:rPr>
        <w:t>BLE</w:t>
      </w:r>
      <w:r w:rsidRPr="00103DA8">
        <w:rPr>
          <w:bCs/>
        </w:rPr>
        <w:t xml:space="preserve"> 5.1 presents the estimated parameters which correspond to the exogenous variables that have an impact on the baseline utility specification for employed adults in the one-member household type in the Dutch context. It presents the variable coefficients and t-statistics. Based on this table, joint residential self-selection, and commute model choice decisions for this type of adults are influenced by different </w:t>
      </w:r>
      <w:r w:rsidRPr="00103DA8">
        <w:rPr>
          <w:bCs/>
        </w:rPr>
        <w:t xml:space="preserve">individual demographics, residential and travel attributes explained below. Each column is dedicated to different variables and inertia that affect an individual's choice for each joint choice are estimated; every row defines residential and commute mode choice. Moreover, a ‘-’ entry signifies no significant effect of a variable on the particular choice utility. </w:t>
      </w:r>
      <w:r w:rsidR="007E29B4" w:rsidRPr="007E29B4">
        <w:rPr>
          <w:bCs/>
          <w:lang w:val="en-US"/>
        </w:rPr>
        <w:t>TABLE</w:t>
      </w:r>
      <w:r w:rsidRPr="00103DA8">
        <w:rPr>
          <w:bCs/>
        </w:rPr>
        <w:t xml:space="preserve"> 5.2, and</w:t>
      </w:r>
      <w:r w:rsidR="007E29B4" w:rsidRPr="007E29B4">
        <w:rPr>
          <w:bCs/>
          <w:lang w:val="en-US"/>
        </w:rPr>
        <w:t xml:space="preserve"> TA</w:t>
      </w:r>
      <w:r w:rsidR="007E29B4">
        <w:rPr>
          <w:bCs/>
          <w:lang w:val="en-US"/>
        </w:rPr>
        <w:t>BLE</w:t>
      </w:r>
      <w:r w:rsidRPr="00103DA8">
        <w:rPr>
          <w:bCs/>
        </w:rPr>
        <w:t xml:space="preserve"> 5.3 represent the parameters elasticity and trade off.</w:t>
      </w:r>
    </w:p>
    <w:p w14:paraId="733C14D6" w14:textId="77777777" w:rsidR="00103DA8" w:rsidRPr="00103DA8" w:rsidRDefault="00103DA8" w:rsidP="00103DA8">
      <w:pPr>
        <w:pStyle w:val="Plattetekst"/>
        <w:rPr>
          <w:bCs/>
        </w:rPr>
      </w:pPr>
      <w:r w:rsidRPr="00103DA8">
        <w:rPr>
          <w:bCs/>
        </w:rPr>
        <w:t>Three sets of models were estimated with the variables identified above for employed adults in a one-member household samples: (1) LCNL model, (2) NL model, (3) and MNL model.</w:t>
      </w:r>
    </w:p>
    <w:p w14:paraId="62F85365" w14:textId="5B00A6B6" w:rsidR="00103DA8" w:rsidRDefault="00103DA8" w:rsidP="00103DA8">
      <w:pPr>
        <w:pStyle w:val="Plattetekst"/>
        <w:rPr>
          <w:bCs/>
        </w:rPr>
      </w:pPr>
      <w:r w:rsidRPr="00103DA8">
        <w:rPr>
          <w:bCs/>
        </w:rPr>
        <w:t xml:space="preserve">The comparison of the log-likelihood, BIC, AIC and AICc measures for the three frameworks </w:t>
      </w:r>
      <w:r w:rsidR="00A92DA0" w:rsidRPr="00A92DA0">
        <w:rPr>
          <w:bCs/>
          <w:lang w:val="en-US"/>
        </w:rPr>
        <w:t>ind</w:t>
      </w:r>
      <w:r w:rsidR="00A92DA0">
        <w:rPr>
          <w:bCs/>
          <w:lang w:val="en-US"/>
        </w:rPr>
        <w:t>icates</w:t>
      </w:r>
      <w:r w:rsidRPr="00103DA8">
        <w:rPr>
          <w:bCs/>
        </w:rPr>
        <w:t xml:space="preserve"> that the MNL model outperforms the other two models substantially. Due to space concerns, we restrict ourselves to discussing the MNL results.</w:t>
      </w:r>
    </w:p>
    <w:p w14:paraId="6BA43B0E" w14:textId="77777777" w:rsidR="00103DA8" w:rsidRPr="00103DA8" w:rsidRDefault="00103DA8" w:rsidP="00103DA8">
      <w:pPr>
        <w:pStyle w:val="Plattetekst"/>
        <w:numPr>
          <w:ilvl w:val="0"/>
          <w:numId w:val="27"/>
        </w:numPr>
        <w:rPr>
          <w:bCs/>
          <w:i/>
          <w:lang w:val="nl-NL"/>
        </w:rPr>
      </w:pPr>
      <w:r w:rsidRPr="00103DA8">
        <w:rPr>
          <w:bCs/>
          <w:i/>
          <w:lang w:val="nl-NL"/>
        </w:rPr>
        <w:t>Inertia variables</w:t>
      </w:r>
    </w:p>
    <w:p w14:paraId="167A8179" w14:textId="51621FEB" w:rsidR="00103DA8" w:rsidRDefault="00103DA8" w:rsidP="00103DA8">
      <w:pPr>
        <w:pStyle w:val="Plattetekst"/>
        <w:rPr>
          <w:bCs/>
        </w:rPr>
      </w:pPr>
      <w:r w:rsidRPr="00103DA8">
        <w:rPr>
          <w:bCs/>
        </w:rPr>
        <w:t xml:space="preserve">The inertia variables account for biases in the sample towards staying with their current location and their current mode. The inertia is significant for the current residential location (t = 5.28), which shows that respondents are indeed biased towards their current residence. Inertia also occurs in the car, public transport and walking as mode choices. These biases are expected since individuals experience additional reluctance when they have to break their travel habits </w:t>
      </w:r>
      <w:r w:rsidRPr="00103DA8">
        <w:rPr>
          <w:bCs/>
        </w:rPr>
        <w:fldChar w:fldCharType="begin" w:fldLock="1"/>
      </w:r>
      <w:r w:rsidR="00A92DA0">
        <w:rPr>
          <w:bCs/>
        </w:rPr>
        <w:instrText>ADDIN CSL_CITATION {"citationItems":[{"id":"ITEM-1","itemData":{"DOI":"10.1287/trsc.1060.0178","author":[{"dropping-particle":"","family":"Cantillo","given":"Víctor","non-dropping-particle":"","parse-names":false,"suffix":""},{"dropping-particle":"","family":"Ortúzar","given":"Juan de Dios","non-dropping-particle":"","parse-names":false,"suffix":""},{"dropping-particle":"","family":"Williams","given":"Huw","non-dropping-particle":"","parse-names":false,"suffix":""}],"id":"ITEM-1","issue":"2","issued":{"date-parts":[["2007"]]},"page":"195-205","title":"Modeling discrete choices in the presence of inertia and serial correlation","type":"article-journal","volume":"41"},"uris":["http://www.mendeley.com/documents/?uuid=ba0f2ae5-e42b-4ee2-aa0f-bab08490f802"]}],"mendeley":{"formattedCitation":"[56]","plainTextFormattedCitation":"[56]","previouslyFormattedCitation":"[56]"},"properties":{"noteIndex":0},"schema":"https://github.com/citation-style-language/schema/raw/master/csl-citation.json"}</w:instrText>
      </w:r>
      <w:r w:rsidRPr="00103DA8">
        <w:rPr>
          <w:bCs/>
        </w:rPr>
        <w:fldChar w:fldCharType="separate"/>
      </w:r>
      <w:r w:rsidR="00A92DA0" w:rsidRPr="00A92DA0">
        <w:rPr>
          <w:bCs/>
          <w:noProof/>
        </w:rPr>
        <w:t>[56]</w:t>
      </w:r>
      <w:r w:rsidRPr="00103DA8">
        <w:rPr>
          <w:bCs/>
        </w:rPr>
        <w:fldChar w:fldCharType="end"/>
      </w:r>
      <w:r w:rsidRPr="00103DA8">
        <w:rPr>
          <w:bCs/>
        </w:rPr>
        <w:t xml:space="preserve">. The bicycle is the only part of the choice scenario where no inertia effect appears. </w:t>
      </w:r>
    </w:p>
    <w:p w14:paraId="74C5BC52" w14:textId="77777777" w:rsidR="00103DA8" w:rsidRPr="00103DA8" w:rsidRDefault="00103DA8" w:rsidP="00103DA8">
      <w:pPr>
        <w:pStyle w:val="Plattetekst"/>
        <w:numPr>
          <w:ilvl w:val="0"/>
          <w:numId w:val="27"/>
        </w:numPr>
        <w:rPr>
          <w:bCs/>
          <w:i/>
          <w:lang w:val="nl-NL"/>
        </w:rPr>
      </w:pPr>
      <w:r>
        <w:rPr>
          <w:bCs/>
          <w:i/>
          <w:lang w:val="nl-NL"/>
        </w:rPr>
        <w:t>Individual demographics</w:t>
      </w:r>
    </w:p>
    <w:p w14:paraId="2CD665D4" w14:textId="137598F7" w:rsidR="00570452" w:rsidRDefault="00103DA8" w:rsidP="00675EFD">
      <w:pPr>
        <w:pStyle w:val="Plattetekst"/>
        <w:rPr>
          <w:bCs/>
        </w:rPr>
      </w:pPr>
      <w:r w:rsidRPr="00103DA8">
        <w:rPr>
          <w:bCs/>
        </w:rPr>
        <w:t>The age of the respondents is introduced to the model with three dummy variables (less than 35 years old, 35-50 years old, more than 50 years old). The model shows that older adults (50 years and older) have a weaker preference for the other commute modes than the car/current option (β=-0.7</w:t>
      </w:r>
      <w:r w:rsidR="007B604F" w:rsidRPr="007B604F">
        <w:rPr>
          <w:bCs/>
          <w:lang w:val="en-US"/>
        </w:rPr>
        <w:t>8</w:t>
      </w:r>
      <w:r w:rsidRPr="00103DA8">
        <w:rPr>
          <w:bCs/>
        </w:rPr>
        <w:t xml:space="preserve">, t=1.89). This finding supports studies that observe that older people prefer cars compared to younger people </w:t>
      </w:r>
      <w:r w:rsidRPr="00103DA8">
        <w:rPr>
          <w:bCs/>
        </w:rPr>
        <w:fldChar w:fldCharType="begin" w:fldLock="1"/>
      </w:r>
      <w:r w:rsidR="004B1B2E">
        <w:rPr>
          <w:bCs/>
        </w:rPr>
        <w:instrText>ADDIN CSL_CITATION {"citationItems":[{"id":"ITEM-1","itemData":{"ISSN":"2223-439X","abstract":"In many advanced economies, car use per head, and sometimes total car traffic, has shown low growth. In some countries (and especially cities) it has declined. In a few countries, there have been similar studies of the distance travelled by all modes added together, which has shown a similar trend though with some doubts about how international air travel should be handled. It is generally agreed that the trends in the last few years must be influenced by world economic problems, but some of the possible changes in trend seem to go back ten or twenty years, with signs detectable even longer. Although there are differences of emphasis, the statistical facts of a reduction in historic growth, low growth or stability at national level, and reductions in specific locations especially some larger urban areas seem broadly agreed by most analyses. This evidence is sometimes ignored, but it is not contested. There is great interest in the appearance of some common features in many countries, notably including changes in the propensity to get driving licenses among young adults (especially teenage men), an apparent weakening of the association between income and mobility, a greater influence of public transport, walking and cycling to economic prosperity in some of the most successful cities, and the development of e-commerce, telecommuting, and social networks. There are currently differences in judgement on how influential these factors are, and on whether the observed trends are temporary, or reflect structural shifts which could be long-lived. These differences especially focus on the relative importance of economic issues (particularly prices and incomes), and wider social and cultural changes such as mobile internet access, demographic, gender, attitudinal and cultural trends, the effects of transport policies, and the possibilities of deeper concepts of ‘saturation’ of mobility when further increases bring little extra benefit. There is at the moment no strongly established common view about future growth in car use to the extent that was taken for granted in earlier decades. The paper discusses research needs, and some emerging issues for future transport policies, including the appraisal of large scale transport infrastructure projects, service provision, pricing, the allocation of risk, and initiatives to reduce car dependence, in the context where forecasts are problematic and contested.","author":[{"dropping-particle":"","family":"Goodwin","given":"Phil","non-dropping-particle":"","parse-names":false,"suffix":""}],"container-title":"Internation Transport Forum","id":"ITEM-1","issue":"March","issued":{"date-parts":[["2012"]]},"page":"41","title":"Peak travel, Peak car and the future of mobility","type":"article-journal"},"uris":["http://www.mendeley.com/documents/?uuid=6696ebc6-e8ba-422b-9aed-6a8bfb246687"]},{"id":"ITEM-2","itemData":{"DOI":"10.2760/172631","ISBN":"9789279666681","author":[{"dropping-particle":"","family":"Focas","given":"Caralampo","non-dropping-particle":"","parse-names":false,"suffix":""},{"dropping-particle":"","family":"Christidis","given":"Panayotis","non-dropping-particle":"","parse-names":false,"suffix":""}],"id":"ITEM-2","issued":{"date-parts":[["2017"]]},"number-of-pages":"1-28","title":"What drives car use in Europe?","type":"report"},"uris":["http://www.mendeley.com/documents/?uuid=54050089-2613-4a78-9624-5d50ed7c8977"]}],"mendeley":{"formattedCitation":"[7], [8]","plainTextFormattedCitation":"[7], [8]","previouslyFormattedCitation":"[7], [8]"},"properties":{"noteIndex":0},"schema":"https://github.com/citation-style-language/schema/raw/master/csl-citation.json"}</w:instrText>
      </w:r>
      <w:r w:rsidRPr="00103DA8">
        <w:rPr>
          <w:bCs/>
        </w:rPr>
        <w:fldChar w:fldCharType="separate"/>
      </w:r>
      <w:r w:rsidR="00F02ABA" w:rsidRPr="00F02ABA">
        <w:rPr>
          <w:bCs/>
          <w:noProof/>
        </w:rPr>
        <w:t>[7], [8]</w:t>
      </w:r>
      <w:r w:rsidRPr="00103DA8">
        <w:rPr>
          <w:bCs/>
        </w:rPr>
        <w:fldChar w:fldCharType="end"/>
      </w:r>
      <w:r w:rsidRPr="00103DA8">
        <w:rPr>
          <w:bCs/>
        </w:rPr>
        <w:t xml:space="preserve">. </w:t>
      </w:r>
    </w:p>
    <w:p w14:paraId="57EBBAC5" w14:textId="411FCDE4" w:rsidR="004E7903" w:rsidRPr="00103DA8" w:rsidRDefault="00675EFD" w:rsidP="004E7903">
      <w:pPr>
        <w:pStyle w:val="Plattetekst"/>
        <w:ind w:firstLine="0pt"/>
        <w:rPr>
          <w:bCs/>
        </w:rPr>
      </w:pPr>
      <w:r w:rsidRPr="00103DA8">
        <w:rPr>
          <w:bCs/>
        </w:rPr>
        <w:t>The same pattern can be seen for higher educated individuals (β=-0.79, t=-2.18). Surprisingly, the model results show the opposite of what would be expected based</w:t>
      </w:r>
      <w:r w:rsidR="004E7903" w:rsidRPr="004E7903">
        <w:rPr>
          <w:bCs/>
        </w:rPr>
        <w:t xml:space="preserve"> </w:t>
      </w:r>
      <w:r w:rsidR="004E7903" w:rsidRPr="00103DA8">
        <w:rPr>
          <w:bCs/>
        </w:rPr>
        <w:t>on the descriptive statistics, where</w:t>
      </w:r>
      <w:r w:rsidR="004E7903" w:rsidRPr="00675EFD">
        <w:rPr>
          <w:bCs/>
          <w:lang w:val="en-US"/>
        </w:rPr>
        <w:t xml:space="preserve"> </w:t>
      </w:r>
      <w:r w:rsidR="004E7903">
        <w:rPr>
          <w:bCs/>
          <w:lang w:val="en-US"/>
        </w:rPr>
        <w:t>the</w:t>
      </w:r>
      <w:r w:rsidR="004E7903" w:rsidRPr="00103DA8">
        <w:rPr>
          <w:bCs/>
        </w:rPr>
        <w:t xml:space="preserve"> less</w:t>
      </w:r>
      <w:r w:rsidR="004E7903">
        <w:rPr>
          <w:bCs/>
          <w:lang w:val="en-US"/>
        </w:rPr>
        <w:t>-</w:t>
      </w:r>
      <w:r w:rsidR="004E7903" w:rsidRPr="00103DA8">
        <w:rPr>
          <w:bCs/>
        </w:rPr>
        <w:t xml:space="preserve">educated respondents are shown to opt more often for the car. In other words, while the proportion of car users among individuals with no higher education is higher than among individuals with higher education, the car users with a higher education are more rigid in their residential </w:t>
      </w:r>
      <w:r w:rsidR="004E7903" w:rsidRPr="00501EA0">
        <w:rPr>
          <w:bCs/>
          <w:lang w:val="en-US"/>
        </w:rPr>
        <w:t>self</w:t>
      </w:r>
      <w:r w:rsidR="004E7903">
        <w:rPr>
          <w:bCs/>
          <w:lang w:val="en-US"/>
        </w:rPr>
        <w:t>-selection</w:t>
      </w:r>
      <w:r w:rsidR="004E7903" w:rsidRPr="00103DA8">
        <w:rPr>
          <w:bCs/>
        </w:rPr>
        <w:t xml:space="preserve">, significantly more often opting to stay in their current situation compared to individuals with no high education and individuals that use another commute mode.  </w:t>
      </w:r>
    </w:p>
    <w:p w14:paraId="09690424" w14:textId="6DD08C72" w:rsidR="004E7903" w:rsidRDefault="004E7903" w:rsidP="004E7903">
      <w:pPr>
        <w:pStyle w:val="Plattetekst"/>
        <w:rPr>
          <w:bCs/>
        </w:rPr>
      </w:pPr>
      <w:r w:rsidRPr="00103DA8">
        <w:rPr>
          <w:bCs/>
        </w:rPr>
        <w:t>The income variable representing an annual income of over €40,000 also shows surprising results. In the existing residential location and the mobility hub choice, the options with the car are found to have a negative effect on the joint choice utility (respectively β=1.78, t=2.67 for all combinations except current/car and β=-1.92, t=-2.6 for mobility hub/car). This can be due to the fact that among individuals with a higher income car use is less preferred than the other modes when compared to other income groups. In the literature, the effects of income on mode choice are inconclusive. Studies show both positive and negative directions for the effects of high income on mode choice</w:t>
      </w:r>
      <w:r>
        <w:rPr>
          <w:bCs/>
          <w:lang w:val="en-US"/>
        </w:rPr>
        <w:t xml:space="preserve"> </w:t>
      </w:r>
      <w:r>
        <w:rPr>
          <w:bCs/>
          <w:lang w:val="en-US"/>
        </w:rPr>
        <w:fldChar w:fldCharType="begin" w:fldLock="1"/>
      </w:r>
      <w:r w:rsidR="00A92DA0">
        <w:rPr>
          <w:bCs/>
          <w:lang w:val="en-US"/>
        </w:rPr>
        <w:instrText>ADDIN CSL_CITATION {"citationItems":[{"id":"ITEM-1","itemData":{"DOI":"10.1016/j.tbs.2018.05.001","ISSN":"2214367X","abstract":"This paper separately analyzes the impacts of weather and seasonality on commute mode choice using a stated-preference (SP) survey. The study's twin objectives include quantifying the relative attractiveness of a flexible transit mode under adverse weather and analyzing the heterogenous impacts of seasonality and weather on different segments of the population. The survey was implemented during summer and winter months to analyze the impact of seasonality on commute mode choice. To analyze the impact of weather on commute mode choice, the survey randomly assigns respondents to a good or bad weather scenario. The three SP mode choice options are fixed-route transit, personal car, and a hypothetical flexible transit mode. The flexible transit mode allows travelers to wait for a transit vehicle at their origin point – an especially attractive feature on cold and/or snowy/rainy days. However, like with existing dial-a-ride services, travelers using the flexible transit service may experience detours between their pickup and drop-off locations. Several panel mixed-logit choice models that incorporate weather and seasonality were estimated using the SP survey data. The panel mixed-logit model form captures taste heterogeneity across respondents and correlation across multiple SP choice experiments from a single respondent. Model estimation results indicate that relative to good weather, summer days, respondents were significantly more likely to choose traditional and flexible transit on good weather, winter days, and flexible transit on bad weather, winter days. Furthermore, the results show that the impacts of weather and seasonality on commute mode choice vary across the population. Most of the respondents had a lower (higher) propensity to choose the car (flexible transit) mode under bad weather than good weather. Conversely, car commuters, bicycle commuters, and baby boomers had a much higher propensity to choose the car mode under bad weather than good weather. Additionally, the results show that millennials had a much lower propensity to choose the car mode in the winter than the summer, whereas seasonality had little impact on the propensity of non-millennials to choose the car mode. The paper discusses the implications of these findings on the design of transit, flexible transit, and emerging mobility services, as well as the management of transportation systems and dissemination of information regarding alternative transport modes during adverse weat…","author":[{"dropping-particle":"","family":"Hyland","given":"Michael","non-dropping-particle":"","parse-names":false,"suffix":""},{"dropping-particle":"","family":"Frei","given":"Charlotte","non-dropping-particle":"","parse-names":false,"suffix":""},{"dropping-particle":"","family":"Frei","given":"Andreas","non-dropping-particle":"","parse-names":false,"suffix":""},{"dropping-particle":"","family":"Mahmassani","given":"Hani S.","non-dropping-particle":"","parse-names":false,"suffix":""}],"container-title":"Travel Behaviour and Society","id":"ITEM-1","issue":"May","issued":{"date-parts":[["2018"]]},"page":"44-60","title":"Riders on the storm: Exploring weather and seasonality effects on commute mode choice in Chicago","type":"article-journal","volume":"13"},"uris":["http://www.mendeley.com/documents/?uuid=e85a25d3-ff61-44e5-a90c-e24040d70fee"]},{"id":"ITEM-2","itemData":{"DOI":"10.1016/j.tranpol.2018.12.007","ISSN":"1879310X","abstract":"Developing sustainable transportation systems in a city can be substantially assisted by promoting environmentally friendly transportation modes such as walking, cycling, and public transit rather than private cars. Strategies for promoting these desirable transportation modes can be effectively identified based on a sound understanding of how citizens choose a travel mode. In this study, we sought to enhance this understanding by exploring factors associated with commute mode choice utilizing data from a general social survey in Seoul, South Korea. Based on the data, parametric and non-parametric statistical models based on classification tree and multilevel logistic regression approaches, respectively, were developed as a way to capture influential factors associated with the mode choice decision. The models illustrate that commuters’ socio-demographic characteristics such as income, occupation, gender, and residence duration tend to significantly influence mode choice. In addition, they showed that respondents’ attitudes and behaviors, including the amount of time spent on the internet and self-assessed social status, can be strongly associated with mode choice. This study is also meaningful in that it demonstrates the potential applicability of general social survey data for investigating travel behavior considering various factors that are rarely included in general transportation surveys.","author":[{"dropping-particle":"","family":"Ko","given":"Joonho","non-dropping-particle":"","parse-names":false,"suffix":""},{"dropping-particle":"","family":"Lee","given":"Sugie","non-dropping-particle":"","parse-names":false,"suffix":""},{"dropping-particle":"","family":"Byun","given":"Miree","non-dropping-particle":"","parse-names":false,"suffix":""}],"container-title":"Transport Policy","id":"ITEM-2","issue":"November 2018","issued":{"date-parts":[["2019"]]},"page":"36-46","publisher":"Elsevier Ltd","title":"Exploring factors associated with commute mode choice: An application of city-level general social survey data","type":"article-journal","volume":"75"},"uris":["http://www.mendeley.com/documents/?uuid=959b1b2c-f89f-4727-96df-021c30b9241e"]},{"id":"ITEM-3","itemData":{"DOI":"10.1016/j.tra.2018.08.023","ISSN":"09658564","abstract":"Interest into active modes (i.e. walking and cycling) has increased significantly over the past decades, with governments worldwide ultimately aiming for a modal shift towards active modes. To devise policies that promote this goal, understanding the determinants that influence the choice for an active mode is essential. The Netherlands is country with a large and demographically diverse active mode user population, mature and complete active mode infrastructure, and safe environment. Mode choice research from the Netherlands enables a comparison on relevant determinants with countries that have a low active mode share. Furthermore, it can provide quantitative input for policies aiming at an active mode shift. This paper estimates a mode choice model focusing on active modes, while including a more comprehensive set of modes (i.e. walking, cycling, public transport and car). Based on data from the Netherlands Mobility Panel (MPN) in combination with an additional survey focused on active modes (coined PAW-AM), this study estimates which determinants influence mode choice. The determinants can be categorized as individual characteristics, household characteristics, season and weather characteristics, trip characteristics, built environment, and work conditions. The results show that all categories of determinants influence both walking and cycling. However, the choice for cycling or walking is affected by different determinants and to a different extent. In addition, no active mode nest was found in the model estimation. Cycling and walking should thus be regarded as two distinguished alternatives. Furthermore, the results show that active mode use is most sensitive to changes in the trip characteristics and the built environment.","author":[{"dropping-particle":"","family":"Ton","given":"Danique","non-dropping-particle":"","parse-names":false,"suffix":""},{"dropping-particle":"","family":"Duives","given":"Dorine C.","non-dropping-particle":"","parse-names":false,"suffix":""},{"dropping-particle":"","family":"Cats","given":"Oded","non-dropping-particle":"","parse-names":false,"suffix":""},{"dropping-particle":"","family":"Hoogendoorn-Lanser","given":"Sascha","non-dropping-particle":"","parse-names":false,"suffix":""},{"dropping-particle":"","family":"Hoogendoorn","given":"Serge P.","non-dropping-particle":"","parse-names":false,"suffix":""}],"container-title":"Transportation Research Part A: Policy and Practice","id":"ITEM-3","issue":"August 2018","issued":{"date-parts":[["2019"]]},"page":"7-23","publisher":"Elsevier","title":"Cycling or walking? Determinants of mode choice in the Netherlands","type":"article-journal","volume":"123"},"uris":["http://www.mendeley.com/documents/?uuid=b283bf34-8b71-4328-a913-ab2f1636e2c5"]}],"mendeley":{"formattedCitation":"[32], [57], [58]","plainTextFormattedCitation":"[32], [57], [58]","previouslyFormattedCitation":"[32], [57], [58]"},"properties":{"noteIndex":0},"schema":"https://github.com/citation-style-language/schema/raw/master/csl-citation.json"}</w:instrText>
      </w:r>
      <w:r>
        <w:rPr>
          <w:bCs/>
          <w:lang w:val="en-US"/>
        </w:rPr>
        <w:fldChar w:fldCharType="separate"/>
      </w:r>
      <w:r w:rsidR="00A92DA0" w:rsidRPr="00A92DA0">
        <w:rPr>
          <w:bCs/>
          <w:noProof/>
          <w:lang w:val="en-US"/>
        </w:rPr>
        <w:t>[32], [57], [58]</w:t>
      </w:r>
      <w:r>
        <w:rPr>
          <w:bCs/>
          <w:lang w:val="en-US"/>
        </w:rPr>
        <w:fldChar w:fldCharType="end"/>
      </w:r>
      <w:r w:rsidRPr="00103DA8">
        <w:rPr>
          <w:bCs/>
        </w:rPr>
        <w:t xml:space="preserve">. However, a better explanation of this result would be that car users with a high income opt to move to the </w:t>
      </w:r>
    </w:p>
    <w:p w14:paraId="3C9C39FD" w14:textId="380D4CEF" w:rsidR="00675EFD" w:rsidRPr="004E7903" w:rsidRDefault="00675EFD" w:rsidP="00675EFD">
      <w:pPr>
        <w:ind w:firstLine="14.40pt"/>
        <w:jc w:val="distribute"/>
        <w:rPr>
          <w:bCs/>
          <w:lang w:val="x-none"/>
        </w:rPr>
        <w:sectPr w:rsidR="00675EFD" w:rsidRPr="004E7903" w:rsidSect="003B4E04">
          <w:type w:val="continuous"/>
          <w:pgSz w:w="595.30pt" w:h="841.90pt" w:code="9"/>
          <w:pgMar w:top="54pt" w:right="45.35pt" w:bottom="72pt" w:left="45.35pt" w:header="36pt" w:footer="36pt" w:gutter="0pt"/>
          <w:cols w:num="2" w:space="18pt"/>
          <w:docGrid w:linePitch="360"/>
        </w:sectPr>
      </w:pPr>
    </w:p>
    <w:tbl>
      <w:tblPr>
        <w:tblpPr w:leftFromText="180" w:rightFromText="180" w:vertAnchor="page" w:horzAnchor="margin" w:tblpY="1414"/>
        <w:tblW w:w="100.0%" w:type="pct"/>
        <w:tbl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insideH w:val="single" w:sz="4" w:space="0" w:color="BFBFBF" w:themeColor="background1" w:themeShade="BF"/>
          <w:insideV w:val="single" w:sz="4" w:space="0" w:color="BFBFBF" w:themeColor="background1" w:themeShade="BF"/>
        </w:tblBorders>
        <w:tblLook w:firstRow="1" w:lastRow="0" w:firstColumn="1" w:lastColumn="0" w:noHBand="0" w:noVBand="1"/>
      </w:tblPr>
      <w:tblGrid>
        <w:gridCol w:w="459"/>
        <w:gridCol w:w="528"/>
        <w:gridCol w:w="1193"/>
        <w:gridCol w:w="1116"/>
        <w:gridCol w:w="904"/>
        <w:gridCol w:w="758"/>
        <w:gridCol w:w="839"/>
        <w:gridCol w:w="1194"/>
        <w:gridCol w:w="927"/>
        <w:gridCol w:w="894"/>
        <w:gridCol w:w="950"/>
        <w:gridCol w:w="983"/>
        <w:gridCol w:w="739"/>
        <w:gridCol w:w="1482"/>
        <w:gridCol w:w="1337"/>
      </w:tblGrid>
      <w:tr w:rsidR="00570452" w:rsidRPr="00BC43A5" w14:paraId="7930C9D2" w14:textId="77777777" w:rsidTr="00A13CD9">
        <w:trPr>
          <w:trHeight w:hRule="exact" w:val="456"/>
        </w:trPr>
        <w:tc>
          <w:tcPr>
            <w:tcW w:w="15.0%" w:type="pct"/>
            <w:gridSpan w:val="3"/>
            <w:tcBorders>
              <w:top w:val="nil"/>
              <w:start w:val="nil"/>
              <w:bottom w:val="nil"/>
              <w:end w:val="double" w:sz="4" w:space="0" w:color="0D0D0D" w:themeColor="text1" w:themeTint="F2"/>
            </w:tcBorders>
            <w:shd w:val="clear" w:color="auto" w:fill="auto"/>
          </w:tcPr>
          <w:p w14:paraId="0A4C8A47" w14:textId="77777777" w:rsidR="00570452" w:rsidRPr="00BE0C98" w:rsidRDefault="00570452" w:rsidP="00E61426">
            <w:pPr>
              <w:rPr>
                <w:rFonts w:eastAsia="Times New Roman"/>
                <w:lang w:eastAsia="zh-CN"/>
              </w:rPr>
            </w:pPr>
          </w:p>
        </w:tc>
        <w:tc>
          <w:tcPr>
            <w:tcW w:w="84.0%" w:type="pct"/>
            <w:gridSpan w:val="12"/>
            <w:tcBorders>
              <w:top w:val="double" w:sz="4" w:space="0" w:color="0D0D0D" w:themeColor="text1" w:themeTint="F2"/>
              <w:start w:val="double" w:sz="4" w:space="0" w:color="0D0D0D" w:themeColor="text1" w:themeTint="F2"/>
              <w:bottom w:val="single" w:sz="4" w:space="0" w:color="auto"/>
              <w:end w:val="double" w:sz="4" w:space="0" w:color="0D0D0D" w:themeColor="text1" w:themeTint="F2"/>
            </w:tcBorders>
            <w:shd w:val="clear" w:color="auto" w:fill="auto"/>
            <w:vAlign w:val="center"/>
          </w:tcPr>
          <w:p w14:paraId="356184CF" w14:textId="2FCFD53F" w:rsidR="00570452" w:rsidRPr="00570452" w:rsidRDefault="00570452" w:rsidP="00E61426">
            <w:pPr>
              <w:rPr>
                <w:rFonts w:eastAsia="Times New Roman"/>
                <w:b/>
                <w:color w:val="000000"/>
                <w:lang w:eastAsia="zh-CN"/>
              </w:rPr>
            </w:pPr>
            <w:r>
              <w:rPr>
                <w:rFonts w:eastAsia="Times New Roman"/>
                <w:b/>
                <w:color w:val="000000"/>
                <w:lang w:eastAsia="zh-CN"/>
              </w:rPr>
              <w:t xml:space="preserve">TABLE 5.1: </w:t>
            </w:r>
            <w:r w:rsidR="007E29B4">
              <w:rPr>
                <w:rFonts w:eastAsia="Times New Roman"/>
                <w:b/>
                <w:color w:val="000000"/>
                <w:lang w:eastAsia="zh-CN"/>
              </w:rPr>
              <w:t>MNL</w:t>
            </w:r>
            <w:r>
              <w:rPr>
                <w:rFonts w:eastAsia="Times New Roman"/>
                <w:b/>
                <w:color w:val="000000"/>
                <w:lang w:eastAsia="zh-CN"/>
              </w:rPr>
              <w:t xml:space="preserve"> REGRESSION RESULTS</w:t>
            </w:r>
            <w:r w:rsidR="007E29B4">
              <w:rPr>
                <w:rFonts w:eastAsia="Times New Roman"/>
                <w:b/>
                <w:color w:val="000000"/>
                <w:lang w:eastAsia="zh-CN"/>
              </w:rPr>
              <w:t xml:space="preserve"> ON JOINT RESIDENTIAL SELF-SELECTION AND COMMUTE MODE CHOICE</w:t>
            </w:r>
          </w:p>
        </w:tc>
      </w:tr>
      <w:tr w:rsidR="00570452" w:rsidRPr="00BC43A5" w14:paraId="32EFC098" w14:textId="77777777" w:rsidTr="0030560B">
        <w:trPr>
          <w:trHeight w:hRule="exact" w:val="530"/>
        </w:trPr>
        <w:tc>
          <w:tcPr>
            <w:tcW w:w="15.0%" w:type="pct"/>
            <w:gridSpan w:val="3"/>
            <w:vMerge w:val="restart"/>
            <w:tcBorders>
              <w:top w:val="nil"/>
              <w:start w:val="nil"/>
              <w:end w:val="double" w:sz="4" w:space="0" w:color="0D0D0D" w:themeColor="text1" w:themeTint="F2"/>
            </w:tcBorders>
            <w:shd w:val="clear" w:color="auto" w:fill="auto"/>
            <w:hideMark/>
          </w:tcPr>
          <w:p w14:paraId="5FBB6836" w14:textId="77777777" w:rsidR="00570452" w:rsidRPr="00BE0C98" w:rsidRDefault="00570452" w:rsidP="00E61426">
            <w:pPr>
              <w:rPr>
                <w:rFonts w:eastAsia="Times New Roman"/>
                <w:lang w:eastAsia="zh-CN"/>
              </w:rPr>
            </w:pPr>
            <w:bookmarkStart w:id="1" w:name="_Hlk26444854"/>
          </w:p>
        </w:tc>
        <w:tc>
          <w:tcPr>
            <w:tcW w:w="14.0%" w:type="pct"/>
            <w:gridSpan w:val="2"/>
            <w:tcBorders>
              <w:top w:val="double" w:sz="4" w:space="0" w:color="0D0D0D" w:themeColor="text1" w:themeTint="F2"/>
              <w:start w:val="double" w:sz="4" w:space="0" w:color="0D0D0D" w:themeColor="text1" w:themeTint="F2"/>
              <w:bottom w:val="single" w:sz="4" w:space="0" w:color="BFBFBF" w:themeColor="background1" w:themeShade="BF"/>
              <w:end w:val="double" w:sz="4" w:space="0" w:color="0D0D0D" w:themeColor="text1" w:themeTint="F2"/>
            </w:tcBorders>
            <w:shd w:val="clear" w:color="auto" w:fill="auto"/>
            <w:vAlign w:val="center"/>
          </w:tcPr>
          <w:p w14:paraId="3399C140" w14:textId="77777777" w:rsidR="00570452" w:rsidRPr="00570452" w:rsidRDefault="00570452" w:rsidP="00E61426">
            <w:pPr>
              <w:rPr>
                <w:rFonts w:eastAsia="Times New Roman"/>
                <w:b/>
                <w:color w:val="000000"/>
                <w:lang w:eastAsia="zh-CN"/>
              </w:rPr>
            </w:pPr>
            <w:r w:rsidRPr="00570452">
              <w:rPr>
                <w:rFonts w:eastAsia="Times New Roman"/>
                <w:b/>
                <w:color w:val="000000"/>
                <w:lang w:eastAsia="zh-CN"/>
              </w:rPr>
              <w:t>Inertia</w:t>
            </w:r>
          </w:p>
        </w:tc>
        <w:tc>
          <w:tcPr>
            <w:tcW w:w="20.0%" w:type="pct"/>
            <w:gridSpan w:val="3"/>
            <w:tcBorders>
              <w:top w:val="double" w:sz="4" w:space="0" w:color="0D0D0D" w:themeColor="text1" w:themeTint="F2"/>
              <w:start w:val="double" w:sz="4" w:space="0" w:color="0D0D0D" w:themeColor="text1" w:themeTint="F2"/>
              <w:bottom w:val="single" w:sz="4" w:space="0" w:color="BFBFBF" w:themeColor="background1" w:themeShade="BF"/>
              <w:end w:val="double" w:sz="4" w:space="0" w:color="0D0D0D" w:themeColor="text1" w:themeTint="F2"/>
            </w:tcBorders>
            <w:shd w:val="clear" w:color="auto" w:fill="auto"/>
            <w:vAlign w:val="center"/>
          </w:tcPr>
          <w:p w14:paraId="2C9781BA" w14:textId="77777777" w:rsidR="00570452" w:rsidRPr="00570452" w:rsidRDefault="00570452" w:rsidP="00E61426">
            <w:pPr>
              <w:rPr>
                <w:rFonts w:eastAsia="Times New Roman"/>
                <w:b/>
                <w:color w:val="000000"/>
                <w:lang w:eastAsia="zh-CN"/>
              </w:rPr>
            </w:pPr>
            <w:r w:rsidRPr="00570452">
              <w:rPr>
                <w:rFonts w:eastAsia="Times New Roman"/>
                <w:b/>
                <w:color w:val="000000"/>
                <w:lang w:eastAsia="zh-CN"/>
              </w:rPr>
              <w:t>Socioeconomic</w:t>
            </w:r>
          </w:p>
        </w:tc>
        <w:tc>
          <w:tcPr>
            <w:tcW w:w="40.0%" w:type="pct"/>
            <w:gridSpan w:val="6"/>
            <w:tcBorders>
              <w:top w:val="double" w:sz="4" w:space="0" w:color="0D0D0D" w:themeColor="text1" w:themeTint="F2"/>
              <w:start w:val="double" w:sz="4" w:space="0" w:color="0D0D0D" w:themeColor="text1" w:themeTint="F2"/>
              <w:bottom w:val="single" w:sz="4" w:space="0" w:color="BFBFBF" w:themeColor="background1" w:themeShade="BF"/>
              <w:end w:val="double" w:sz="4" w:space="0" w:color="0D0D0D" w:themeColor="text1" w:themeTint="F2"/>
            </w:tcBorders>
            <w:shd w:val="clear" w:color="auto" w:fill="auto"/>
            <w:vAlign w:val="center"/>
          </w:tcPr>
          <w:p w14:paraId="4B588F5E" w14:textId="77777777" w:rsidR="00570452" w:rsidRPr="00570452" w:rsidRDefault="00570452" w:rsidP="00E61426">
            <w:pPr>
              <w:rPr>
                <w:rFonts w:eastAsia="Times New Roman"/>
                <w:b/>
                <w:color w:val="000000"/>
                <w:lang w:eastAsia="zh-CN"/>
              </w:rPr>
            </w:pPr>
            <w:r w:rsidRPr="00570452">
              <w:rPr>
                <w:rFonts w:eastAsia="Times New Roman"/>
                <w:b/>
                <w:color w:val="000000"/>
                <w:lang w:eastAsia="zh-CN"/>
              </w:rPr>
              <w:t>Attribute</w:t>
            </w:r>
          </w:p>
        </w:tc>
        <w:tc>
          <w:tcPr>
            <w:tcW w:w="7.0%" w:type="pct"/>
            <w:tcBorders>
              <w:top w:val="double" w:sz="4" w:space="0" w:color="0D0D0D" w:themeColor="text1" w:themeTint="F2"/>
              <w:start w:val="double" w:sz="4" w:space="0" w:color="0D0D0D" w:themeColor="text1" w:themeTint="F2"/>
              <w:bottom w:val="single" w:sz="4" w:space="0" w:color="BFBFBF" w:themeColor="background1" w:themeShade="BF"/>
              <w:end w:val="double" w:sz="4" w:space="0" w:color="0D0D0D" w:themeColor="text1" w:themeTint="F2"/>
            </w:tcBorders>
            <w:shd w:val="clear" w:color="auto" w:fill="auto"/>
            <w:vAlign w:val="center"/>
          </w:tcPr>
          <w:p w14:paraId="1F80D7FA" w14:textId="77777777" w:rsidR="00570452" w:rsidRPr="00570452" w:rsidRDefault="00570452" w:rsidP="00E61426">
            <w:pPr>
              <w:rPr>
                <w:rFonts w:eastAsia="Times New Roman"/>
                <w:b/>
                <w:color w:val="000000"/>
                <w:lang w:eastAsia="zh-CN"/>
              </w:rPr>
            </w:pPr>
            <w:r w:rsidRPr="00570452">
              <w:rPr>
                <w:rFonts w:eastAsia="Times New Roman"/>
                <w:b/>
                <w:color w:val="000000"/>
                <w:lang w:eastAsia="zh-CN"/>
              </w:rPr>
              <w:t>Inter-</w:t>
            </w:r>
          </w:p>
          <w:p w14:paraId="2CEA4898" w14:textId="77777777" w:rsidR="00570452" w:rsidRPr="00570452" w:rsidRDefault="00570452" w:rsidP="00E61426">
            <w:pPr>
              <w:rPr>
                <w:rFonts w:eastAsia="Times New Roman"/>
                <w:b/>
                <w:color w:val="000000"/>
                <w:lang w:eastAsia="zh-CN"/>
              </w:rPr>
            </w:pPr>
            <w:r w:rsidRPr="00570452">
              <w:rPr>
                <w:rFonts w:eastAsia="Times New Roman"/>
                <w:b/>
                <w:color w:val="000000"/>
                <w:lang w:eastAsia="zh-CN"/>
              </w:rPr>
              <w:t>action</w:t>
            </w:r>
          </w:p>
        </w:tc>
      </w:tr>
      <w:tr w:rsidR="007E29B4" w:rsidRPr="00BC43A5" w14:paraId="634AC11A" w14:textId="77777777" w:rsidTr="0030560B">
        <w:trPr>
          <w:trHeight w:hRule="exact" w:val="1197"/>
        </w:trPr>
        <w:tc>
          <w:tcPr>
            <w:tcW w:w="15.0%" w:type="pct"/>
            <w:gridSpan w:val="3"/>
            <w:vMerge/>
            <w:tcBorders>
              <w:start w:val="nil"/>
              <w:bottom w:val="double" w:sz="4" w:space="0" w:color="0D0D0D" w:themeColor="text1" w:themeTint="F2"/>
              <w:end w:val="double" w:sz="4" w:space="0" w:color="0D0D0D" w:themeColor="text1" w:themeTint="F2"/>
            </w:tcBorders>
            <w:shd w:val="clear" w:color="auto" w:fill="auto"/>
            <w:vAlign w:val="bottom"/>
            <w:hideMark/>
          </w:tcPr>
          <w:p w14:paraId="32BC44BC" w14:textId="77777777" w:rsidR="00570452" w:rsidRPr="00BE0C98" w:rsidRDefault="00570452" w:rsidP="00E61426">
            <w:pPr>
              <w:rPr>
                <w:rFonts w:eastAsia="Times New Roman"/>
                <w:lang w:eastAsia="zh-CN"/>
              </w:rPr>
            </w:pPr>
          </w:p>
        </w:tc>
        <w:tc>
          <w:tcPr>
            <w:tcW w:w="7.0%" w:type="pct"/>
            <w:tcBorders>
              <w:top w:val="single" w:sz="4" w:space="0" w:color="BFBFBF" w:themeColor="background1" w:themeShade="BF"/>
              <w:start w:val="double" w:sz="4" w:space="0" w:color="0D0D0D" w:themeColor="text1" w:themeTint="F2"/>
              <w:bottom w:val="double" w:sz="4" w:space="0" w:color="auto"/>
              <w:end w:val="single" w:sz="4" w:space="0" w:color="BFBFBF" w:themeColor="background1" w:themeShade="BF"/>
            </w:tcBorders>
            <w:shd w:val="clear" w:color="auto" w:fill="auto"/>
            <w:vAlign w:val="center"/>
          </w:tcPr>
          <w:p w14:paraId="7BA5BF01" w14:textId="77777777" w:rsidR="00570452" w:rsidRPr="00570452" w:rsidRDefault="00570452" w:rsidP="00E61426">
            <w:pPr>
              <w:rPr>
                <w:rFonts w:eastAsia="Times New Roman"/>
                <w:i/>
                <w:color w:val="000000"/>
                <w:lang w:eastAsia="zh-CN"/>
              </w:rPr>
            </w:pPr>
            <w:r w:rsidRPr="00570452">
              <w:rPr>
                <w:rFonts w:eastAsia="Times New Roman"/>
                <w:i/>
                <w:color w:val="000000"/>
                <w:lang w:eastAsia="zh-CN"/>
              </w:rPr>
              <w:t>Residential location</w:t>
            </w:r>
          </w:p>
        </w:tc>
        <w:tc>
          <w:tcPr>
            <w:tcW w:w="7.0%" w:type="pct"/>
            <w:tcBorders>
              <w:top w:val="single" w:sz="4" w:space="0" w:color="BFBFBF" w:themeColor="background1" w:themeShade="BF"/>
              <w:start w:val="single" w:sz="4" w:space="0" w:color="BFBFBF" w:themeColor="background1" w:themeShade="BF"/>
              <w:bottom w:val="double" w:sz="4" w:space="0" w:color="auto"/>
              <w:end w:val="double" w:sz="4" w:space="0" w:color="auto"/>
            </w:tcBorders>
            <w:shd w:val="clear" w:color="auto" w:fill="auto"/>
            <w:vAlign w:val="center"/>
          </w:tcPr>
          <w:p w14:paraId="209D79FC" w14:textId="77777777" w:rsidR="00570452" w:rsidRPr="00570452" w:rsidRDefault="00570452" w:rsidP="00E61426">
            <w:pPr>
              <w:rPr>
                <w:rFonts w:eastAsia="Times New Roman"/>
                <w:i/>
                <w:color w:val="000000"/>
                <w:lang w:eastAsia="zh-CN"/>
              </w:rPr>
            </w:pPr>
            <w:r w:rsidRPr="00570452">
              <w:rPr>
                <w:rFonts w:eastAsia="Times New Roman"/>
                <w:i/>
                <w:color w:val="000000"/>
                <w:lang w:eastAsia="zh-CN"/>
              </w:rPr>
              <w:t>Mode</w:t>
            </w:r>
          </w:p>
        </w:tc>
        <w:tc>
          <w:tcPr>
            <w:tcW w:w="6.0%" w:type="pct"/>
            <w:tcBorders>
              <w:top w:val="single" w:sz="4" w:space="0" w:color="BFBFBF" w:themeColor="background1" w:themeShade="BF"/>
              <w:start w:val="double" w:sz="4" w:space="0" w:color="auto"/>
              <w:bottom w:val="double" w:sz="4" w:space="0" w:color="0D0D0D" w:themeColor="text1" w:themeTint="F2"/>
              <w:end w:val="single" w:sz="4" w:space="0" w:color="BFBFBF" w:themeColor="background1" w:themeShade="BF"/>
            </w:tcBorders>
            <w:shd w:val="clear" w:color="auto" w:fill="auto"/>
            <w:vAlign w:val="center"/>
          </w:tcPr>
          <w:p w14:paraId="545D6C52" w14:textId="15FD9022" w:rsidR="00570452" w:rsidRPr="00570452" w:rsidRDefault="00570452" w:rsidP="00E61426">
            <w:pPr>
              <w:rPr>
                <w:rFonts w:eastAsia="Times New Roman"/>
                <w:i/>
                <w:color w:val="000000"/>
                <w:lang w:eastAsia="zh-CN"/>
              </w:rPr>
            </w:pPr>
            <w:r w:rsidRPr="00570452">
              <w:rPr>
                <w:rFonts w:eastAsia="Times New Roman"/>
                <w:i/>
                <w:color w:val="000000"/>
                <w:lang w:eastAsia="zh-CN"/>
              </w:rPr>
              <w:t>Age</w:t>
            </w:r>
          </w:p>
          <w:p w14:paraId="1F117356" w14:textId="7A7FDAE6" w:rsidR="00570452" w:rsidRPr="00570452" w:rsidRDefault="007E29B4" w:rsidP="00E61426">
            <w:pPr>
              <w:rPr>
                <w:rFonts w:eastAsia="Times New Roman"/>
                <w:i/>
                <w:color w:val="000000"/>
                <w:lang w:eastAsia="zh-CN"/>
              </w:rPr>
            </w:pPr>
            <w:r>
              <w:rPr>
                <w:rFonts w:eastAsia="Times New Roman"/>
                <w:i/>
                <w:color w:val="000000"/>
                <w:lang w:eastAsia="zh-CN"/>
              </w:rPr>
              <w:t>&gt;55 yrs</w:t>
            </w:r>
          </w:p>
        </w:tc>
        <w:tc>
          <w:tcPr>
            <w:tcW w:w="5.0%" w:type="pct"/>
            <w:tcBorders>
              <w:top w:val="single" w:sz="4" w:space="0" w:color="BFBFBF" w:themeColor="background1" w:themeShade="BF"/>
              <w:start w:val="single" w:sz="4" w:space="0" w:color="BFBFBF" w:themeColor="background1" w:themeShade="BF"/>
              <w:bottom w:val="double" w:sz="4" w:space="0" w:color="0D0D0D" w:themeColor="text1" w:themeTint="F2"/>
              <w:end w:val="single" w:sz="4" w:space="0" w:color="BFBFBF" w:themeColor="background1" w:themeShade="BF"/>
            </w:tcBorders>
            <w:shd w:val="clear" w:color="auto" w:fill="auto"/>
            <w:vAlign w:val="center"/>
          </w:tcPr>
          <w:p w14:paraId="56884887" w14:textId="5DF155B6" w:rsidR="00570452" w:rsidRPr="00570452" w:rsidRDefault="007E29B4" w:rsidP="00E61426">
            <w:pPr>
              <w:rPr>
                <w:rFonts w:eastAsia="Times New Roman"/>
                <w:i/>
                <w:color w:val="000000"/>
                <w:lang w:eastAsia="zh-CN"/>
              </w:rPr>
            </w:pPr>
            <w:r>
              <w:rPr>
                <w:rFonts w:eastAsia="Times New Roman"/>
                <w:i/>
                <w:color w:val="000000"/>
                <w:lang w:eastAsia="zh-CN"/>
              </w:rPr>
              <w:t>College and above</w:t>
            </w:r>
          </w:p>
        </w:tc>
        <w:tc>
          <w:tcPr>
            <w:tcW w:w="7.0%" w:type="pct"/>
            <w:tcBorders>
              <w:top w:val="single" w:sz="4" w:space="0" w:color="BFBFBF" w:themeColor="background1" w:themeShade="BF"/>
              <w:start w:val="single" w:sz="4" w:space="0" w:color="BFBFBF" w:themeColor="background1" w:themeShade="BF"/>
              <w:bottom w:val="double" w:sz="4" w:space="0" w:color="0D0D0D" w:themeColor="text1" w:themeTint="F2"/>
              <w:end w:val="double" w:sz="4" w:space="0" w:color="auto"/>
            </w:tcBorders>
            <w:shd w:val="clear" w:color="auto" w:fill="auto"/>
            <w:vAlign w:val="center"/>
          </w:tcPr>
          <w:p w14:paraId="4E98B679" w14:textId="77777777" w:rsidR="007E29B4" w:rsidRDefault="007E29B4" w:rsidP="00E61426">
            <w:pPr>
              <w:rPr>
                <w:rFonts w:eastAsia="Times New Roman"/>
                <w:i/>
                <w:color w:val="000000"/>
                <w:lang w:eastAsia="zh-CN"/>
              </w:rPr>
            </w:pPr>
            <w:r>
              <w:rPr>
                <w:rFonts w:eastAsia="Times New Roman"/>
                <w:i/>
                <w:color w:val="000000"/>
                <w:lang w:eastAsia="zh-CN"/>
              </w:rPr>
              <w:t>Income &gt;</w:t>
            </w:r>
          </w:p>
          <w:p w14:paraId="26DA6A30" w14:textId="30E4A4F2" w:rsidR="00570452" w:rsidRPr="007E29B4" w:rsidRDefault="007E29B4" w:rsidP="00E61426">
            <w:pPr>
              <w:rPr>
                <w:rFonts w:eastAsia="Times New Roman"/>
                <w:i/>
                <w:color w:val="000000"/>
                <w:lang w:eastAsia="zh-CN"/>
              </w:rPr>
            </w:pPr>
            <w:r>
              <w:rPr>
                <w:rFonts w:eastAsia="Times New Roman"/>
                <w:i/>
                <w:color w:val="000000"/>
                <w:lang w:eastAsia="zh-CN"/>
              </w:rPr>
              <w:t>€40,000</w:t>
            </w:r>
          </w:p>
        </w:tc>
        <w:tc>
          <w:tcPr>
            <w:tcW w:w="6.0%" w:type="pct"/>
            <w:tcBorders>
              <w:top w:val="single" w:sz="4" w:space="0" w:color="BFBFBF" w:themeColor="background1" w:themeShade="BF"/>
              <w:start w:val="double" w:sz="4" w:space="0" w:color="auto"/>
              <w:bottom w:val="double" w:sz="4" w:space="0" w:color="auto"/>
              <w:end w:val="single" w:sz="4" w:space="0" w:color="BFBFBF" w:themeColor="background1" w:themeShade="BF"/>
            </w:tcBorders>
            <w:shd w:val="clear" w:color="auto" w:fill="auto"/>
            <w:vAlign w:val="center"/>
          </w:tcPr>
          <w:p w14:paraId="24287574" w14:textId="5C02F411" w:rsidR="00570452" w:rsidRPr="00570452" w:rsidRDefault="00570452" w:rsidP="00E61426">
            <w:pPr>
              <w:rPr>
                <w:rFonts w:eastAsia="Times New Roman"/>
                <w:i/>
                <w:color w:val="000000"/>
                <w:lang w:eastAsia="zh-CN"/>
              </w:rPr>
            </w:pPr>
            <w:r w:rsidRPr="00570452">
              <w:rPr>
                <w:rFonts w:eastAsia="Times New Roman"/>
                <w:i/>
                <w:color w:val="000000"/>
                <w:lang w:eastAsia="zh-CN"/>
              </w:rPr>
              <w:t>Distance to CBD</w:t>
            </w:r>
            <w:r w:rsidR="007E29B4">
              <w:rPr>
                <w:rFonts w:eastAsia="Times New Roman"/>
                <w:i/>
                <w:color w:val="000000"/>
                <w:lang w:eastAsia="zh-CN"/>
              </w:rPr>
              <w:t xml:space="preserve"> (km)</w:t>
            </w:r>
          </w:p>
        </w:tc>
        <w:tc>
          <w:tcPr>
            <w:tcW w:w="6.0%" w:type="pct"/>
            <w:tcBorders>
              <w:top w:val="single" w:sz="4" w:space="0" w:color="BFBFBF" w:themeColor="background1" w:themeShade="BF"/>
              <w:start w:val="single" w:sz="4" w:space="0" w:color="BFBFBF" w:themeColor="background1" w:themeShade="BF"/>
              <w:bottom w:val="double" w:sz="4" w:space="0" w:color="auto"/>
              <w:end w:val="single" w:sz="4" w:space="0" w:color="BFBFBF" w:themeColor="background1" w:themeShade="BF"/>
            </w:tcBorders>
            <w:shd w:val="clear" w:color="auto" w:fill="auto"/>
            <w:vAlign w:val="center"/>
          </w:tcPr>
          <w:p w14:paraId="4CCD00A2" w14:textId="77777777" w:rsidR="00E075F7" w:rsidRDefault="00570452" w:rsidP="00E61426">
            <w:pPr>
              <w:rPr>
                <w:rFonts w:eastAsia="Times New Roman"/>
                <w:i/>
                <w:color w:val="000000"/>
                <w:lang w:eastAsia="zh-CN"/>
              </w:rPr>
            </w:pPr>
            <w:r w:rsidRPr="00570452">
              <w:rPr>
                <w:rFonts w:eastAsia="Times New Roman"/>
                <w:i/>
                <w:color w:val="000000"/>
                <w:lang w:eastAsia="zh-CN"/>
              </w:rPr>
              <w:t>Housing costs</w:t>
            </w:r>
            <w:r w:rsidR="007E29B4">
              <w:rPr>
                <w:rFonts w:eastAsia="Times New Roman"/>
                <w:i/>
                <w:color w:val="000000"/>
                <w:lang w:eastAsia="zh-CN"/>
              </w:rPr>
              <w:t xml:space="preserve"> </w:t>
            </w:r>
          </w:p>
          <w:p w14:paraId="3F2E9797" w14:textId="4B81C770" w:rsidR="00570452" w:rsidRPr="00570452" w:rsidRDefault="007E29B4" w:rsidP="00E61426">
            <w:pPr>
              <w:rPr>
                <w:rFonts w:eastAsia="Times New Roman"/>
                <w:i/>
                <w:color w:val="000000"/>
                <w:lang w:eastAsia="zh-CN"/>
              </w:rPr>
            </w:pPr>
            <w:r>
              <w:rPr>
                <w:rFonts w:eastAsia="Times New Roman"/>
                <w:i/>
                <w:color w:val="000000"/>
                <w:lang w:eastAsia="zh-CN"/>
              </w:rPr>
              <w:t>(€)</w:t>
            </w:r>
          </w:p>
        </w:tc>
        <w:tc>
          <w:tcPr>
            <w:tcW w:w="6.0%" w:type="pct"/>
            <w:tcBorders>
              <w:top w:val="single" w:sz="4" w:space="0" w:color="BFBFBF" w:themeColor="background1" w:themeShade="BF"/>
              <w:start w:val="single" w:sz="4" w:space="0" w:color="BFBFBF" w:themeColor="background1" w:themeShade="BF"/>
              <w:bottom w:val="double" w:sz="4" w:space="0" w:color="auto"/>
              <w:end w:val="single" w:sz="4" w:space="0" w:color="BFBFBF" w:themeColor="background1" w:themeShade="BF"/>
            </w:tcBorders>
            <w:shd w:val="clear" w:color="auto" w:fill="auto"/>
            <w:vAlign w:val="center"/>
          </w:tcPr>
          <w:p w14:paraId="6610D581" w14:textId="77777777" w:rsidR="00570452" w:rsidRPr="00570452" w:rsidRDefault="00570452" w:rsidP="00E61426">
            <w:pPr>
              <w:rPr>
                <w:rFonts w:eastAsia="Times New Roman"/>
                <w:i/>
                <w:color w:val="000000"/>
                <w:lang w:eastAsia="zh-CN"/>
              </w:rPr>
            </w:pPr>
            <w:r w:rsidRPr="00570452">
              <w:rPr>
                <w:rFonts w:eastAsia="Times New Roman"/>
                <w:i/>
                <w:color w:val="000000"/>
                <w:lang w:eastAsia="zh-CN"/>
              </w:rPr>
              <w:t>Terraced house</w:t>
            </w:r>
          </w:p>
        </w:tc>
        <w:tc>
          <w:tcPr>
            <w:tcW w:w="6.0%" w:type="pct"/>
            <w:tcBorders>
              <w:top w:val="single" w:sz="4" w:space="0" w:color="BFBFBF" w:themeColor="background1" w:themeShade="BF"/>
              <w:start w:val="single" w:sz="4" w:space="0" w:color="BFBFBF" w:themeColor="background1" w:themeShade="BF"/>
              <w:bottom w:val="double" w:sz="4" w:space="0" w:color="auto"/>
              <w:end w:val="single" w:sz="4" w:space="0" w:color="BFBFBF" w:themeColor="background1" w:themeShade="BF"/>
            </w:tcBorders>
            <w:shd w:val="clear" w:color="auto" w:fill="auto"/>
            <w:vAlign w:val="center"/>
          </w:tcPr>
          <w:p w14:paraId="2EDBAF79" w14:textId="35DC45AB" w:rsidR="00570452" w:rsidRPr="00570452" w:rsidRDefault="00570452" w:rsidP="00E61426">
            <w:pPr>
              <w:rPr>
                <w:rFonts w:eastAsia="Times New Roman"/>
                <w:i/>
                <w:color w:val="000000"/>
                <w:lang w:eastAsia="zh-CN"/>
              </w:rPr>
            </w:pPr>
            <w:r w:rsidRPr="00570452">
              <w:rPr>
                <w:rFonts w:eastAsia="Times New Roman"/>
                <w:i/>
                <w:color w:val="000000"/>
                <w:lang w:eastAsia="zh-CN"/>
              </w:rPr>
              <w:t>Detached house</w:t>
            </w:r>
          </w:p>
        </w:tc>
        <w:tc>
          <w:tcPr>
            <w:tcW w:w="5.0%" w:type="pct"/>
            <w:tcBorders>
              <w:top w:val="single" w:sz="4" w:space="0" w:color="BFBFBF" w:themeColor="background1" w:themeShade="BF"/>
              <w:start w:val="single" w:sz="4" w:space="0" w:color="BFBFBF" w:themeColor="background1" w:themeShade="BF"/>
              <w:bottom w:val="double" w:sz="4" w:space="0" w:color="auto"/>
              <w:end w:val="single" w:sz="4" w:space="0" w:color="BFBFBF" w:themeColor="background1" w:themeShade="BF"/>
            </w:tcBorders>
            <w:shd w:val="clear" w:color="auto" w:fill="auto"/>
            <w:vAlign w:val="center"/>
          </w:tcPr>
          <w:p w14:paraId="3CE7873B" w14:textId="58E0292A" w:rsidR="00570452" w:rsidRPr="00570452" w:rsidRDefault="00570452" w:rsidP="00E61426">
            <w:pPr>
              <w:rPr>
                <w:rFonts w:eastAsia="Times New Roman"/>
                <w:i/>
                <w:color w:val="000000"/>
                <w:lang w:eastAsia="zh-CN"/>
              </w:rPr>
            </w:pPr>
            <w:r w:rsidRPr="00570452">
              <w:rPr>
                <w:rFonts w:eastAsia="Times New Roman"/>
                <w:i/>
                <w:color w:val="000000"/>
                <w:lang w:eastAsia="zh-CN"/>
              </w:rPr>
              <w:t>Travel costs</w:t>
            </w:r>
            <w:r w:rsidR="007E29B4">
              <w:rPr>
                <w:rFonts w:eastAsia="Times New Roman"/>
                <w:i/>
                <w:color w:val="000000"/>
                <w:lang w:eastAsia="zh-CN"/>
              </w:rPr>
              <w:t xml:space="preserve"> (€)</w:t>
            </w:r>
          </w:p>
        </w:tc>
        <w:tc>
          <w:tcPr>
            <w:tcW w:w="7.0%" w:type="pct"/>
            <w:tcBorders>
              <w:top w:val="single" w:sz="4" w:space="0" w:color="BFBFBF" w:themeColor="background1" w:themeShade="BF"/>
              <w:start w:val="single" w:sz="4" w:space="0" w:color="BFBFBF" w:themeColor="background1" w:themeShade="BF"/>
              <w:bottom w:val="double" w:sz="4" w:space="0" w:color="auto"/>
              <w:end w:val="double" w:sz="4" w:space="0" w:color="auto"/>
            </w:tcBorders>
            <w:shd w:val="clear" w:color="auto" w:fill="auto"/>
            <w:vAlign w:val="center"/>
          </w:tcPr>
          <w:p w14:paraId="193BA6D9" w14:textId="24C5084D" w:rsidR="00570452" w:rsidRPr="00570452" w:rsidRDefault="00570452" w:rsidP="00E61426">
            <w:pPr>
              <w:rPr>
                <w:rFonts w:eastAsia="Times New Roman"/>
                <w:i/>
                <w:color w:val="000000"/>
                <w:lang w:eastAsia="zh-CN"/>
              </w:rPr>
            </w:pPr>
            <w:r w:rsidRPr="00570452">
              <w:rPr>
                <w:rFonts w:eastAsia="Times New Roman"/>
                <w:i/>
                <w:color w:val="000000"/>
                <w:lang w:eastAsia="zh-CN"/>
              </w:rPr>
              <w:t>Travel time</w:t>
            </w:r>
            <w:r w:rsidR="007E29B4">
              <w:rPr>
                <w:rFonts w:eastAsia="Times New Roman"/>
                <w:i/>
                <w:color w:val="000000"/>
                <w:lang w:eastAsia="zh-CN"/>
              </w:rPr>
              <w:t xml:space="preserve"> (Minutes)</w:t>
            </w:r>
          </w:p>
        </w:tc>
        <w:tc>
          <w:tcPr>
            <w:tcW w:w="7.0%" w:type="pct"/>
            <w:tcBorders>
              <w:top w:val="single" w:sz="4" w:space="0" w:color="BFBFBF" w:themeColor="background1" w:themeShade="BF"/>
              <w:start w:val="double" w:sz="4" w:space="0" w:color="auto"/>
              <w:bottom w:val="double" w:sz="4" w:space="0" w:color="auto"/>
              <w:end w:val="double" w:sz="4" w:space="0" w:color="auto"/>
            </w:tcBorders>
            <w:shd w:val="clear" w:color="auto" w:fill="auto"/>
            <w:vAlign w:val="center"/>
          </w:tcPr>
          <w:p w14:paraId="76A132AD" w14:textId="25861F66" w:rsidR="00881B5B" w:rsidRDefault="00570452" w:rsidP="00881B5B">
            <w:pPr>
              <w:rPr>
                <w:rFonts w:eastAsia="Times New Roman"/>
                <w:i/>
                <w:color w:val="000000"/>
                <w:lang w:eastAsia="zh-CN"/>
              </w:rPr>
            </w:pPr>
            <w:r w:rsidRPr="00570452">
              <w:rPr>
                <w:rFonts w:eastAsia="Times New Roman"/>
                <w:i/>
                <w:color w:val="000000"/>
                <w:lang w:eastAsia="zh-CN"/>
              </w:rPr>
              <w:t>Travel time</w:t>
            </w:r>
            <w:r w:rsidR="00881B5B">
              <w:rPr>
                <w:rFonts w:eastAsia="Times New Roman"/>
                <w:i/>
                <w:color w:val="000000"/>
                <w:lang w:eastAsia="zh-CN"/>
              </w:rPr>
              <w:t xml:space="preserve"> (Minutes)</w:t>
            </w:r>
            <w:r w:rsidRPr="00570452">
              <w:rPr>
                <w:rFonts w:eastAsia="Times New Roman"/>
                <w:i/>
                <w:color w:val="000000"/>
                <w:lang w:eastAsia="zh-CN"/>
              </w:rPr>
              <w:t xml:space="preserve"> </w:t>
            </w:r>
            <m:oMath>
              <m:r>
                <w:rPr>
                  <w:rFonts w:ascii="Cambria Math" w:eastAsia="Times New Roman" w:hAnsi="Cambria Math"/>
                  <w:color w:val="000000"/>
                  <w:lang w:eastAsia="zh-CN"/>
                </w:rPr>
                <m:t>×</m:t>
              </m:r>
            </m:oMath>
            <w:r w:rsidRPr="00570452">
              <w:rPr>
                <w:rFonts w:eastAsia="Times New Roman"/>
                <w:i/>
                <w:color w:val="000000"/>
                <w:lang w:eastAsia="zh-CN"/>
              </w:rPr>
              <w:t xml:space="preserve"> </w:t>
            </w:r>
            <w:r w:rsidR="00881B5B">
              <w:rPr>
                <w:rFonts w:eastAsia="Times New Roman"/>
                <w:i/>
                <w:color w:val="000000"/>
                <w:lang w:eastAsia="zh-CN"/>
              </w:rPr>
              <w:t xml:space="preserve"> Income &gt;</w:t>
            </w:r>
          </w:p>
          <w:p w14:paraId="59210E9B" w14:textId="21221CAC" w:rsidR="00570452" w:rsidRDefault="00881B5B" w:rsidP="00881B5B">
            <w:pPr>
              <w:rPr>
                <w:rFonts w:eastAsia="Times New Roman"/>
                <w:i/>
                <w:color w:val="000000"/>
                <w:lang w:eastAsia="zh-CN"/>
              </w:rPr>
            </w:pPr>
            <w:r>
              <w:rPr>
                <w:rFonts w:eastAsia="Times New Roman"/>
                <w:i/>
                <w:color w:val="000000"/>
                <w:lang w:eastAsia="zh-CN"/>
              </w:rPr>
              <w:t>€40,000</w:t>
            </w:r>
          </w:p>
          <w:p w14:paraId="207C8017" w14:textId="47200438" w:rsidR="00881B5B" w:rsidRPr="00570452" w:rsidRDefault="00881B5B" w:rsidP="00E61426">
            <w:pPr>
              <w:rPr>
                <w:rFonts w:eastAsia="Times New Roman"/>
                <w:i/>
                <w:color w:val="000000"/>
                <w:lang w:eastAsia="zh-CN"/>
              </w:rPr>
            </w:pPr>
          </w:p>
        </w:tc>
      </w:tr>
      <w:tr w:rsidR="007E29B4" w:rsidRPr="00BC43A5" w14:paraId="18070C54" w14:textId="77777777" w:rsidTr="00A92DA0">
        <w:trPr>
          <w:cantSplit/>
          <w:trHeight w:hRule="exact" w:val="760"/>
        </w:trPr>
        <w:tc>
          <w:tcPr>
            <w:tcW w:w="3.0%" w:type="pct"/>
            <w:vMerge w:val="restart"/>
            <w:tcBorders>
              <w:top w:val="double" w:sz="4" w:space="0" w:color="0D0D0D" w:themeColor="text1" w:themeTint="F2"/>
              <w:start w:val="double" w:sz="4" w:space="0" w:color="0D0D0D" w:themeColor="text1" w:themeTint="F2"/>
            </w:tcBorders>
            <w:shd w:val="clear" w:color="auto" w:fill="auto"/>
            <w:textDirection w:val="lr"/>
            <w:vAlign w:val="center"/>
            <w:hideMark/>
          </w:tcPr>
          <w:p w14:paraId="45DEFEFA" w14:textId="77777777" w:rsidR="00570452" w:rsidRPr="00570452" w:rsidRDefault="00570452" w:rsidP="00E61426">
            <w:pPr>
              <w:ind w:start="5.65pt" w:end="5.65pt"/>
              <w:rPr>
                <w:rFonts w:eastAsia="Times New Roman"/>
                <w:b/>
                <w:color w:val="000000"/>
                <w:lang w:eastAsia="zh-CN"/>
              </w:rPr>
            </w:pPr>
            <w:r w:rsidRPr="00570452">
              <w:rPr>
                <w:rFonts w:eastAsia="Times New Roman"/>
                <w:b/>
                <w:color w:val="000000"/>
                <w:lang w:eastAsia="zh-CN"/>
              </w:rPr>
              <w:t>Current situation</w:t>
            </w:r>
          </w:p>
        </w:tc>
        <w:tc>
          <w:tcPr>
            <w:tcW w:w="11.0%" w:type="pct"/>
            <w:gridSpan w:val="2"/>
            <w:tcBorders>
              <w:top w:val="double" w:sz="4" w:space="0" w:color="0D0D0D" w:themeColor="text1" w:themeTint="F2"/>
              <w:end w:val="double" w:sz="4" w:space="0" w:color="0D0D0D" w:themeColor="text1" w:themeTint="F2"/>
            </w:tcBorders>
            <w:shd w:val="clear" w:color="auto" w:fill="auto"/>
            <w:vAlign w:val="center"/>
            <w:hideMark/>
          </w:tcPr>
          <w:p w14:paraId="16E89251" w14:textId="77777777" w:rsidR="00570452" w:rsidRPr="00570452" w:rsidRDefault="00570452" w:rsidP="00E61426">
            <w:pPr>
              <w:rPr>
                <w:rFonts w:eastAsia="Times New Roman"/>
                <w:i/>
                <w:color w:val="000000"/>
                <w:lang w:eastAsia="zh-CN"/>
              </w:rPr>
            </w:pPr>
            <w:r w:rsidRPr="00570452">
              <w:rPr>
                <w:rFonts w:eastAsia="Times New Roman"/>
                <w:i/>
                <w:color w:val="000000"/>
                <w:lang w:eastAsia="zh-CN"/>
              </w:rPr>
              <w:t>Car</w:t>
            </w:r>
          </w:p>
        </w:tc>
        <w:tc>
          <w:tcPr>
            <w:tcW w:w="7.0%" w:type="pct"/>
            <w:tcBorders>
              <w:top w:val="double" w:sz="4" w:space="0" w:color="0D0D0D" w:themeColor="text1" w:themeTint="F2"/>
              <w:start w:val="double" w:sz="4" w:space="0" w:color="0D0D0D" w:themeColor="text1" w:themeTint="F2"/>
            </w:tcBorders>
            <w:shd w:val="clear" w:color="auto" w:fill="auto"/>
            <w:vAlign w:val="center"/>
            <w:hideMark/>
          </w:tcPr>
          <w:p w14:paraId="7341EA91" w14:textId="77777777" w:rsidR="00570452" w:rsidRPr="00BC43A5" w:rsidRDefault="00570452" w:rsidP="00E61426">
            <w:pPr>
              <w:rPr>
                <w:rFonts w:eastAsia="Times New Roman"/>
                <w:color w:val="000000"/>
                <w:lang w:eastAsia="zh-CN"/>
              </w:rPr>
            </w:pPr>
            <w:r w:rsidRPr="00BE0C98">
              <w:rPr>
                <w:rFonts w:eastAsia="Times New Roman"/>
                <w:color w:val="000000"/>
                <w:lang w:eastAsia="zh-CN"/>
              </w:rPr>
              <w:t>1.26</w:t>
            </w:r>
          </w:p>
          <w:p w14:paraId="42D09EE8"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(5.2</w:t>
            </w:r>
            <w:r>
              <w:rPr>
                <w:rFonts w:eastAsia="Times New Roman"/>
                <w:color w:val="000000"/>
                <w:lang w:eastAsia="zh-CN"/>
              </w:rPr>
              <w:t>8</w:t>
            </w:r>
            <w:r w:rsidRPr="00BE0C98">
              <w:rPr>
                <w:rFonts w:eastAsia="Times New Roman"/>
                <w:color w:val="000000"/>
                <w:lang w:eastAsia="zh-CN"/>
              </w:rPr>
              <w:t>)</w:t>
            </w:r>
          </w:p>
        </w:tc>
        <w:tc>
          <w:tcPr>
            <w:tcW w:w="7.0%" w:type="pct"/>
            <w:tcBorders>
              <w:top w:val="double" w:sz="4" w:space="0" w:color="0D0D0D" w:themeColor="text1" w:themeTint="F2"/>
              <w:end w:val="double" w:sz="4" w:space="0" w:color="0D0D0D" w:themeColor="text1" w:themeTint="F2"/>
            </w:tcBorders>
            <w:shd w:val="clear" w:color="auto" w:fill="auto"/>
            <w:vAlign w:val="center"/>
            <w:hideMark/>
          </w:tcPr>
          <w:p w14:paraId="586D0937" w14:textId="77777777" w:rsidR="00570452" w:rsidRPr="00BC43A5" w:rsidRDefault="00570452" w:rsidP="00E61426">
            <w:pPr>
              <w:rPr>
                <w:rFonts w:eastAsia="Times New Roman"/>
                <w:color w:val="000000"/>
                <w:lang w:eastAsia="zh-CN"/>
              </w:rPr>
            </w:pPr>
            <w:r w:rsidRPr="00BE0C98">
              <w:rPr>
                <w:rFonts w:eastAsia="Times New Roman"/>
                <w:color w:val="000000"/>
                <w:lang w:eastAsia="zh-CN"/>
              </w:rPr>
              <w:t>1.44</w:t>
            </w:r>
          </w:p>
          <w:p w14:paraId="6A076223"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(2.</w:t>
            </w:r>
            <w:r>
              <w:rPr>
                <w:rFonts w:eastAsia="Times New Roman"/>
                <w:color w:val="000000"/>
                <w:lang w:eastAsia="zh-CN"/>
              </w:rPr>
              <w:t>65</w:t>
            </w:r>
            <w:r w:rsidRPr="00BE0C98">
              <w:rPr>
                <w:rFonts w:eastAsia="Times New Roman"/>
                <w:color w:val="000000"/>
                <w:lang w:eastAsia="zh-CN"/>
              </w:rPr>
              <w:t>)</w:t>
            </w:r>
          </w:p>
        </w:tc>
        <w:tc>
          <w:tcPr>
            <w:tcW w:w="6.0%" w:type="pct"/>
            <w:tcBorders>
              <w:top w:val="double" w:sz="4" w:space="0" w:color="0D0D0D" w:themeColor="text1" w:themeTint="F2"/>
              <w:start w:val="double" w:sz="4" w:space="0" w:color="0D0D0D" w:themeColor="text1" w:themeTint="F2"/>
              <w:bottom w:val="single" w:sz="4" w:space="0" w:color="BFBFBF" w:themeColor="background1" w:themeShade="BF"/>
              <w:end w:val="single" w:sz="4" w:space="0" w:color="BFBFBF" w:themeColor="background1" w:themeShade="BF"/>
            </w:tcBorders>
            <w:shd w:val="clear" w:color="auto" w:fill="auto"/>
            <w:vAlign w:val="center"/>
            <w:hideMark/>
          </w:tcPr>
          <w:p w14:paraId="384CCCC8" w14:textId="77777777" w:rsidR="00570452" w:rsidRPr="00BE0C98" w:rsidRDefault="00570452" w:rsidP="00E61426">
            <w:pPr>
              <w:rPr>
                <w:rFonts w:eastAsia="Times New Roman"/>
                <w:color w:val="000000"/>
                <w:lang w:eastAsia="zh-CN"/>
              </w:rPr>
            </w:pPr>
            <w:r>
              <w:rPr>
                <w:rFonts w:eastAsia="Times New Roman"/>
                <w:color w:val="000000"/>
                <w:lang w:eastAsia="zh-CN"/>
              </w:rPr>
              <w:t>-</w:t>
            </w:r>
          </w:p>
        </w:tc>
        <w:tc>
          <w:tcPr>
            <w:tcW w:w="5.0%" w:type="pct"/>
            <w:tcBorders>
              <w:top w:val="double" w:sz="4" w:space="0" w:color="0D0D0D" w:themeColor="text1" w:themeTint="F2"/>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7558D5FE"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p>
        </w:tc>
        <w:tc>
          <w:tcPr>
            <w:tcW w:w="7.0%" w:type="pct"/>
            <w:tcBorders>
              <w:top w:val="double" w:sz="4" w:space="0" w:color="0D0D0D" w:themeColor="text1" w:themeTint="F2"/>
              <w:start w:val="single" w:sz="4" w:space="0" w:color="BFBFBF" w:themeColor="background1" w:themeShade="BF"/>
              <w:bottom w:val="single" w:sz="4" w:space="0" w:color="BFBFBF" w:themeColor="background1" w:themeShade="BF"/>
              <w:end w:val="double" w:sz="4" w:space="0" w:color="0D0D0D" w:themeColor="text1" w:themeTint="F2"/>
            </w:tcBorders>
            <w:shd w:val="clear" w:color="auto" w:fill="auto"/>
            <w:vAlign w:val="center"/>
            <w:hideMark/>
          </w:tcPr>
          <w:p w14:paraId="6C165A19" w14:textId="77777777" w:rsidR="00570452" w:rsidRPr="00BE0C98" w:rsidRDefault="00570452" w:rsidP="00E61426">
            <w:pPr>
              <w:rPr>
                <w:rFonts w:eastAsia="Times New Roman"/>
                <w:color w:val="000000"/>
                <w:lang w:eastAsia="zh-CN"/>
              </w:rPr>
            </w:pPr>
            <w:r>
              <w:rPr>
                <w:rFonts w:eastAsia="Times New Roman"/>
                <w:color w:val="000000"/>
                <w:lang w:eastAsia="zh-CN"/>
              </w:rPr>
              <w:t>-</w:t>
            </w:r>
          </w:p>
        </w:tc>
        <w:tc>
          <w:tcPr>
            <w:tcW w:w="6.0%" w:type="pct"/>
            <w:tcBorders>
              <w:top w:val="double" w:sz="4" w:space="0" w:color="0D0D0D" w:themeColor="text1" w:themeTint="F2"/>
              <w:start w:val="double" w:sz="4" w:space="0" w:color="0D0D0D" w:themeColor="text1" w:themeTint="F2"/>
              <w:bottom w:val="single" w:sz="4" w:space="0" w:color="BFBFBF" w:themeColor="background1" w:themeShade="BF"/>
              <w:end w:val="single" w:sz="4" w:space="0" w:color="BFBFBF" w:themeColor="background1" w:themeShade="BF"/>
            </w:tcBorders>
            <w:shd w:val="clear" w:color="auto" w:fill="auto"/>
            <w:vAlign w:val="center"/>
            <w:hideMark/>
          </w:tcPr>
          <w:p w14:paraId="308B4F6B"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p>
        </w:tc>
        <w:tc>
          <w:tcPr>
            <w:tcW w:w="6.0%" w:type="pct"/>
            <w:tcBorders>
              <w:top w:val="double" w:sz="4" w:space="0" w:color="0D0D0D" w:themeColor="text1" w:themeTint="F2"/>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6B7289B8" w14:textId="77777777" w:rsidR="00570452" w:rsidRPr="00BE0C98" w:rsidRDefault="00570452" w:rsidP="00E61426">
            <w:pPr>
              <w:rPr>
                <w:rFonts w:eastAsia="Times New Roman"/>
                <w:color w:val="000000"/>
                <w:lang w:eastAsia="zh-CN"/>
              </w:rPr>
            </w:pPr>
            <w:r>
              <w:rPr>
                <w:rFonts w:eastAsia="Times New Roman"/>
                <w:color w:val="000000"/>
                <w:lang w:eastAsia="zh-CN"/>
              </w:rPr>
              <w:t>-</w:t>
            </w:r>
          </w:p>
        </w:tc>
        <w:tc>
          <w:tcPr>
            <w:tcW w:w="6.0%" w:type="pct"/>
            <w:tcBorders>
              <w:top w:val="double" w:sz="4" w:space="0" w:color="0D0D0D" w:themeColor="text1" w:themeTint="F2"/>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241A4D7C" w14:textId="77777777" w:rsidR="00570452" w:rsidRPr="00BE0C98" w:rsidRDefault="00570452" w:rsidP="00E61426">
            <w:pPr>
              <w:rPr>
                <w:rFonts w:eastAsia="Times New Roman"/>
                <w:color w:val="000000"/>
                <w:lang w:eastAsia="zh-CN"/>
              </w:rPr>
            </w:pPr>
            <w:r>
              <w:rPr>
                <w:rFonts w:eastAsia="Times New Roman"/>
                <w:color w:val="000000"/>
                <w:lang w:eastAsia="zh-CN"/>
              </w:rPr>
              <w:t>--</w:t>
            </w:r>
          </w:p>
        </w:tc>
        <w:tc>
          <w:tcPr>
            <w:tcW w:w="6.0%" w:type="pct"/>
            <w:tcBorders>
              <w:top w:val="double" w:sz="4" w:space="0" w:color="0D0D0D" w:themeColor="text1" w:themeTint="F2"/>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201B486B" w14:textId="77777777" w:rsidR="00570452" w:rsidRPr="00BE0C98" w:rsidRDefault="00570452" w:rsidP="00E61426">
            <w:pPr>
              <w:rPr>
                <w:rFonts w:eastAsia="Times New Roman"/>
                <w:color w:val="000000"/>
                <w:lang w:eastAsia="zh-CN"/>
              </w:rPr>
            </w:pPr>
            <w:r>
              <w:rPr>
                <w:rFonts w:eastAsia="Times New Roman"/>
                <w:color w:val="000000"/>
                <w:lang w:eastAsia="zh-CN"/>
              </w:rPr>
              <w:t>-</w:t>
            </w:r>
          </w:p>
        </w:tc>
        <w:tc>
          <w:tcPr>
            <w:tcW w:w="5.0%" w:type="pct"/>
            <w:tcBorders>
              <w:top w:val="double" w:sz="4" w:space="0" w:color="0D0D0D" w:themeColor="text1" w:themeTint="F2"/>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51B5F774" w14:textId="3372C987"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0.39</w:t>
            </w:r>
          </w:p>
          <w:p w14:paraId="4CE2FB06"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-1.68</w:t>
            </w:r>
            <w:r w:rsidRPr="00BE0C98">
              <w:rPr>
                <w:rFonts w:eastAsia="Times New Roman"/>
                <w:color w:val="000000"/>
                <w:lang w:eastAsia="zh-CN"/>
              </w:rPr>
              <w:t>)</w:t>
            </w:r>
          </w:p>
        </w:tc>
        <w:tc>
          <w:tcPr>
            <w:tcW w:w="7.0%" w:type="pct"/>
            <w:tcBorders>
              <w:top w:val="double" w:sz="4" w:space="0" w:color="0D0D0D" w:themeColor="text1" w:themeTint="F2"/>
              <w:start w:val="single" w:sz="4" w:space="0" w:color="BFBFBF" w:themeColor="background1" w:themeShade="BF"/>
              <w:bottom w:val="single" w:sz="4" w:space="0" w:color="BFBFBF" w:themeColor="background1" w:themeShade="BF"/>
              <w:end w:val="double" w:sz="4" w:space="0" w:color="0D0D0D" w:themeColor="text1" w:themeTint="F2"/>
            </w:tcBorders>
            <w:shd w:val="clear" w:color="auto" w:fill="auto"/>
            <w:vAlign w:val="center"/>
            <w:hideMark/>
          </w:tcPr>
          <w:p w14:paraId="3AC505DF" w14:textId="13245EA7"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0.1</w:t>
            </w:r>
            <w:r w:rsidR="007B604F">
              <w:rPr>
                <w:rFonts w:eastAsia="Times New Roman"/>
                <w:color w:val="000000"/>
                <w:lang w:eastAsia="zh-CN"/>
              </w:rPr>
              <w:t>1</w:t>
            </w:r>
          </w:p>
          <w:p w14:paraId="337F1D0C"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-3</w:t>
            </w:r>
            <w:r w:rsidRPr="00BE0C98">
              <w:rPr>
                <w:rFonts w:eastAsia="Times New Roman"/>
                <w:color w:val="000000"/>
                <w:lang w:eastAsia="zh-CN"/>
              </w:rPr>
              <w:t>.</w:t>
            </w:r>
            <w:r>
              <w:rPr>
                <w:rFonts w:eastAsia="Times New Roman"/>
                <w:color w:val="000000"/>
                <w:lang w:eastAsia="zh-CN"/>
              </w:rPr>
              <w:t>11</w:t>
            </w:r>
            <w:r w:rsidRPr="00BE0C98">
              <w:rPr>
                <w:rFonts w:eastAsia="Times New Roman"/>
                <w:color w:val="000000"/>
                <w:lang w:eastAsia="zh-CN"/>
              </w:rPr>
              <w:t>)</w:t>
            </w:r>
          </w:p>
        </w:tc>
        <w:tc>
          <w:tcPr>
            <w:tcW w:w="7.0%" w:type="pct"/>
            <w:tcBorders>
              <w:top w:val="double" w:sz="4" w:space="0" w:color="0D0D0D" w:themeColor="text1" w:themeTint="F2"/>
              <w:start w:val="double" w:sz="4" w:space="0" w:color="0D0D0D" w:themeColor="text1" w:themeTint="F2"/>
              <w:end w:val="double" w:sz="4" w:space="0" w:color="0D0D0D" w:themeColor="text1" w:themeTint="F2"/>
            </w:tcBorders>
            <w:shd w:val="clear" w:color="auto" w:fill="auto"/>
            <w:vAlign w:val="center"/>
            <w:hideMark/>
          </w:tcPr>
          <w:p w14:paraId="2E8A1174" w14:textId="1089394A"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0.39</w:t>
            </w:r>
          </w:p>
          <w:p w14:paraId="01CC5C8C"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w:t>
            </w:r>
            <w:r w:rsidRPr="00BE0C98">
              <w:rPr>
                <w:rFonts w:eastAsia="Times New Roman"/>
                <w:color w:val="000000"/>
                <w:lang w:eastAsia="zh-CN"/>
              </w:rPr>
              <w:t>2.5</w:t>
            </w:r>
            <w:r>
              <w:rPr>
                <w:rFonts w:eastAsia="Times New Roman"/>
                <w:color w:val="000000"/>
                <w:lang w:eastAsia="zh-CN"/>
              </w:rPr>
              <w:t>8</w:t>
            </w:r>
            <w:r w:rsidRPr="00BE0C98">
              <w:rPr>
                <w:rFonts w:eastAsia="Times New Roman"/>
                <w:color w:val="000000"/>
                <w:lang w:eastAsia="zh-CN"/>
              </w:rPr>
              <w:t>)</w:t>
            </w:r>
          </w:p>
        </w:tc>
      </w:tr>
      <w:tr w:rsidR="007E29B4" w:rsidRPr="00BC43A5" w14:paraId="0C2DDBEA" w14:textId="77777777" w:rsidTr="00A92DA0">
        <w:trPr>
          <w:cantSplit/>
          <w:trHeight w:hRule="exact" w:val="760"/>
        </w:trPr>
        <w:tc>
          <w:tcPr>
            <w:tcW w:w="3.0%" w:type="pct"/>
            <w:vMerge/>
            <w:tcBorders>
              <w:start w:val="double" w:sz="4" w:space="0" w:color="0D0D0D" w:themeColor="text1" w:themeTint="F2"/>
            </w:tcBorders>
            <w:textDirection w:val="lr"/>
            <w:vAlign w:val="center"/>
            <w:hideMark/>
          </w:tcPr>
          <w:p w14:paraId="61709F19" w14:textId="77777777" w:rsidR="00570452" w:rsidRPr="00570452" w:rsidRDefault="00570452" w:rsidP="00E61426">
            <w:pPr>
              <w:ind w:start="5.65pt" w:end="5.65pt"/>
              <w:rPr>
                <w:rFonts w:eastAsia="Times New Roman"/>
                <w:b/>
                <w:color w:val="000000"/>
                <w:lang w:eastAsia="zh-CN"/>
              </w:rPr>
            </w:pPr>
          </w:p>
        </w:tc>
        <w:tc>
          <w:tcPr>
            <w:tcW w:w="11.0%" w:type="pct"/>
            <w:gridSpan w:val="2"/>
            <w:tcBorders>
              <w:end w:val="double" w:sz="4" w:space="0" w:color="0D0D0D" w:themeColor="text1" w:themeTint="F2"/>
            </w:tcBorders>
            <w:shd w:val="clear" w:color="auto" w:fill="auto"/>
            <w:vAlign w:val="center"/>
            <w:hideMark/>
          </w:tcPr>
          <w:p w14:paraId="389475D9" w14:textId="77777777" w:rsidR="00570452" w:rsidRPr="00570452" w:rsidRDefault="00570452" w:rsidP="00E61426">
            <w:pPr>
              <w:rPr>
                <w:rFonts w:eastAsia="Times New Roman"/>
                <w:i/>
                <w:color w:val="000000"/>
                <w:lang w:eastAsia="zh-CN"/>
              </w:rPr>
            </w:pPr>
            <w:r w:rsidRPr="00570452">
              <w:rPr>
                <w:rFonts w:eastAsia="Times New Roman"/>
                <w:i/>
                <w:color w:val="000000"/>
                <w:lang w:eastAsia="zh-CN"/>
              </w:rPr>
              <w:t>Public Transport</w:t>
            </w:r>
          </w:p>
        </w:tc>
        <w:tc>
          <w:tcPr>
            <w:tcW w:w="7.0%" w:type="pct"/>
            <w:tcBorders>
              <w:start w:val="double" w:sz="4" w:space="0" w:color="0D0D0D" w:themeColor="text1" w:themeTint="F2"/>
            </w:tcBorders>
            <w:shd w:val="clear" w:color="auto" w:fill="auto"/>
            <w:vAlign w:val="center"/>
            <w:hideMark/>
          </w:tcPr>
          <w:p w14:paraId="3279D1A9" w14:textId="77777777" w:rsidR="00570452" w:rsidRPr="00BC43A5" w:rsidRDefault="00570452" w:rsidP="00E61426">
            <w:pPr>
              <w:rPr>
                <w:rFonts w:eastAsia="Times New Roman"/>
                <w:color w:val="000000"/>
                <w:lang w:eastAsia="zh-CN"/>
              </w:rPr>
            </w:pPr>
            <w:r w:rsidRPr="00BE0C98">
              <w:rPr>
                <w:rFonts w:eastAsia="Times New Roman"/>
                <w:color w:val="000000"/>
                <w:lang w:eastAsia="zh-CN"/>
              </w:rPr>
              <w:t>1.26</w:t>
            </w:r>
          </w:p>
          <w:p w14:paraId="066D1358"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(5.2</w:t>
            </w:r>
            <w:r>
              <w:rPr>
                <w:rFonts w:eastAsia="Times New Roman"/>
                <w:color w:val="000000"/>
                <w:lang w:eastAsia="zh-CN"/>
              </w:rPr>
              <w:t>8</w:t>
            </w:r>
            <w:r w:rsidRPr="00BE0C98">
              <w:rPr>
                <w:rFonts w:eastAsia="Times New Roman"/>
                <w:color w:val="000000"/>
                <w:lang w:eastAsia="zh-CN"/>
              </w:rPr>
              <w:t>)</w:t>
            </w:r>
          </w:p>
        </w:tc>
        <w:tc>
          <w:tcPr>
            <w:tcW w:w="7.0%" w:type="pct"/>
            <w:tcBorders>
              <w:end w:val="double" w:sz="4" w:space="0" w:color="0D0D0D" w:themeColor="text1" w:themeTint="F2"/>
            </w:tcBorders>
            <w:shd w:val="clear" w:color="auto" w:fill="auto"/>
            <w:vAlign w:val="center"/>
            <w:hideMark/>
          </w:tcPr>
          <w:p w14:paraId="218BCD5E" w14:textId="77777777" w:rsidR="00570452" w:rsidRPr="00BC43A5" w:rsidRDefault="00570452" w:rsidP="00E61426">
            <w:pPr>
              <w:rPr>
                <w:rFonts w:eastAsia="Times New Roman"/>
                <w:color w:val="000000"/>
                <w:lang w:eastAsia="zh-CN"/>
              </w:rPr>
            </w:pPr>
            <w:r w:rsidRPr="00BE0C98">
              <w:rPr>
                <w:rFonts w:eastAsia="Times New Roman"/>
                <w:color w:val="000000"/>
                <w:lang w:eastAsia="zh-CN"/>
              </w:rPr>
              <w:t>1.92</w:t>
            </w:r>
          </w:p>
          <w:p w14:paraId="0B52640C"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(3.</w:t>
            </w:r>
            <w:r>
              <w:rPr>
                <w:rFonts w:eastAsia="Times New Roman"/>
                <w:color w:val="000000"/>
                <w:lang w:eastAsia="zh-CN"/>
              </w:rPr>
              <w:t>21</w:t>
            </w:r>
            <w:r w:rsidRPr="00BE0C98">
              <w:rPr>
                <w:rFonts w:eastAsia="Times New Roman"/>
                <w:color w:val="000000"/>
                <w:lang w:eastAsia="zh-CN"/>
              </w:rPr>
              <w:t>)</w:t>
            </w:r>
          </w:p>
        </w:tc>
        <w:tc>
          <w:tcPr>
            <w:tcW w:w="6.0%" w:type="pct"/>
            <w:tcBorders>
              <w:top w:val="single" w:sz="4" w:space="0" w:color="BFBFBF" w:themeColor="background1" w:themeShade="BF"/>
              <w:start w:val="double" w:sz="4" w:space="0" w:color="0D0D0D" w:themeColor="text1" w:themeTint="F2"/>
              <w:bottom w:val="single" w:sz="4" w:space="0" w:color="BFBFBF" w:themeColor="background1" w:themeShade="BF"/>
              <w:end w:val="single" w:sz="4" w:space="0" w:color="BFBFBF" w:themeColor="background1" w:themeShade="BF"/>
            </w:tcBorders>
            <w:shd w:val="clear" w:color="auto" w:fill="auto"/>
            <w:vAlign w:val="center"/>
            <w:hideMark/>
          </w:tcPr>
          <w:p w14:paraId="72D4CC1D" w14:textId="6D83F645"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0.7</w:t>
            </w:r>
            <w:r w:rsidR="007B604F">
              <w:rPr>
                <w:rFonts w:eastAsia="Times New Roman"/>
                <w:color w:val="000000"/>
                <w:lang w:eastAsia="zh-CN"/>
              </w:rPr>
              <w:t>8</w:t>
            </w:r>
          </w:p>
          <w:p w14:paraId="68A777BC"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-1.89)</w:t>
            </w:r>
          </w:p>
        </w:tc>
        <w:tc>
          <w:tcPr>
            <w:tcW w:w="5.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7BA9433B" w14:textId="3831662D"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0.79</w:t>
            </w:r>
          </w:p>
          <w:p w14:paraId="278529C4"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w:t>
            </w:r>
            <w:r w:rsidRPr="00BE0C98">
              <w:rPr>
                <w:rFonts w:eastAsia="Times New Roman"/>
                <w:color w:val="000000"/>
                <w:lang w:eastAsia="zh-CN"/>
              </w:rPr>
              <w:t>2</w:t>
            </w:r>
            <w:r>
              <w:rPr>
                <w:rFonts w:eastAsia="Times New Roman"/>
                <w:color w:val="000000"/>
                <w:lang w:eastAsia="zh-CN"/>
              </w:rPr>
              <w:t>.18</w:t>
            </w:r>
            <w:r w:rsidRPr="00BE0C98">
              <w:rPr>
                <w:rFonts w:eastAsia="Times New Roman"/>
                <w:color w:val="000000"/>
                <w:lang w:eastAsia="zh-CN"/>
              </w:rPr>
              <w:t>)</w:t>
            </w:r>
          </w:p>
        </w:tc>
        <w:tc>
          <w:tcPr>
            <w:tcW w:w="7.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0D0D0D" w:themeColor="text1" w:themeTint="F2"/>
            </w:tcBorders>
            <w:shd w:val="clear" w:color="auto" w:fill="auto"/>
            <w:vAlign w:val="center"/>
            <w:hideMark/>
          </w:tcPr>
          <w:p w14:paraId="3AA01D72" w14:textId="77777777" w:rsidR="00570452" w:rsidRPr="00BC43A5" w:rsidRDefault="00570452" w:rsidP="00E61426">
            <w:pPr>
              <w:rPr>
                <w:rFonts w:eastAsia="Times New Roman"/>
                <w:color w:val="000000"/>
                <w:lang w:eastAsia="zh-CN"/>
              </w:rPr>
            </w:pPr>
            <w:r w:rsidRPr="00BE0C98">
              <w:rPr>
                <w:rFonts w:eastAsia="Times New Roman"/>
                <w:color w:val="000000"/>
                <w:lang w:eastAsia="zh-CN"/>
              </w:rPr>
              <w:t>1.78</w:t>
            </w:r>
          </w:p>
          <w:p w14:paraId="2B965EB4"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(2.</w:t>
            </w:r>
            <w:r>
              <w:rPr>
                <w:rFonts w:eastAsia="Times New Roman"/>
                <w:color w:val="000000"/>
                <w:lang w:eastAsia="zh-CN"/>
              </w:rPr>
              <w:t>67</w:t>
            </w:r>
            <w:r w:rsidRPr="00BE0C98">
              <w:rPr>
                <w:rFonts w:eastAsia="Times New Roman"/>
                <w:color w:val="000000"/>
                <w:lang w:eastAsia="zh-CN"/>
              </w:rPr>
              <w:t>)</w:t>
            </w:r>
          </w:p>
        </w:tc>
        <w:tc>
          <w:tcPr>
            <w:tcW w:w="6.0%" w:type="pct"/>
            <w:tcBorders>
              <w:top w:val="single" w:sz="4" w:space="0" w:color="BFBFBF" w:themeColor="background1" w:themeShade="BF"/>
              <w:start w:val="double" w:sz="4" w:space="0" w:color="0D0D0D" w:themeColor="text1" w:themeTint="F2"/>
              <w:bottom w:val="single" w:sz="4" w:space="0" w:color="BFBFBF" w:themeColor="background1" w:themeShade="BF"/>
              <w:end w:val="single" w:sz="4" w:space="0" w:color="BFBFBF" w:themeColor="background1" w:themeShade="BF"/>
            </w:tcBorders>
            <w:shd w:val="clear" w:color="auto" w:fill="auto"/>
            <w:vAlign w:val="center"/>
            <w:hideMark/>
          </w:tcPr>
          <w:p w14:paraId="42BBF363"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p>
        </w:tc>
        <w:tc>
          <w:tcPr>
            <w:tcW w:w="6.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3F74E831" w14:textId="0901E98F"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0.1</w:t>
            </w:r>
            <w:r w:rsidR="007B604F">
              <w:rPr>
                <w:rFonts w:eastAsia="Times New Roman"/>
                <w:color w:val="000000"/>
                <w:lang w:eastAsia="zh-CN"/>
              </w:rPr>
              <w:t>7</w:t>
            </w:r>
          </w:p>
          <w:p w14:paraId="02FC87BB"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w:t>
            </w:r>
            <w:r w:rsidRPr="00BE0C98">
              <w:rPr>
                <w:rFonts w:eastAsia="Times New Roman"/>
                <w:color w:val="000000"/>
                <w:lang w:eastAsia="zh-CN"/>
              </w:rPr>
              <w:t>3.</w:t>
            </w:r>
            <w:r>
              <w:rPr>
                <w:rFonts w:eastAsia="Times New Roman"/>
                <w:color w:val="000000"/>
                <w:lang w:eastAsia="zh-CN"/>
              </w:rPr>
              <w:t>77</w:t>
            </w:r>
            <w:r w:rsidRPr="00BE0C98">
              <w:rPr>
                <w:rFonts w:eastAsia="Times New Roman"/>
                <w:color w:val="000000"/>
                <w:lang w:eastAsia="zh-CN"/>
              </w:rPr>
              <w:t>)</w:t>
            </w:r>
          </w:p>
        </w:tc>
        <w:tc>
          <w:tcPr>
            <w:tcW w:w="6.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2CEFC1F0" w14:textId="52C093ED" w:rsidR="00570452" w:rsidRPr="00BC43A5" w:rsidRDefault="00570452" w:rsidP="00E61426">
            <w:pPr>
              <w:rPr>
                <w:rFonts w:eastAsia="Times New Roman"/>
                <w:color w:val="000000"/>
                <w:lang w:eastAsia="zh-CN"/>
              </w:rPr>
            </w:pPr>
            <w:r w:rsidRPr="00BE0C98">
              <w:rPr>
                <w:rFonts w:eastAsia="Times New Roman"/>
                <w:color w:val="000000"/>
                <w:lang w:eastAsia="zh-CN"/>
              </w:rPr>
              <w:t>0.5</w:t>
            </w:r>
            <w:r w:rsidR="007B604F">
              <w:rPr>
                <w:rFonts w:eastAsia="Times New Roman"/>
                <w:color w:val="000000"/>
                <w:lang w:eastAsia="zh-CN"/>
              </w:rPr>
              <w:t>1</w:t>
            </w:r>
          </w:p>
          <w:p w14:paraId="04EFE617"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(2.</w:t>
            </w:r>
            <w:r>
              <w:rPr>
                <w:rFonts w:eastAsia="Times New Roman"/>
                <w:color w:val="000000"/>
                <w:lang w:eastAsia="zh-CN"/>
              </w:rPr>
              <w:t>38</w:t>
            </w:r>
            <w:r w:rsidRPr="00BE0C98">
              <w:rPr>
                <w:rFonts w:eastAsia="Times New Roman"/>
                <w:color w:val="000000"/>
                <w:lang w:eastAsia="zh-CN"/>
              </w:rPr>
              <w:t>)</w:t>
            </w:r>
          </w:p>
        </w:tc>
        <w:tc>
          <w:tcPr>
            <w:tcW w:w="6.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025AB8EE" w14:textId="40F7BEA5" w:rsidR="00570452" w:rsidRPr="00BC43A5" w:rsidRDefault="00570452" w:rsidP="00E61426">
            <w:pPr>
              <w:rPr>
                <w:rFonts w:eastAsia="Times New Roman"/>
                <w:color w:val="000000"/>
                <w:lang w:eastAsia="zh-CN"/>
              </w:rPr>
            </w:pPr>
            <w:r w:rsidRPr="00BE0C98">
              <w:rPr>
                <w:rFonts w:eastAsia="Times New Roman"/>
                <w:color w:val="000000"/>
                <w:lang w:eastAsia="zh-CN"/>
              </w:rPr>
              <w:t>0.91</w:t>
            </w:r>
          </w:p>
          <w:p w14:paraId="6D753B41"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(3.</w:t>
            </w:r>
            <w:r>
              <w:rPr>
                <w:rFonts w:eastAsia="Times New Roman"/>
                <w:color w:val="000000"/>
                <w:lang w:eastAsia="zh-CN"/>
              </w:rPr>
              <w:t>23</w:t>
            </w:r>
            <w:r w:rsidRPr="00BE0C98">
              <w:rPr>
                <w:rFonts w:eastAsia="Times New Roman"/>
                <w:color w:val="000000"/>
                <w:lang w:eastAsia="zh-CN"/>
              </w:rPr>
              <w:t>)</w:t>
            </w:r>
          </w:p>
        </w:tc>
        <w:tc>
          <w:tcPr>
            <w:tcW w:w="5.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456F20AE" w14:textId="20172853"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0.39</w:t>
            </w:r>
          </w:p>
          <w:p w14:paraId="53458B8D"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-1.68</w:t>
            </w:r>
            <w:r w:rsidRPr="00BE0C98">
              <w:rPr>
                <w:rFonts w:eastAsia="Times New Roman"/>
                <w:color w:val="000000"/>
                <w:lang w:eastAsia="zh-CN"/>
              </w:rPr>
              <w:t>)</w:t>
            </w:r>
          </w:p>
        </w:tc>
        <w:tc>
          <w:tcPr>
            <w:tcW w:w="7.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0D0D0D" w:themeColor="text1" w:themeTint="F2"/>
            </w:tcBorders>
            <w:shd w:val="clear" w:color="auto" w:fill="auto"/>
            <w:vAlign w:val="center"/>
            <w:hideMark/>
          </w:tcPr>
          <w:p w14:paraId="2E077FFC" w14:textId="17BB82A4"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0.1</w:t>
            </w:r>
            <w:r w:rsidR="007B604F">
              <w:rPr>
                <w:rFonts w:eastAsia="Times New Roman"/>
                <w:color w:val="000000"/>
                <w:lang w:eastAsia="zh-CN"/>
              </w:rPr>
              <w:t>1</w:t>
            </w:r>
          </w:p>
          <w:p w14:paraId="70C59F44"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-3</w:t>
            </w:r>
            <w:r w:rsidRPr="00BE0C98">
              <w:rPr>
                <w:rFonts w:eastAsia="Times New Roman"/>
                <w:color w:val="000000"/>
                <w:lang w:eastAsia="zh-CN"/>
              </w:rPr>
              <w:t>.</w:t>
            </w:r>
            <w:r>
              <w:rPr>
                <w:rFonts w:eastAsia="Times New Roman"/>
                <w:color w:val="000000"/>
                <w:lang w:eastAsia="zh-CN"/>
              </w:rPr>
              <w:t>11</w:t>
            </w:r>
            <w:r w:rsidRPr="00BE0C98">
              <w:rPr>
                <w:rFonts w:eastAsia="Times New Roman"/>
                <w:color w:val="000000"/>
                <w:lang w:eastAsia="zh-CN"/>
              </w:rPr>
              <w:t>)</w:t>
            </w:r>
          </w:p>
        </w:tc>
        <w:tc>
          <w:tcPr>
            <w:tcW w:w="7.0%" w:type="pct"/>
            <w:tcBorders>
              <w:start w:val="double" w:sz="4" w:space="0" w:color="0D0D0D" w:themeColor="text1" w:themeTint="F2"/>
              <w:end w:val="double" w:sz="4" w:space="0" w:color="0D0D0D" w:themeColor="text1" w:themeTint="F2"/>
            </w:tcBorders>
            <w:shd w:val="clear" w:color="auto" w:fill="auto"/>
            <w:vAlign w:val="center"/>
            <w:hideMark/>
          </w:tcPr>
          <w:p w14:paraId="687BE0CC" w14:textId="2FD81ACF"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0.39</w:t>
            </w:r>
          </w:p>
          <w:p w14:paraId="736BDDEE"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w:t>
            </w:r>
            <w:r w:rsidRPr="00BE0C98">
              <w:rPr>
                <w:rFonts w:eastAsia="Times New Roman"/>
                <w:color w:val="000000"/>
                <w:lang w:eastAsia="zh-CN"/>
              </w:rPr>
              <w:t>2.5</w:t>
            </w:r>
            <w:r>
              <w:rPr>
                <w:rFonts w:eastAsia="Times New Roman"/>
                <w:color w:val="000000"/>
                <w:lang w:eastAsia="zh-CN"/>
              </w:rPr>
              <w:t>8</w:t>
            </w:r>
            <w:r w:rsidRPr="00BE0C98">
              <w:rPr>
                <w:rFonts w:eastAsia="Times New Roman"/>
                <w:color w:val="000000"/>
                <w:lang w:eastAsia="zh-CN"/>
              </w:rPr>
              <w:t>)</w:t>
            </w:r>
          </w:p>
        </w:tc>
      </w:tr>
      <w:tr w:rsidR="007E29B4" w:rsidRPr="00BC43A5" w14:paraId="6772B9F4" w14:textId="77777777" w:rsidTr="00A92DA0">
        <w:trPr>
          <w:cantSplit/>
          <w:trHeight w:hRule="exact" w:val="760"/>
        </w:trPr>
        <w:tc>
          <w:tcPr>
            <w:tcW w:w="3.0%" w:type="pct"/>
            <w:vMerge/>
            <w:tcBorders>
              <w:start w:val="double" w:sz="4" w:space="0" w:color="0D0D0D" w:themeColor="text1" w:themeTint="F2"/>
            </w:tcBorders>
            <w:textDirection w:val="lr"/>
            <w:vAlign w:val="center"/>
            <w:hideMark/>
          </w:tcPr>
          <w:p w14:paraId="565A5B93" w14:textId="77777777" w:rsidR="00570452" w:rsidRPr="00570452" w:rsidRDefault="00570452" w:rsidP="00E61426">
            <w:pPr>
              <w:ind w:start="5.65pt" w:end="5.65pt"/>
              <w:rPr>
                <w:rFonts w:eastAsia="Times New Roman"/>
                <w:b/>
                <w:color w:val="000000"/>
                <w:lang w:eastAsia="zh-CN"/>
              </w:rPr>
            </w:pPr>
          </w:p>
        </w:tc>
        <w:tc>
          <w:tcPr>
            <w:tcW w:w="11.0%" w:type="pct"/>
            <w:gridSpan w:val="2"/>
            <w:tcBorders>
              <w:end w:val="double" w:sz="4" w:space="0" w:color="0D0D0D" w:themeColor="text1" w:themeTint="F2"/>
            </w:tcBorders>
            <w:shd w:val="clear" w:color="auto" w:fill="auto"/>
            <w:vAlign w:val="center"/>
            <w:hideMark/>
          </w:tcPr>
          <w:p w14:paraId="6377FFC0" w14:textId="77777777" w:rsidR="00570452" w:rsidRPr="00570452" w:rsidRDefault="00570452" w:rsidP="00E61426">
            <w:pPr>
              <w:rPr>
                <w:rFonts w:eastAsia="Times New Roman"/>
                <w:i/>
                <w:color w:val="000000"/>
                <w:lang w:eastAsia="zh-CN"/>
              </w:rPr>
            </w:pPr>
            <w:r w:rsidRPr="00570452">
              <w:rPr>
                <w:rFonts w:eastAsia="Times New Roman"/>
                <w:i/>
                <w:color w:val="000000"/>
                <w:lang w:eastAsia="zh-CN"/>
              </w:rPr>
              <w:t>Bicycle</w:t>
            </w:r>
          </w:p>
        </w:tc>
        <w:tc>
          <w:tcPr>
            <w:tcW w:w="7.0%" w:type="pct"/>
            <w:tcBorders>
              <w:start w:val="double" w:sz="4" w:space="0" w:color="0D0D0D" w:themeColor="text1" w:themeTint="F2"/>
            </w:tcBorders>
            <w:shd w:val="clear" w:color="auto" w:fill="auto"/>
            <w:vAlign w:val="center"/>
            <w:hideMark/>
          </w:tcPr>
          <w:p w14:paraId="0D9B516E" w14:textId="77777777" w:rsidR="00570452" w:rsidRPr="00BC43A5" w:rsidRDefault="00570452" w:rsidP="00E61426">
            <w:pPr>
              <w:rPr>
                <w:rFonts w:eastAsia="Times New Roman"/>
                <w:color w:val="000000"/>
                <w:lang w:eastAsia="zh-CN"/>
              </w:rPr>
            </w:pPr>
            <w:r w:rsidRPr="00BE0C98">
              <w:rPr>
                <w:rFonts w:eastAsia="Times New Roman"/>
                <w:color w:val="000000"/>
                <w:lang w:eastAsia="zh-CN"/>
              </w:rPr>
              <w:t>1.26</w:t>
            </w:r>
          </w:p>
          <w:p w14:paraId="1A8F92EC"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(5.2</w:t>
            </w:r>
            <w:r>
              <w:rPr>
                <w:rFonts w:eastAsia="Times New Roman"/>
                <w:color w:val="000000"/>
                <w:lang w:eastAsia="zh-CN"/>
              </w:rPr>
              <w:t>8</w:t>
            </w:r>
            <w:r w:rsidRPr="00BE0C98">
              <w:rPr>
                <w:rFonts w:eastAsia="Times New Roman"/>
                <w:color w:val="000000"/>
                <w:lang w:eastAsia="zh-CN"/>
              </w:rPr>
              <w:t>)</w:t>
            </w:r>
          </w:p>
        </w:tc>
        <w:tc>
          <w:tcPr>
            <w:tcW w:w="7.0%" w:type="pct"/>
            <w:tcBorders>
              <w:end w:val="double" w:sz="4" w:space="0" w:color="0D0D0D" w:themeColor="text1" w:themeTint="F2"/>
            </w:tcBorders>
            <w:shd w:val="clear" w:color="auto" w:fill="auto"/>
            <w:vAlign w:val="center"/>
            <w:hideMark/>
          </w:tcPr>
          <w:p w14:paraId="110436C9"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p>
        </w:tc>
        <w:tc>
          <w:tcPr>
            <w:tcW w:w="6.0%" w:type="pct"/>
            <w:tcBorders>
              <w:top w:val="single" w:sz="4" w:space="0" w:color="BFBFBF" w:themeColor="background1" w:themeShade="BF"/>
              <w:start w:val="double" w:sz="4" w:space="0" w:color="0D0D0D" w:themeColor="text1" w:themeTint="F2"/>
              <w:bottom w:val="single" w:sz="4" w:space="0" w:color="BFBFBF" w:themeColor="background1" w:themeShade="BF"/>
              <w:end w:val="single" w:sz="4" w:space="0" w:color="BFBFBF" w:themeColor="background1" w:themeShade="BF"/>
            </w:tcBorders>
            <w:shd w:val="clear" w:color="auto" w:fill="auto"/>
            <w:vAlign w:val="center"/>
            <w:hideMark/>
          </w:tcPr>
          <w:p w14:paraId="69B688B2" w14:textId="5B9426F9"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0.7</w:t>
            </w:r>
            <w:r w:rsidR="007B604F">
              <w:rPr>
                <w:rFonts w:eastAsia="Times New Roman"/>
                <w:color w:val="000000"/>
                <w:lang w:eastAsia="zh-CN"/>
              </w:rPr>
              <w:t>8</w:t>
            </w:r>
          </w:p>
          <w:p w14:paraId="1AA7000A"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-1.89)</w:t>
            </w:r>
          </w:p>
        </w:tc>
        <w:tc>
          <w:tcPr>
            <w:tcW w:w="5.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13B93E47" w14:textId="482E6DA6"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0.79</w:t>
            </w:r>
          </w:p>
          <w:p w14:paraId="4496D793"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w:t>
            </w:r>
            <w:r w:rsidRPr="00BE0C98">
              <w:rPr>
                <w:rFonts w:eastAsia="Times New Roman"/>
                <w:color w:val="000000"/>
                <w:lang w:eastAsia="zh-CN"/>
              </w:rPr>
              <w:t>2</w:t>
            </w:r>
            <w:r>
              <w:rPr>
                <w:rFonts w:eastAsia="Times New Roman"/>
                <w:color w:val="000000"/>
                <w:lang w:eastAsia="zh-CN"/>
              </w:rPr>
              <w:t>.18</w:t>
            </w:r>
            <w:r w:rsidRPr="00BE0C98">
              <w:rPr>
                <w:rFonts w:eastAsia="Times New Roman"/>
                <w:color w:val="000000"/>
                <w:lang w:eastAsia="zh-CN"/>
              </w:rPr>
              <w:t>)</w:t>
            </w:r>
          </w:p>
        </w:tc>
        <w:tc>
          <w:tcPr>
            <w:tcW w:w="7.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0D0D0D" w:themeColor="text1" w:themeTint="F2"/>
            </w:tcBorders>
            <w:shd w:val="clear" w:color="auto" w:fill="auto"/>
            <w:vAlign w:val="center"/>
            <w:hideMark/>
          </w:tcPr>
          <w:p w14:paraId="69D8FB91" w14:textId="77777777" w:rsidR="00570452" w:rsidRPr="00BC43A5" w:rsidRDefault="00570452" w:rsidP="00E61426">
            <w:pPr>
              <w:rPr>
                <w:rFonts w:eastAsia="Times New Roman"/>
                <w:color w:val="000000"/>
                <w:lang w:eastAsia="zh-CN"/>
              </w:rPr>
            </w:pPr>
            <w:r w:rsidRPr="00BE0C98">
              <w:rPr>
                <w:rFonts w:eastAsia="Times New Roman"/>
                <w:color w:val="000000"/>
                <w:lang w:eastAsia="zh-CN"/>
              </w:rPr>
              <w:t>1.78</w:t>
            </w:r>
          </w:p>
          <w:p w14:paraId="4437C95C"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(2.</w:t>
            </w:r>
            <w:r>
              <w:rPr>
                <w:rFonts w:eastAsia="Times New Roman"/>
                <w:color w:val="000000"/>
                <w:lang w:eastAsia="zh-CN"/>
              </w:rPr>
              <w:t>67</w:t>
            </w:r>
            <w:r w:rsidRPr="00BE0C98">
              <w:rPr>
                <w:rFonts w:eastAsia="Times New Roman"/>
                <w:color w:val="000000"/>
                <w:lang w:eastAsia="zh-CN"/>
              </w:rPr>
              <w:t>)</w:t>
            </w:r>
          </w:p>
        </w:tc>
        <w:tc>
          <w:tcPr>
            <w:tcW w:w="6.0%" w:type="pct"/>
            <w:tcBorders>
              <w:top w:val="single" w:sz="4" w:space="0" w:color="BFBFBF" w:themeColor="background1" w:themeShade="BF"/>
              <w:start w:val="double" w:sz="4" w:space="0" w:color="0D0D0D" w:themeColor="text1" w:themeTint="F2"/>
              <w:bottom w:val="single" w:sz="4" w:space="0" w:color="BFBFBF" w:themeColor="background1" w:themeShade="BF"/>
              <w:end w:val="single" w:sz="4" w:space="0" w:color="BFBFBF" w:themeColor="background1" w:themeShade="BF"/>
            </w:tcBorders>
            <w:shd w:val="clear" w:color="auto" w:fill="auto"/>
            <w:vAlign w:val="center"/>
            <w:hideMark/>
          </w:tcPr>
          <w:p w14:paraId="2B34A68A"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p>
        </w:tc>
        <w:tc>
          <w:tcPr>
            <w:tcW w:w="6.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1DE5C6FD" w14:textId="2969C920"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0.17</w:t>
            </w:r>
          </w:p>
          <w:p w14:paraId="130F9CFF"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w:t>
            </w:r>
            <w:r w:rsidRPr="00BE0C98">
              <w:rPr>
                <w:rFonts w:eastAsia="Times New Roman"/>
                <w:color w:val="000000"/>
                <w:lang w:eastAsia="zh-CN"/>
              </w:rPr>
              <w:t>3.</w:t>
            </w:r>
            <w:r>
              <w:rPr>
                <w:rFonts w:eastAsia="Times New Roman"/>
                <w:color w:val="000000"/>
                <w:lang w:eastAsia="zh-CN"/>
              </w:rPr>
              <w:t>77</w:t>
            </w:r>
            <w:r w:rsidRPr="00BE0C98">
              <w:rPr>
                <w:rFonts w:eastAsia="Times New Roman"/>
                <w:color w:val="000000"/>
                <w:lang w:eastAsia="zh-CN"/>
              </w:rPr>
              <w:t>)</w:t>
            </w:r>
          </w:p>
        </w:tc>
        <w:tc>
          <w:tcPr>
            <w:tcW w:w="6.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5906A83E" w14:textId="7C700E89" w:rsidR="00570452" w:rsidRPr="00BC43A5" w:rsidRDefault="00570452" w:rsidP="00E61426">
            <w:pPr>
              <w:rPr>
                <w:rFonts w:eastAsia="Times New Roman"/>
                <w:color w:val="000000"/>
                <w:lang w:eastAsia="zh-CN"/>
              </w:rPr>
            </w:pPr>
            <w:r w:rsidRPr="00BE0C98">
              <w:rPr>
                <w:rFonts w:eastAsia="Times New Roman"/>
                <w:color w:val="000000"/>
                <w:lang w:eastAsia="zh-CN"/>
              </w:rPr>
              <w:t>0.5</w:t>
            </w:r>
            <w:r w:rsidR="007B604F">
              <w:rPr>
                <w:rFonts w:eastAsia="Times New Roman"/>
                <w:color w:val="000000"/>
                <w:lang w:eastAsia="zh-CN"/>
              </w:rPr>
              <w:t>1</w:t>
            </w:r>
          </w:p>
          <w:p w14:paraId="6F7148E8"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(2.</w:t>
            </w:r>
            <w:r>
              <w:rPr>
                <w:rFonts w:eastAsia="Times New Roman"/>
                <w:color w:val="000000"/>
                <w:lang w:eastAsia="zh-CN"/>
              </w:rPr>
              <w:t>38</w:t>
            </w:r>
            <w:r w:rsidRPr="00BE0C98">
              <w:rPr>
                <w:rFonts w:eastAsia="Times New Roman"/>
                <w:color w:val="000000"/>
                <w:lang w:eastAsia="zh-CN"/>
              </w:rPr>
              <w:t>)</w:t>
            </w:r>
          </w:p>
        </w:tc>
        <w:tc>
          <w:tcPr>
            <w:tcW w:w="6.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6806EC2F" w14:textId="7B5987B8" w:rsidR="00570452" w:rsidRPr="00BC43A5" w:rsidRDefault="00570452" w:rsidP="00E61426">
            <w:pPr>
              <w:rPr>
                <w:rFonts w:eastAsia="Times New Roman"/>
                <w:color w:val="000000"/>
                <w:lang w:eastAsia="zh-CN"/>
              </w:rPr>
            </w:pPr>
            <w:r w:rsidRPr="00BE0C98">
              <w:rPr>
                <w:rFonts w:eastAsia="Times New Roman"/>
                <w:color w:val="000000"/>
                <w:lang w:eastAsia="zh-CN"/>
              </w:rPr>
              <w:t>0.91</w:t>
            </w:r>
          </w:p>
          <w:p w14:paraId="6C9FA34F"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(3.</w:t>
            </w:r>
            <w:r>
              <w:rPr>
                <w:rFonts w:eastAsia="Times New Roman"/>
                <w:color w:val="000000"/>
                <w:lang w:eastAsia="zh-CN"/>
              </w:rPr>
              <w:t>23</w:t>
            </w:r>
            <w:r w:rsidRPr="00BE0C98">
              <w:rPr>
                <w:rFonts w:eastAsia="Times New Roman"/>
                <w:color w:val="000000"/>
                <w:lang w:eastAsia="zh-CN"/>
              </w:rPr>
              <w:t>)</w:t>
            </w:r>
          </w:p>
        </w:tc>
        <w:tc>
          <w:tcPr>
            <w:tcW w:w="5.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4348FE8B" w14:textId="5AF264F0"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0.39</w:t>
            </w:r>
          </w:p>
          <w:p w14:paraId="6259E340"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-1.68</w:t>
            </w:r>
            <w:r w:rsidRPr="00BE0C98">
              <w:rPr>
                <w:rFonts w:eastAsia="Times New Roman"/>
                <w:color w:val="000000"/>
                <w:lang w:eastAsia="zh-CN"/>
              </w:rPr>
              <w:t>)</w:t>
            </w:r>
          </w:p>
        </w:tc>
        <w:tc>
          <w:tcPr>
            <w:tcW w:w="7.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0D0D0D" w:themeColor="text1" w:themeTint="F2"/>
            </w:tcBorders>
            <w:shd w:val="clear" w:color="auto" w:fill="auto"/>
            <w:vAlign w:val="center"/>
            <w:hideMark/>
          </w:tcPr>
          <w:p w14:paraId="2D6FF667" w14:textId="07414F4B"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0.1</w:t>
            </w:r>
            <w:r w:rsidR="007B604F">
              <w:rPr>
                <w:rFonts w:eastAsia="Times New Roman"/>
                <w:color w:val="000000"/>
                <w:lang w:eastAsia="zh-CN"/>
              </w:rPr>
              <w:t>1</w:t>
            </w:r>
          </w:p>
          <w:p w14:paraId="3B4C9354"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-3</w:t>
            </w:r>
            <w:r w:rsidRPr="00BE0C98">
              <w:rPr>
                <w:rFonts w:eastAsia="Times New Roman"/>
                <w:color w:val="000000"/>
                <w:lang w:eastAsia="zh-CN"/>
              </w:rPr>
              <w:t>.</w:t>
            </w:r>
            <w:r>
              <w:rPr>
                <w:rFonts w:eastAsia="Times New Roman"/>
                <w:color w:val="000000"/>
                <w:lang w:eastAsia="zh-CN"/>
              </w:rPr>
              <w:t>11</w:t>
            </w:r>
            <w:r w:rsidRPr="00BE0C98">
              <w:rPr>
                <w:rFonts w:eastAsia="Times New Roman"/>
                <w:color w:val="000000"/>
                <w:lang w:eastAsia="zh-CN"/>
              </w:rPr>
              <w:t>)</w:t>
            </w:r>
          </w:p>
        </w:tc>
        <w:tc>
          <w:tcPr>
            <w:tcW w:w="7.0%" w:type="pct"/>
            <w:tcBorders>
              <w:start w:val="double" w:sz="4" w:space="0" w:color="0D0D0D" w:themeColor="text1" w:themeTint="F2"/>
              <w:end w:val="double" w:sz="4" w:space="0" w:color="0D0D0D" w:themeColor="text1" w:themeTint="F2"/>
            </w:tcBorders>
            <w:shd w:val="clear" w:color="auto" w:fill="auto"/>
            <w:vAlign w:val="center"/>
            <w:hideMark/>
          </w:tcPr>
          <w:p w14:paraId="03BCC30E" w14:textId="4D7F832C"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0.39</w:t>
            </w:r>
          </w:p>
          <w:p w14:paraId="7B9392C6"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w:t>
            </w:r>
            <w:r w:rsidRPr="00BE0C98">
              <w:rPr>
                <w:rFonts w:eastAsia="Times New Roman"/>
                <w:color w:val="000000"/>
                <w:lang w:eastAsia="zh-CN"/>
              </w:rPr>
              <w:t>2.5</w:t>
            </w:r>
            <w:r>
              <w:rPr>
                <w:rFonts w:eastAsia="Times New Roman"/>
                <w:color w:val="000000"/>
                <w:lang w:eastAsia="zh-CN"/>
              </w:rPr>
              <w:t>8</w:t>
            </w:r>
            <w:r w:rsidRPr="00BE0C98">
              <w:rPr>
                <w:rFonts w:eastAsia="Times New Roman"/>
                <w:color w:val="000000"/>
                <w:lang w:eastAsia="zh-CN"/>
              </w:rPr>
              <w:t>)</w:t>
            </w:r>
          </w:p>
        </w:tc>
      </w:tr>
      <w:tr w:rsidR="007E29B4" w:rsidRPr="00BC43A5" w14:paraId="78D27BD8" w14:textId="77777777" w:rsidTr="00A92DA0">
        <w:trPr>
          <w:trHeight w:hRule="exact" w:val="760"/>
        </w:trPr>
        <w:tc>
          <w:tcPr>
            <w:tcW w:w="3.0%" w:type="pct"/>
            <w:vMerge/>
            <w:tcBorders>
              <w:start w:val="double" w:sz="4" w:space="0" w:color="0D0D0D" w:themeColor="text1" w:themeTint="F2"/>
              <w:bottom w:val="double" w:sz="4" w:space="0" w:color="0D0D0D" w:themeColor="text1" w:themeTint="F2"/>
            </w:tcBorders>
            <w:textDirection w:val="lr"/>
            <w:vAlign w:val="center"/>
            <w:hideMark/>
          </w:tcPr>
          <w:p w14:paraId="3754A194" w14:textId="77777777" w:rsidR="00570452" w:rsidRPr="00570452" w:rsidRDefault="00570452" w:rsidP="00E61426">
            <w:pPr>
              <w:ind w:start="5.65pt" w:end="5.65pt"/>
              <w:rPr>
                <w:rFonts w:eastAsia="Times New Roman"/>
                <w:b/>
                <w:color w:val="000000"/>
                <w:lang w:eastAsia="zh-CN"/>
              </w:rPr>
            </w:pPr>
          </w:p>
        </w:tc>
        <w:tc>
          <w:tcPr>
            <w:tcW w:w="11.0%" w:type="pct"/>
            <w:gridSpan w:val="2"/>
            <w:tcBorders>
              <w:bottom w:val="double" w:sz="4" w:space="0" w:color="0D0D0D" w:themeColor="text1" w:themeTint="F2"/>
              <w:end w:val="double" w:sz="4" w:space="0" w:color="0D0D0D" w:themeColor="text1" w:themeTint="F2"/>
            </w:tcBorders>
            <w:shd w:val="clear" w:color="auto" w:fill="auto"/>
            <w:vAlign w:val="center"/>
            <w:hideMark/>
          </w:tcPr>
          <w:p w14:paraId="44C77FBC" w14:textId="77777777" w:rsidR="00570452" w:rsidRPr="00570452" w:rsidRDefault="00570452" w:rsidP="00E61426">
            <w:pPr>
              <w:rPr>
                <w:rFonts w:eastAsia="Times New Roman"/>
                <w:i/>
                <w:color w:val="000000"/>
                <w:lang w:eastAsia="zh-CN"/>
              </w:rPr>
            </w:pPr>
            <w:r w:rsidRPr="00570452">
              <w:rPr>
                <w:rFonts w:eastAsia="Times New Roman"/>
                <w:i/>
                <w:color w:val="000000"/>
                <w:lang w:eastAsia="zh-CN"/>
              </w:rPr>
              <w:t>Walking</w:t>
            </w:r>
          </w:p>
        </w:tc>
        <w:tc>
          <w:tcPr>
            <w:tcW w:w="7.0%" w:type="pct"/>
            <w:tcBorders>
              <w:start w:val="double" w:sz="4" w:space="0" w:color="0D0D0D" w:themeColor="text1" w:themeTint="F2"/>
              <w:bottom w:val="double" w:sz="4" w:space="0" w:color="0D0D0D" w:themeColor="text1" w:themeTint="F2"/>
            </w:tcBorders>
            <w:shd w:val="clear" w:color="auto" w:fill="auto"/>
            <w:vAlign w:val="center"/>
            <w:hideMark/>
          </w:tcPr>
          <w:p w14:paraId="347C2863" w14:textId="77777777" w:rsidR="00570452" w:rsidRPr="00BC43A5" w:rsidRDefault="00570452" w:rsidP="00E61426">
            <w:pPr>
              <w:rPr>
                <w:rFonts w:eastAsia="Times New Roman"/>
                <w:color w:val="000000"/>
                <w:lang w:eastAsia="zh-CN"/>
              </w:rPr>
            </w:pPr>
            <w:r w:rsidRPr="00BE0C98">
              <w:rPr>
                <w:rFonts w:eastAsia="Times New Roman"/>
                <w:color w:val="000000"/>
                <w:lang w:eastAsia="zh-CN"/>
              </w:rPr>
              <w:t>1.26</w:t>
            </w:r>
          </w:p>
          <w:p w14:paraId="1A2636AF"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(5.2</w:t>
            </w:r>
            <w:r>
              <w:rPr>
                <w:rFonts w:eastAsia="Times New Roman"/>
                <w:color w:val="000000"/>
                <w:lang w:eastAsia="zh-CN"/>
              </w:rPr>
              <w:t>8</w:t>
            </w:r>
            <w:r w:rsidRPr="00BE0C98">
              <w:rPr>
                <w:rFonts w:eastAsia="Times New Roman"/>
                <w:color w:val="000000"/>
                <w:lang w:eastAsia="zh-CN"/>
              </w:rPr>
              <w:t>)</w:t>
            </w:r>
          </w:p>
        </w:tc>
        <w:tc>
          <w:tcPr>
            <w:tcW w:w="7.0%" w:type="pct"/>
            <w:tcBorders>
              <w:bottom w:val="double" w:sz="4" w:space="0" w:color="0D0D0D" w:themeColor="text1" w:themeTint="F2"/>
              <w:end w:val="double" w:sz="4" w:space="0" w:color="0D0D0D" w:themeColor="text1" w:themeTint="F2"/>
            </w:tcBorders>
            <w:shd w:val="clear" w:color="auto" w:fill="auto"/>
            <w:vAlign w:val="center"/>
            <w:hideMark/>
          </w:tcPr>
          <w:p w14:paraId="470C8D73" w14:textId="77777777" w:rsidR="00570452" w:rsidRPr="00BC43A5" w:rsidRDefault="00570452" w:rsidP="00E61426">
            <w:pPr>
              <w:rPr>
                <w:rFonts w:eastAsia="Times New Roman"/>
                <w:color w:val="000000"/>
                <w:lang w:eastAsia="zh-CN"/>
              </w:rPr>
            </w:pPr>
            <w:r w:rsidRPr="00BE0C98">
              <w:rPr>
                <w:rFonts w:eastAsia="Times New Roman"/>
                <w:color w:val="000000"/>
                <w:lang w:eastAsia="zh-CN"/>
              </w:rPr>
              <w:t>2.75</w:t>
            </w:r>
          </w:p>
          <w:p w14:paraId="479B3F42"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(2.</w:t>
            </w:r>
            <w:r>
              <w:rPr>
                <w:rFonts w:eastAsia="Times New Roman"/>
                <w:color w:val="000000"/>
                <w:lang w:eastAsia="zh-CN"/>
              </w:rPr>
              <w:t>13</w:t>
            </w:r>
            <w:r w:rsidRPr="00BE0C98">
              <w:rPr>
                <w:rFonts w:eastAsia="Times New Roman"/>
                <w:color w:val="000000"/>
                <w:lang w:eastAsia="zh-CN"/>
              </w:rPr>
              <w:t>)</w:t>
            </w:r>
          </w:p>
        </w:tc>
        <w:tc>
          <w:tcPr>
            <w:tcW w:w="6.0%" w:type="pct"/>
            <w:tcBorders>
              <w:top w:val="single" w:sz="4" w:space="0" w:color="BFBFBF" w:themeColor="background1" w:themeShade="BF"/>
              <w:start w:val="double" w:sz="4" w:space="0" w:color="0D0D0D" w:themeColor="text1" w:themeTint="F2"/>
              <w:bottom w:val="double" w:sz="4" w:space="0" w:color="0D0D0D" w:themeColor="text1" w:themeTint="F2"/>
              <w:end w:val="single" w:sz="4" w:space="0" w:color="BFBFBF" w:themeColor="background1" w:themeShade="BF"/>
            </w:tcBorders>
            <w:shd w:val="clear" w:color="auto" w:fill="auto"/>
            <w:vAlign w:val="center"/>
            <w:hideMark/>
          </w:tcPr>
          <w:p w14:paraId="29D68F95" w14:textId="6BDF2DEA"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0.7</w:t>
            </w:r>
            <w:r w:rsidR="007B604F">
              <w:rPr>
                <w:rFonts w:eastAsia="Times New Roman"/>
                <w:color w:val="000000"/>
                <w:lang w:eastAsia="zh-CN"/>
              </w:rPr>
              <w:t>8</w:t>
            </w:r>
          </w:p>
          <w:p w14:paraId="274F2158"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-1.89)</w:t>
            </w:r>
          </w:p>
        </w:tc>
        <w:tc>
          <w:tcPr>
            <w:tcW w:w="5.0%" w:type="pct"/>
            <w:tcBorders>
              <w:top w:val="single" w:sz="4" w:space="0" w:color="BFBFBF" w:themeColor="background1" w:themeShade="BF"/>
              <w:start w:val="single" w:sz="4" w:space="0" w:color="BFBFBF" w:themeColor="background1" w:themeShade="BF"/>
              <w:bottom w:val="double" w:sz="4" w:space="0" w:color="0D0D0D" w:themeColor="text1" w:themeTint="F2"/>
              <w:end w:val="single" w:sz="4" w:space="0" w:color="BFBFBF" w:themeColor="background1" w:themeShade="BF"/>
            </w:tcBorders>
            <w:shd w:val="clear" w:color="auto" w:fill="auto"/>
            <w:vAlign w:val="center"/>
            <w:hideMark/>
          </w:tcPr>
          <w:p w14:paraId="21BEFB1F" w14:textId="1023CAF9"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0.79</w:t>
            </w:r>
          </w:p>
          <w:p w14:paraId="36B4990C"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w:t>
            </w:r>
            <w:r w:rsidRPr="00BE0C98">
              <w:rPr>
                <w:rFonts w:eastAsia="Times New Roman"/>
                <w:color w:val="000000"/>
                <w:lang w:eastAsia="zh-CN"/>
              </w:rPr>
              <w:t>2</w:t>
            </w:r>
            <w:r>
              <w:rPr>
                <w:rFonts w:eastAsia="Times New Roman"/>
                <w:color w:val="000000"/>
                <w:lang w:eastAsia="zh-CN"/>
              </w:rPr>
              <w:t>.18</w:t>
            </w:r>
            <w:r w:rsidRPr="00BE0C98">
              <w:rPr>
                <w:rFonts w:eastAsia="Times New Roman"/>
                <w:color w:val="000000"/>
                <w:lang w:eastAsia="zh-CN"/>
              </w:rPr>
              <w:t>)</w:t>
            </w:r>
          </w:p>
        </w:tc>
        <w:tc>
          <w:tcPr>
            <w:tcW w:w="7.0%" w:type="pct"/>
            <w:tcBorders>
              <w:top w:val="single" w:sz="4" w:space="0" w:color="BFBFBF" w:themeColor="background1" w:themeShade="BF"/>
              <w:start w:val="single" w:sz="4" w:space="0" w:color="BFBFBF" w:themeColor="background1" w:themeShade="BF"/>
              <w:bottom w:val="double" w:sz="4" w:space="0" w:color="0D0D0D" w:themeColor="text1" w:themeTint="F2"/>
              <w:end w:val="double" w:sz="4" w:space="0" w:color="0D0D0D" w:themeColor="text1" w:themeTint="F2"/>
            </w:tcBorders>
            <w:shd w:val="clear" w:color="auto" w:fill="auto"/>
            <w:vAlign w:val="center"/>
            <w:hideMark/>
          </w:tcPr>
          <w:p w14:paraId="49603175" w14:textId="77777777" w:rsidR="00570452" w:rsidRPr="00BC43A5" w:rsidRDefault="00570452" w:rsidP="00E61426">
            <w:pPr>
              <w:rPr>
                <w:rFonts w:eastAsia="Times New Roman"/>
                <w:color w:val="000000"/>
                <w:lang w:eastAsia="zh-CN"/>
              </w:rPr>
            </w:pPr>
            <w:r w:rsidRPr="00BE0C98">
              <w:rPr>
                <w:rFonts w:eastAsia="Times New Roman"/>
                <w:color w:val="000000"/>
                <w:lang w:eastAsia="zh-CN"/>
              </w:rPr>
              <w:t>1.78</w:t>
            </w:r>
          </w:p>
          <w:p w14:paraId="0A563604"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(2.</w:t>
            </w:r>
            <w:r>
              <w:rPr>
                <w:rFonts w:eastAsia="Times New Roman"/>
                <w:color w:val="000000"/>
                <w:lang w:eastAsia="zh-CN"/>
              </w:rPr>
              <w:t>67</w:t>
            </w:r>
            <w:r w:rsidRPr="00BE0C98">
              <w:rPr>
                <w:rFonts w:eastAsia="Times New Roman"/>
                <w:color w:val="000000"/>
                <w:lang w:eastAsia="zh-CN"/>
              </w:rPr>
              <w:t>)</w:t>
            </w:r>
          </w:p>
        </w:tc>
        <w:tc>
          <w:tcPr>
            <w:tcW w:w="6.0%" w:type="pct"/>
            <w:tcBorders>
              <w:top w:val="single" w:sz="4" w:space="0" w:color="BFBFBF" w:themeColor="background1" w:themeShade="BF"/>
              <w:start w:val="double" w:sz="4" w:space="0" w:color="0D0D0D" w:themeColor="text1" w:themeTint="F2"/>
              <w:bottom w:val="double" w:sz="4" w:space="0" w:color="auto"/>
              <w:end w:val="single" w:sz="4" w:space="0" w:color="BFBFBF" w:themeColor="background1" w:themeShade="BF"/>
            </w:tcBorders>
            <w:shd w:val="clear" w:color="auto" w:fill="auto"/>
            <w:vAlign w:val="center"/>
            <w:hideMark/>
          </w:tcPr>
          <w:p w14:paraId="2862E922"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p>
        </w:tc>
        <w:tc>
          <w:tcPr>
            <w:tcW w:w="6.0%" w:type="pct"/>
            <w:tcBorders>
              <w:top w:val="single" w:sz="4" w:space="0" w:color="BFBFBF" w:themeColor="background1" w:themeShade="BF"/>
              <w:start w:val="single" w:sz="4" w:space="0" w:color="BFBFBF" w:themeColor="background1" w:themeShade="BF"/>
              <w:bottom w:val="double" w:sz="4" w:space="0" w:color="auto"/>
              <w:end w:val="single" w:sz="4" w:space="0" w:color="BFBFBF" w:themeColor="background1" w:themeShade="BF"/>
            </w:tcBorders>
            <w:shd w:val="clear" w:color="auto" w:fill="auto"/>
            <w:vAlign w:val="center"/>
            <w:hideMark/>
          </w:tcPr>
          <w:p w14:paraId="7596813C" w14:textId="5A55909D"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0.17</w:t>
            </w:r>
          </w:p>
          <w:p w14:paraId="29E8CA5E"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w:t>
            </w:r>
            <w:r w:rsidRPr="00BE0C98">
              <w:rPr>
                <w:rFonts w:eastAsia="Times New Roman"/>
                <w:color w:val="000000"/>
                <w:lang w:eastAsia="zh-CN"/>
              </w:rPr>
              <w:t>3.</w:t>
            </w:r>
            <w:r>
              <w:rPr>
                <w:rFonts w:eastAsia="Times New Roman"/>
                <w:color w:val="000000"/>
                <w:lang w:eastAsia="zh-CN"/>
              </w:rPr>
              <w:t>77</w:t>
            </w:r>
            <w:r w:rsidRPr="00BE0C98">
              <w:rPr>
                <w:rFonts w:eastAsia="Times New Roman"/>
                <w:color w:val="000000"/>
                <w:lang w:eastAsia="zh-CN"/>
              </w:rPr>
              <w:t>)</w:t>
            </w:r>
          </w:p>
        </w:tc>
        <w:tc>
          <w:tcPr>
            <w:tcW w:w="6.0%" w:type="pct"/>
            <w:tcBorders>
              <w:top w:val="single" w:sz="4" w:space="0" w:color="BFBFBF" w:themeColor="background1" w:themeShade="BF"/>
              <w:start w:val="single" w:sz="4" w:space="0" w:color="BFBFBF" w:themeColor="background1" w:themeShade="BF"/>
              <w:bottom w:val="double" w:sz="4" w:space="0" w:color="auto"/>
              <w:end w:val="single" w:sz="4" w:space="0" w:color="BFBFBF" w:themeColor="background1" w:themeShade="BF"/>
            </w:tcBorders>
            <w:shd w:val="clear" w:color="auto" w:fill="auto"/>
            <w:vAlign w:val="center"/>
            <w:hideMark/>
          </w:tcPr>
          <w:p w14:paraId="62A83D75" w14:textId="56931F13" w:rsidR="00570452" w:rsidRPr="00BC43A5" w:rsidRDefault="00570452" w:rsidP="00E61426">
            <w:pPr>
              <w:rPr>
                <w:rFonts w:eastAsia="Times New Roman"/>
                <w:color w:val="000000"/>
                <w:lang w:eastAsia="zh-CN"/>
              </w:rPr>
            </w:pPr>
            <w:r w:rsidRPr="00BE0C98">
              <w:rPr>
                <w:rFonts w:eastAsia="Times New Roman"/>
                <w:color w:val="000000"/>
                <w:lang w:eastAsia="zh-CN"/>
              </w:rPr>
              <w:t>0.5</w:t>
            </w:r>
            <w:r w:rsidR="007B604F">
              <w:rPr>
                <w:rFonts w:eastAsia="Times New Roman"/>
                <w:color w:val="000000"/>
                <w:lang w:eastAsia="zh-CN"/>
              </w:rPr>
              <w:t>1</w:t>
            </w:r>
          </w:p>
          <w:p w14:paraId="6B4A8C04"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(2.</w:t>
            </w:r>
            <w:r>
              <w:rPr>
                <w:rFonts w:eastAsia="Times New Roman"/>
                <w:color w:val="000000"/>
                <w:lang w:eastAsia="zh-CN"/>
              </w:rPr>
              <w:t>38</w:t>
            </w:r>
            <w:r w:rsidRPr="00BE0C98">
              <w:rPr>
                <w:rFonts w:eastAsia="Times New Roman"/>
                <w:color w:val="000000"/>
                <w:lang w:eastAsia="zh-CN"/>
              </w:rPr>
              <w:t>)</w:t>
            </w:r>
          </w:p>
        </w:tc>
        <w:tc>
          <w:tcPr>
            <w:tcW w:w="6.0%" w:type="pct"/>
            <w:tcBorders>
              <w:top w:val="single" w:sz="4" w:space="0" w:color="BFBFBF" w:themeColor="background1" w:themeShade="BF"/>
              <w:start w:val="single" w:sz="4" w:space="0" w:color="BFBFBF" w:themeColor="background1" w:themeShade="BF"/>
              <w:bottom w:val="double" w:sz="4" w:space="0" w:color="auto"/>
              <w:end w:val="single" w:sz="4" w:space="0" w:color="BFBFBF" w:themeColor="background1" w:themeShade="BF"/>
            </w:tcBorders>
            <w:shd w:val="clear" w:color="auto" w:fill="auto"/>
            <w:vAlign w:val="center"/>
            <w:hideMark/>
          </w:tcPr>
          <w:p w14:paraId="25EA5F7B" w14:textId="34B89E7F" w:rsidR="00570452" w:rsidRPr="00BC43A5" w:rsidRDefault="00570452" w:rsidP="00E61426">
            <w:pPr>
              <w:rPr>
                <w:rFonts w:eastAsia="Times New Roman"/>
                <w:color w:val="000000"/>
                <w:lang w:eastAsia="zh-CN"/>
              </w:rPr>
            </w:pPr>
            <w:r w:rsidRPr="00BE0C98">
              <w:rPr>
                <w:rFonts w:eastAsia="Times New Roman"/>
                <w:color w:val="000000"/>
                <w:lang w:eastAsia="zh-CN"/>
              </w:rPr>
              <w:t>0.91</w:t>
            </w:r>
          </w:p>
          <w:p w14:paraId="2B5DA60F"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(3.</w:t>
            </w:r>
            <w:r>
              <w:rPr>
                <w:rFonts w:eastAsia="Times New Roman"/>
                <w:color w:val="000000"/>
                <w:lang w:eastAsia="zh-CN"/>
              </w:rPr>
              <w:t>23</w:t>
            </w:r>
            <w:r w:rsidRPr="00BE0C98">
              <w:rPr>
                <w:rFonts w:eastAsia="Times New Roman"/>
                <w:color w:val="000000"/>
                <w:lang w:eastAsia="zh-CN"/>
              </w:rPr>
              <w:t>)</w:t>
            </w:r>
          </w:p>
        </w:tc>
        <w:tc>
          <w:tcPr>
            <w:tcW w:w="5.0%" w:type="pct"/>
            <w:tcBorders>
              <w:top w:val="single" w:sz="4" w:space="0" w:color="BFBFBF" w:themeColor="background1" w:themeShade="BF"/>
              <w:start w:val="single" w:sz="4" w:space="0" w:color="BFBFBF" w:themeColor="background1" w:themeShade="BF"/>
              <w:bottom w:val="double" w:sz="4" w:space="0" w:color="auto"/>
              <w:end w:val="single" w:sz="4" w:space="0" w:color="BFBFBF" w:themeColor="background1" w:themeShade="BF"/>
            </w:tcBorders>
            <w:shd w:val="clear" w:color="auto" w:fill="auto"/>
            <w:vAlign w:val="center"/>
            <w:hideMark/>
          </w:tcPr>
          <w:p w14:paraId="42B86604" w14:textId="2FCCB2C1"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0.39</w:t>
            </w:r>
          </w:p>
          <w:p w14:paraId="372E75C1"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-1.68</w:t>
            </w:r>
            <w:r w:rsidRPr="00BE0C98">
              <w:rPr>
                <w:rFonts w:eastAsia="Times New Roman"/>
                <w:color w:val="000000"/>
                <w:lang w:eastAsia="zh-CN"/>
              </w:rPr>
              <w:t>)</w:t>
            </w:r>
          </w:p>
        </w:tc>
        <w:tc>
          <w:tcPr>
            <w:tcW w:w="7.0%" w:type="pct"/>
            <w:tcBorders>
              <w:top w:val="single" w:sz="4" w:space="0" w:color="BFBFBF" w:themeColor="background1" w:themeShade="BF"/>
              <w:start w:val="single" w:sz="4" w:space="0" w:color="BFBFBF" w:themeColor="background1" w:themeShade="BF"/>
              <w:bottom w:val="double" w:sz="4" w:space="0" w:color="auto"/>
              <w:end w:val="double" w:sz="4" w:space="0" w:color="0D0D0D" w:themeColor="text1" w:themeTint="F2"/>
            </w:tcBorders>
            <w:shd w:val="clear" w:color="auto" w:fill="auto"/>
            <w:vAlign w:val="center"/>
            <w:hideMark/>
          </w:tcPr>
          <w:p w14:paraId="0C683FD6" w14:textId="59E00B58"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0.1</w:t>
            </w:r>
            <w:r w:rsidR="007B604F">
              <w:rPr>
                <w:rFonts w:eastAsia="Times New Roman"/>
                <w:color w:val="000000"/>
                <w:lang w:eastAsia="zh-CN"/>
              </w:rPr>
              <w:t>1</w:t>
            </w:r>
          </w:p>
          <w:p w14:paraId="1665BC9A"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-3</w:t>
            </w:r>
            <w:r w:rsidRPr="00BE0C98">
              <w:rPr>
                <w:rFonts w:eastAsia="Times New Roman"/>
                <w:color w:val="000000"/>
                <w:lang w:eastAsia="zh-CN"/>
              </w:rPr>
              <w:t>.</w:t>
            </w:r>
            <w:r>
              <w:rPr>
                <w:rFonts w:eastAsia="Times New Roman"/>
                <w:color w:val="000000"/>
                <w:lang w:eastAsia="zh-CN"/>
              </w:rPr>
              <w:t>11</w:t>
            </w:r>
            <w:r w:rsidRPr="00BE0C98">
              <w:rPr>
                <w:rFonts w:eastAsia="Times New Roman"/>
                <w:color w:val="000000"/>
                <w:lang w:eastAsia="zh-CN"/>
              </w:rPr>
              <w:t>)</w:t>
            </w:r>
          </w:p>
        </w:tc>
        <w:tc>
          <w:tcPr>
            <w:tcW w:w="7.0%" w:type="pct"/>
            <w:tcBorders>
              <w:start w:val="double" w:sz="4" w:space="0" w:color="0D0D0D" w:themeColor="text1" w:themeTint="F2"/>
              <w:bottom w:val="double" w:sz="4" w:space="0" w:color="0D0D0D" w:themeColor="text1" w:themeTint="F2"/>
              <w:end w:val="double" w:sz="4" w:space="0" w:color="0D0D0D" w:themeColor="text1" w:themeTint="F2"/>
            </w:tcBorders>
            <w:shd w:val="clear" w:color="auto" w:fill="auto"/>
            <w:vAlign w:val="center"/>
            <w:hideMark/>
          </w:tcPr>
          <w:p w14:paraId="58011AD6" w14:textId="73A2F435"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0.39</w:t>
            </w:r>
          </w:p>
          <w:p w14:paraId="3D6F7B1A"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w:t>
            </w:r>
            <w:r w:rsidRPr="00BE0C98">
              <w:rPr>
                <w:rFonts w:eastAsia="Times New Roman"/>
                <w:color w:val="000000"/>
                <w:lang w:eastAsia="zh-CN"/>
              </w:rPr>
              <w:t>2.5</w:t>
            </w:r>
            <w:r>
              <w:rPr>
                <w:rFonts w:eastAsia="Times New Roman"/>
                <w:color w:val="000000"/>
                <w:lang w:eastAsia="zh-CN"/>
              </w:rPr>
              <w:t>8</w:t>
            </w:r>
            <w:r w:rsidRPr="00BE0C98">
              <w:rPr>
                <w:rFonts w:eastAsia="Times New Roman"/>
                <w:color w:val="000000"/>
                <w:lang w:eastAsia="zh-CN"/>
              </w:rPr>
              <w:t>)</w:t>
            </w:r>
          </w:p>
        </w:tc>
      </w:tr>
      <w:tr w:rsidR="007E29B4" w:rsidRPr="00BC43A5" w14:paraId="25625251" w14:textId="77777777" w:rsidTr="007B604F">
        <w:trPr>
          <w:trHeight w:hRule="exact" w:val="760"/>
        </w:trPr>
        <w:tc>
          <w:tcPr>
            <w:tcW w:w="3.0%" w:type="pct"/>
            <w:vMerge w:val="restart"/>
            <w:tcBorders>
              <w:top w:val="double" w:sz="4" w:space="0" w:color="0D0D0D" w:themeColor="text1" w:themeTint="F2"/>
              <w:start w:val="double" w:sz="4" w:space="0" w:color="0D0D0D" w:themeColor="text1" w:themeTint="F2"/>
            </w:tcBorders>
            <w:shd w:val="clear" w:color="auto" w:fill="auto"/>
            <w:textDirection w:val="lr"/>
            <w:vAlign w:val="center"/>
            <w:hideMark/>
          </w:tcPr>
          <w:p w14:paraId="3DE600C9" w14:textId="77777777" w:rsidR="00570452" w:rsidRPr="00570452" w:rsidRDefault="00570452" w:rsidP="00E61426">
            <w:pPr>
              <w:ind w:start="5.65pt" w:end="5.65pt"/>
              <w:rPr>
                <w:rFonts w:eastAsia="Times New Roman"/>
                <w:b/>
                <w:color w:val="000000"/>
                <w:lang w:eastAsia="zh-CN"/>
              </w:rPr>
            </w:pPr>
            <w:r w:rsidRPr="00570452">
              <w:rPr>
                <w:rFonts w:eastAsia="Times New Roman"/>
                <w:b/>
                <w:color w:val="000000"/>
                <w:lang w:eastAsia="zh-CN"/>
              </w:rPr>
              <w:t>Mobility hub situation</w:t>
            </w:r>
          </w:p>
        </w:tc>
        <w:tc>
          <w:tcPr>
            <w:tcW w:w="3.0%" w:type="pct"/>
            <w:vMerge w:val="restart"/>
            <w:tcBorders>
              <w:top w:val="double" w:sz="4" w:space="0" w:color="0D0D0D" w:themeColor="text1" w:themeTint="F2"/>
              <w:bottom w:val="single" w:sz="4" w:space="0" w:color="BFBFBF" w:themeColor="background1" w:themeShade="BF"/>
              <w:end w:val="single" w:sz="4" w:space="0" w:color="BFBFBF" w:themeColor="background1" w:themeShade="BF"/>
            </w:tcBorders>
            <w:shd w:val="clear" w:color="auto" w:fill="auto"/>
            <w:vAlign w:val="center"/>
            <w:hideMark/>
          </w:tcPr>
          <w:p w14:paraId="3BB8E77A" w14:textId="77777777" w:rsidR="00570452" w:rsidRPr="00570452" w:rsidRDefault="00570452" w:rsidP="00E61426">
            <w:pPr>
              <w:rPr>
                <w:rFonts w:eastAsia="Times New Roman"/>
                <w:i/>
                <w:color w:val="000000"/>
                <w:lang w:eastAsia="zh-CN"/>
              </w:rPr>
            </w:pPr>
            <w:r w:rsidRPr="00570452">
              <w:rPr>
                <w:rFonts w:eastAsia="Times New Roman"/>
                <w:i/>
                <w:color w:val="000000"/>
                <w:lang w:eastAsia="zh-CN"/>
              </w:rPr>
              <w:t>Car</w:t>
            </w:r>
          </w:p>
        </w:tc>
        <w:tc>
          <w:tcPr>
            <w:tcW w:w="7.0%" w:type="pct"/>
            <w:tcBorders>
              <w:top w:val="double" w:sz="4" w:space="0" w:color="0D0D0D" w:themeColor="text1" w:themeTint="F2"/>
              <w:start w:val="single" w:sz="4" w:space="0" w:color="BFBFBF" w:themeColor="background1" w:themeShade="BF"/>
              <w:bottom w:val="single" w:sz="4" w:space="0" w:color="BFBFBF" w:themeColor="background1" w:themeShade="BF"/>
              <w:end w:val="double" w:sz="4" w:space="0" w:color="0D0D0D" w:themeColor="text1" w:themeTint="F2"/>
            </w:tcBorders>
            <w:shd w:val="clear" w:color="auto" w:fill="auto"/>
            <w:vAlign w:val="center"/>
          </w:tcPr>
          <w:p w14:paraId="3F94FF99" w14:textId="053D6603" w:rsidR="00570452" w:rsidRPr="00570452" w:rsidRDefault="00570452" w:rsidP="00E61426">
            <w:pPr>
              <w:rPr>
                <w:rFonts w:eastAsia="Times New Roman"/>
                <w:i/>
                <w:color w:val="000000"/>
                <w:lang w:eastAsia="zh-CN"/>
              </w:rPr>
            </w:pPr>
            <w:r w:rsidRPr="00570452">
              <w:rPr>
                <w:rFonts w:eastAsia="Times New Roman"/>
                <w:i/>
                <w:color w:val="000000"/>
                <w:lang w:eastAsia="zh-CN"/>
              </w:rPr>
              <w:t>Gener</w:t>
            </w:r>
            <w:r w:rsidR="007E29B4">
              <w:rPr>
                <w:rFonts w:eastAsia="Times New Roman"/>
                <w:i/>
                <w:color w:val="000000"/>
                <w:lang w:eastAsia="zh-CN"/>
              </w:rPr>
              <w:t>al</w:t>
            </w:r>
          </w:p>
        </w:tc>
        <w:tc>
          <w:tcPr>
            <w:tcW w:w="7.0%" w:type="pct"/>
            <w:tcBorders>
              <w:top w:val="double" w:sz="4" w:space="0" w:color="0D0D0D" w:themeColor="text1" w:themeTint="F2"/>
              <w:start w:val="double" w:sz="4" w:space="0" w:color="0D0D0D" w:themeColor="text1" w:themeTint="F2"/>
            </w:tcBorders>
            <w:shd w:val="clear" w:color="auto" w:fill="auto"/>
            <w:vAlign w:val="center"/>
          </w:tcPr>
          <w:p w14:paraId="521E66F9" w14:textId="77777777" w:rsidR="00570452" w:rsidRPr="00BE0C98" w:rsidRDefault="00570452" w:rsidP="00E61426">
            <w:pPr>
              <w:rPr>
                <w:rFonts w:eastAsia="Times New Roman"/>
                <w:color w:val="000000"/>
                <w:lang w:eastAsia="zh-CN"/>
              </w:rPr>
            </w:pPr>
            <w:r>
              <w:rPr>
                <w:rFonts w:eastAsia="Times New Roman"/>
                <w:color w:val="000000"/>
                <w:lang w:eastAsia="zh-CN"/>
              </w:rPr>
              <w:t>-</w:t>
            </w:r>
          </w:p>
        </w:tc>
        <w:tc>
          <w:tcPr>
            <w:tcW w:w="7.0%" w:type="pct"/>
            <w:tcBorders>
              <w:top w:val="double" w:sz="4" w:space="0" w:color="0D0D0D" w:themeColor="text1" w:themeTint="F2"/>
              <w:end w:val="double" w:sz="4" w:space="0" w:color="0D0D0D" w:themeColor="text1" w:themeTint="F2"/>
            </w:tcBorders>
            <w:shd w:val="clear" w:color="auto" w:fill="auto"/>
            <w:vAlign w:val="center"/>
            <w:hideMark/>
          </w:tcPr>
          <w:p w14:paraId="736148DA" w14:textId="77777777" w:rsidR="00570452" w:rsidRPr="00BC43A5" w:rsidRDefault="00570452" w:rsidP="00E61426">
            <w:pPr>
              <w:rPr>
                <w:rFonts w:eastAsia="Times New Roman"/>
                <w:color w:val="000000"/>
                <w:lang w:eastAsia="zh-CN"/>
              </w:rPr>
            </w:pPr>
            <w:r w:rsidRPr="00BE0C98">
              <w:rPr>
                <w:rFonts w:eastAsia="Times New Roman"/>
                <w:color w:val="000000"/>
                <w:lang w:eastAsia="zh-CN"/>
              </w:rPr>
              <w:t>1.44</w:t>
            </w:r>
          </w:p>
          <w:p w14:paraId="7634D0B2"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(2.</w:t>
            </w:r>
            <w:r>
              <w:rPr>
                <w:rFonts w:eastAsia="Times New Roman"/>
                <w:color w:val="000000"/>
                <w:lang w:eastAsia="zh-CN"/>
              </w:rPr>
              <w:t>65</w:t>
            </w:r>
            <w:r w:rsidRPr="00BE0C98">
              <w:rPr>
                <w:rFonts w:eastAsia="Times New Roman"/>
                <w:color w:val="000000"/>
                <w:lang w:eastAsia="zh-CN"/>
              </w:rPr>
              <w:t>)</w:t>
            </w:r>
          </w:p>
        </w:tc>
        <w:tc>
          <w:tcPr>
            <w:tcW w:w="6.0%" w:type="pct"/>
            <w:tcBorders>
              <w:top w:val="double" w:sz="4" w:space="0" w:color="0D0D0D" w:themeColor="text1" w:themeTint="F2"/>
              <w:start w:val="double" w:sz="4" w:space="0" w:color="0D0D0D" w:themeColor="text1" w:themeTint="F2"/>
              <w:bottom w:val="single" w:sz="4" w:space="0" w:color="BFBFBF" w:themeColor="background1" w:themeShade="BF"/>
              <w:end w:val="single" w:sz="4" w:space="0" w:color="BFBFBF" w:themeColor="background1" w:themeShade="BF"/>
            </w:tcBorders>
            <w:shd w:val="clear" w:color="auto" w:fill="auto"/>
            <w:vAlign w:val="center"/>
            <w:hideMark/>
          </w:tcPr>
          <w:p w14:paraId="63374675" w14:textId="39B110F8"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0.7</w:t>
            </w:r>
            <w:r w:rsidR="007B604F">
              <w:rPr>
                <w:rFonts w:eastAsia="Times New Roman"/>
                <w:color w:val="000000"/>
                <w:lang w:eastAsia="zh-CN"/>
              </w:rPr>
              <w:t>8</w:t>
            </w:r>
          </w:p>
          <w:p w14:paraId="5A96D1D7"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-1.89)</w:t>
            </w:r>
          </w:p>
        </w:tc>
        <w:tc>
          <w:tcPr>
            <w:tcW w:w="5.0%" w:type="pct"/>
            <w:tcBorders>
              <w:top w:val="double" w:sz="4" w:space="0" w:color="0D0D0D" w:themeColor="text1" w:themeTint="F2"/>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66FD0F0D" w14:textId="1CDAC77D"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0.79</w:t>
            </w:r>
          </w:p>
          <w:p w14:paraId="15375FC9"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w:t>
            </w:r>
            <w:r w:rsidRPr="00BE0C98">
              <w:rPr>
                <w:rFonts w:eastAsia="Times New Roman"/>
                <w:color w:val="000000"/>
                <w:lang w:eastAsia="zh-CN"/>
              </w:rPr>
              <w:t>2</w:t>
            </w:r>
            <w:r>
              <w:rPr>
                <w:rFonts w:eastAsia="Times New Roman"/>
                <w:color w:val="000000"/>
                <w:lang w:eastAsia="zh-CN"/>
              </w:rPr>
              <w:t>.18</w:t>
            </w:r>
            <w:r w:rsidRPr="00BE0C98">
              <w:rPr>
                <w:rFonts w:eastAsia="Times New Roman"/>
                <w:color w:val="000000"/>
                <w:lang w:eastAsia="zh-CN"/>
              </w:rPr>
              <w:t>)</w:t>
            </w:r>
          </w:p>
        </w:tc>
        <w:tc>
          <w:tcPr>
            <w:tcW w:w="7.0%" w:type="pct"/>
            <w:tcBorders>
              <w:top w:val="double" w:sz="4" w:space="0" w:color="0D0D0D" w:themeColor="text1" w:themeTint="F2"/>
              <w:start w:val="single" w:sz="4" w:space="0" w:color="BFBFBF" w:themeColor="background1" w:themeShade="BF"/>
              <w:bottom w:val="single" w:sz="4" w:space="0" w:color="BFBFBF" w:themeColor="background1" w:themeShade="BF"/>
              <w:end w:val="double" w:sz="4" w:space="0" w:color="0D0D0D" w:themeColor="text1" w:themeTint="F2"/>
            </w:tcBorders>
            <w:shd w:val="clear" w:color="auto" w:fill="auto"/>
            <w:vAlign w:val="center"/>
            <w:hideMark/>
          </w:tcPr>
          <w:p w14:paraId="08625161" w14:textId="77777777" w:rsidR="00570452" w:rsidRPr="00BC43A5" w:rsidRDefault="00570452" w:rsidP="00E61426">
            <w:pPr>
              <w:rPr>
                <w:rFonts w:eastAsia="Times New Roman"/>
                <w:color w:val="000000"/>
                <w:lang w:eastAsia="zh-CN"/>
              </w:rPr>
            </w:pPr>
            <w:r w:rsidRPr="00BE0C98">
              <w:rPr>
                <w:rFonts w:eastAsia="Times New Roman"/>
                <w:color w:val="000000"/>
                <w:lang w:eastAsia="zh-CN"/>
              </w:rPr>
              <w:t>1.78</w:t>
            </w:r>
          </w:p>
          <w:p w14:paraId="3ED8A1EC"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(2.</w:t>
            </w:r>
            <w:r>
              <w:rPr>
                <w:rFonts w:eastAsia="Times New Roman"/>
                <w:color w:val="000000"/>
                <w:lang w:eastAsia="zh-CN"/>
              </w:rPr>
              <w:t>67</w:t>
            </w:r>
            <w:r w:rsidRPr="00BE0C98">
              <w:rPr>
                <w:rFonts w:eastAsia="Times New Roman"/>
                <w:color w:val="000000"/>
                <w:lang w:eastAsia="zh-CN"/>
              </w:rPr>
              <w:t>)</w:t>
            </w:r>
          </w:p>
        </w:tc>
        <w:tc>
          <w:tcPr>
            <w:tcW w:w="6.0%" w:type="pct"/>
            <w:tcBorders>
              <w:top w:val="double" w:sz="4" w:space="0" w:color="auto"/>
              <w:start w:val="double" w:sz="4" w:space="0" w:color="0D0D0D" w:themeColor="text1" w:themeTint="F2"/>
              <w:bottom w:val="single" w:sz="4" w:space="0" w:color="BFBFBF" w:themeColor="background1" w:themeShade="BF"/>
              <w:end w:val="single" w:sz="4" w:space="0" w:color="BFBFBF" w:themeColor="background1" w:themeShade="BF"/>
            </w:tcBorders>
            <w:shd w:val="clear" w:color="auto" w:fill="auto"/>
            <w:vAlign w:val="center"/>
            <w:hideMark/>
          </w:tcPr>
          <w:p w14:paraId="17C8B09B"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p>
        </w:tc>
        <w:tc>
          <w:tcPr>
            <w:tcW w:w="6.0%" w:type="pct"/>
            <w:tcBorders>
              <w:top w:val="double" w:sz="4" w:space="0" w:color="auto"/>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092BE3EF" w14:textId="294371F9"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0.1</w:t>
            </w:r>
            <w:r w:rsidR="007B604F">
              <w:rPr>
                <w:rFonts w:eastAsia="Times New Roman"/>
                <w:color w:val="000000"/>
                <w:lang w:eastAsia="zh-CN"/>
              </w:rPr>
              <w:t>7</w:t>
            </w:r>
          </w:p>
          <w:p w14:paraId="73D3EF15"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w:t>
            </w:r>
            <w:r w:rsidRPr="00BE0C98">
              <w:rPr>
                <w:rFonts w:eastAsia="Times New Roman"/>
                <w:color w:val="000000"/>
                <w:lang w:eastAsia="zh-CN"/>
              </w:rPr>
              <w:t>3.</w:t>
            </w:r>
            <w:r>
              <w:rPr>
                <w:rFonts w:eastAsia="Times New Roman"/>
                <w:color w:val="000000"/>
                <w:lang w:eastAsia="zh-CN"/>
              </w:rPr>
              <w:t>77</w:t>
            </w:r>
            <w:r w:rsidRPr="00BE0C98">
              <w:rPr>
                <w:rFonts w:eastAsia="Times New Roman"/>
                <w:color w:val="000000"/>
                <w:lang w:eastAsia="zh-CN"/>
              </w:rPr>
              <w:t>)</w:t>
            </w:r>
          </w:p>
        </w:tc>
        <w:tc>
          <w:tcPr>
            <w:tcW w:w="6.0%" w:type="pct"/>
            <w:tcBorders>
              <w:top w:val="double" w:sz="4" w:space="0" w:color="auto"/>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2487FFBA" w14:textId="1A5D0F13" w:rsidR="00570452" w:rsidRPr="00BC43A5" w:rsidRDefault="00570452" w:rsidP="00E61426">
            <w:pPr>
              <w:rPr>
                <w:rFonts w:eastAsia="Times New Roman"/>
                <w:color w:val="000000"/>
                <w:lang w:eastAsia="zh-CN"/>
              </w:rPr>
            </w:pPr>
            <w:r w:rsidRPr="00BE0C98">
              <w:rPr>
                <w:rFonts w:eastAsia="Times New Roman"/>
                <w:color w:val="000000"/>
                <w:lang w:eastAsia="zh-CN"/>
              </w:rPr>
              <w:t>0.5</w:t>
            </w:r>
            <w:r w:rsidR="007B604F">
              <w:rPr>
                <w:rFonts w:eastAsia="Times New Roman"/>
                <w:color w:val="000000"/>
                <w:lang w:eastAsia="zh-CN"/>
              </w:rPr>
              <w:t>1</w:t>
            </w:r>
          </w:p>
          <w:p w14:paraId="106A493B"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(2.</w:t>
            </w:r>
            <w:r>
              <w:rPr>
                <w:rFonts w:eastAsia="Times New Roman"/>
                <w:color w:val="000000"/>
                <w:lang w:eastAsia="zh-CN"/>
              </w:rPr>
              <w:t>38</w:t>
            </w:r>
            <w:r w:rsidRPr="00BE0C98">
              <w:rPr>
                <w:rFonts w:eastAsia="Times New Roman"/>
                <w:color w:val="000000"/>
                <w:lang w:eastAsia="zh-CN"/>
              </w:rPr>
              <w:t>)</w:t>
            </w:r>
          </w:p>
        </w:tc>
        <w:tc>
          <w:tcPr>
            <w:tcW w:w="6.0%" w:type="pct"/>
            <w:tcBorders>
              <w:top w:val="double" w:sz="4" w:space="0" w:color="auto"/>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58881AEC" w14:textId="29A54355" w:rsidR="00570452" w:rsidRPr="00BC43A5" w:rsidRDefault="00570452" w:rsidP="00E61426">
            <w:pPr>
              <w:rPr>
                <w:rFonts w:eastAsia="Times New Roman"/>
                <w:color w:val="000000"/>
                <w:lang w:eastAsia="zh-CN"/>
              </w:rPr>
            </w:pPr>
            <w:r w:rsidRPr="00BE0C98">
              <w:rPr>
                <w:rFonts w:eastAsia="Times New Roman"/>
                <w:color w:val="000000"/>
                <w:lang w:eastAsia="zh-CN"/>
              </w:rPr>
              <w:t>0.91</w:t>
            </w:r>
          </w:p>
          <w:p w14:paraId="787DBC4D"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(3.</w:t>
            </w:r>
            <w:r>
              <w:rPr>
                <w:rFonts w:eastAsia="Times New Roman"/>
                <w:color w:val="000000"/>
                <w:lang w:eastAsia="zh-CN"/>
              </w:rPr>
              <w:t>23</w:t>
            </w:r>
            <w:r w:rsidRPr="00BE0C98">
              <w:rPr>
                <w:rFonts w:eastAsia="Times New Roman"/>
                <w:color w:val="000000"/>
                <w:lang w:eastAsia="zh-CN"/>
              </w:rPr>
              <w:t>)</w:t>
            </w:r>
          </w:p>
        </w:tc>
        <w:tc>
          <w:tcPr>
            <w:tcW w:w="5.0%" w:type="pct"/>
            <w:tcBorders>
              <w:top w:val="double" w:sz="4" w:space="0" w:color="auto"/>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0AADDDBF" w14:textId="454CD679"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0.39</w:t>
            </w:r>
          </w:p>
          <w:p w14:paraId="4B20A0F5"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-1.68</w:t>
            </w:r>
            <w:r w:rsidRPr="00BE0C98">
              <w:rPr>
                <w:rFonts w:eastAsia="Times New Roman"/>
                <w:color w:val="000000"/>
                <w:lang w:eastAsia="zh-CN"/>
              </w:rPr>
              <w:t>)</w:t>
            </w:r>
          </w:p>
        </w:tc>
        <w:tc>
          <w:tcPr>
            <w:tcW w:w="7.0%" w:type="pct"/>
            <w:tcBorders>
              <w:top w:val="double" w:sz="4" w:space="0" w:color="auto"/>
              <w:start w:val="single" w:sz="4" w:space="0" w:color="BFBFBF" w:themeColor="background1" w:themeShade="BF"/>
              <w:bottom w:val="single" w:sz="4" w:space="0" w:color="BFBFBF" w:themeColor="background1" w:themeShade="BF"/>
              <w:end w:val="double" w:sz="4" w:space="0" w:color="0D0D0D" w:themeColor="text1" w:themeTint="F2"/>
            </w:tcBorders>
            <w:shd w:val="clear" w:color="auto" w:fill="auto"/>
            <w:vAlign w:val="center"/>
            <w:hideMark/>
          </w:tcPr>
          <w:p w14:paraId="3DCBB62A" w14:textId="3D272654"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0.1</w:t>
            </w:r>
            <w:r w:rsidR="007B604F">
              <w:rPr>
                <w:rFonts w:eastAsia="Times New Roman"/>
                <w:color w:val="000000"/>
                <w:lang w:eastAsia="zh-CN"/>
              </w:rPr>
              <w:t>1</w:t>
            </w:r>
          </w:p>
          <w:p w14:paraId="4B1836F5"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-3</w:t>
            </w:r>
            <w:r w:rsidRPr="00BE0C98">
              <w:rPr>
                <w:rFonts w:eastAsia="Times New Roman"/>
                <w:color w:val="000000"/>
                <w:lang w:eastAsia="zh-CN"/>
              </w:rPr>
              <w:t>.</w:t>
            </w:r>
            <w:r>
              <w:rPr>
                <w:rFonts w:eastAsia="Times New Roman"/>
                <w:color w:val="000000"/>
                <w:lang w:eastAsia="zh-CN"/>
              </w:rPr>
              <w:t>11</w:t>
            </w:r>
            <w:r w:rsidRPr="00BE0C98">
              <w:rPr>
                <w:rFonts w:eastAsia="Times New Roman"/>
                <w:color w:val="000000"/>
                <w:lang w:eastAsia="zh-CN"/>
              </w:rPr>
              <w:t>)</w:t>
            </w:r>
          </w:p>
        </w:tc>
        <w:tc>
          <w:tcPr>
            <w:tcW w:w="7.0%" w:type="pct"/>
            <w:tcBorders>
              <w:top w:val="double" w:sz="4" w:space="0" w:color="0D0D0D" w:themeColor="text1" w:themeTint="F2"/>
              <w:start w:val="double" w:sz="4" w:space="0" w:color="0D0D0D" w:themeColor="text1" w:themeTint="F2"/>
              <w:end w:val="double" w:sz="4" w:space="0" w:color="0D0D0D" w:themeColor="text1" w:themeTint="F2"/>
            </w:tcBorders>
            <w:shd w:val="clear" w:color="auto" w:fill="auto"/>
            <w:vAlign w:val="center"/>
            <w:hideMark/>
          </w:tcPr>
          <w:p w14:paraId="7B013CB4" w14:textId="4BCC31E5"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0.39</w:t>
            </w:r>
          </w:p>
          <w:p w14:paraId="7982AE36"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w:t>
            </w:r>
            <w:r w:rsidRPr="00BE0C98">
              <w:rPr>
                <w:rFonts w:eastAsia="Times New Roman"/>
                <w:color w:val="000000"/>
                <w:lang w:eastAsia="zh-CN"/>
              </w:rPr>
              <w:t>2.5</w:t>
            </w:r>
            <w:r>
              <w:rPr>
                <w:rFonts w:eastAsia="Times New Roman"/>
                <w:color w:val="000000"/>
                <w:lang w:eastAsia="zh-CN"/>
              </w:rPr>
              <w:t>8</w:t>
            </w:r>
            <w:r w:rsidRPr="00BE0C98">
              <w:rPr>
                <w:rFonts w:eastAsia="Times New Roman"/>
                <w:color w:val="000000"/>
                <w:lang w:eastAsia="zh-CN"/>
              </w:rPr>
              <w:t>)</w:t>
            </w:r>
          </w:p>
        </w:tc>
      </w:tr>
      <w:tr w:rsidR="007E29B4" w:rsidRPr="00BC43A5" w14:paraId="0222CC8A" w14:textId="77777777" w:rsidTr="007B604F">
        <w:trPr>
          <w:trHeight w:hRule="exact" w:val="760"/>
        </w:trPr>
        <w:tc>
          <w:tcPr>
            <w:tcW w:w="3.0%" w:type="pct"/>
            <w:vMerge/>
            <w:tcBorders>
              <w:start w:val="double" w:sz="4" w:space="0" w:color="0D0D0D" w:themeColor="text1" w:themeTint="F2"/>
            </w:tcBorders>
            <w:vAlign w:val="center"/>
          </w:tcPr>
          <w:p w14:paraId="47FCBB47" w14:textId="77777777" w:rsidR="00570452" w:rsidRPr="00BE0C98" w:rsidRDefault="00570452" w:rsidP="00E61426">
            <w:pPr>
              <w:rPr>
                <w:rFonts w:eastAsia="Times New Roman"/>
                <w:color w:val="000000"/>
                <w:lang w:eastAsia="zh-CN"/>
              </w:rPr>
            </w:pPr>
          </w:p>
        </w:tc>
        <w:tc>
          <w:tcPr>
            <w:tcW w:w="3.0%" w:type="pct"/>
            <w:vMerge/>
            <w:tcBorders>
              <w:top w:val="single" w:sz="4" w:space="0" w:color="BFBFBF" w:themeColor="background1" w:themeShade="BF"/>
              <w:end w:val="single" w:sz="4" w:space="0" w:color="BFBFBF" w:themeColor="background1" w:themeShade="BF"/>
            </w:tcBorders>
            <w:shd w:val="clear" w:color="auto" w:fill="auto"/>
            <w:vAlign w:val="center"/>
          </w:tcPr>
          <w:p w14:paraId="45A96211" w14:textId="77777777" w:rsidR="00570452" w:rsidRPr="00570452" w:rsidRDefault="00570452" w:rsidP="00E61426">
            <w:pPr>
              <w:rPr>
                <w:rFonts w:eastAsia="Times New Roman"/>
                <w:i/>
                <w:color w:val="000000"/>
                <w:lang w:eastAsia="zh-CN"/>
              </w:rPr>
            </w:pPr>
          </w:p>
        </w:tc>
        <w:tc>
          <w:tcPr>
            <w:tcW w:w="7.0%" w:type="pct"/>
            <w:tcBorders>
              <w:top w:val="single" w:sz="4" w:space="0" w:color="BFBFBF" w:themeColor="background1" w:themeShade="BF"/>
              <w:start w:val="single" w:sz="4" w:space="0" w:color="BFBFBF" w:themeColor="background1" w:themeShade="BF"/>
              <w:end w:val="double" w:sz="4" w:space="0" w:color="0D0D0D" w:themeColor="text1" w:themeTint="F2"/>
            </w:tcBorders>
            <w:shd w:val="clear" w:color="auto" w:fill="auto"/>
            <w:vAlign w:val="center"/>
          </w:tcPr>
          <w:p w14:paraId="0E2406C3" w14:textId="77777777" w:rsidR="00570452" w:rsidRPr="00570452" w:rsidRDefault="00570452" w:rsidP="00E61426">
            <w:pPr>
              <w:rPr>
                <w:rFonts w:eastAsia="Times New Roman"/>
                <w:i/>
                <w:color w:val="000000"/>
                <w:lang w:eastAsia="zh-CN"/>
              </w:rPr>
            </w:pPr>
            <w:r w:rsidRPr="00570452">
              <w:rPr>
                <w:rFonts w:eastAsia="Times New Roman"/>
                <w:i/>
                <w:color w:val="000000"/>
                <w:lang w:eastAsia="zh-CN"/>
              </w:rPr>
              <w:t>Alt. specific</w:t>
            </w:r>
          </w:p>
        </w:tc>
        <w:tc>
          <w:tcPr>
            <w:tcW w:w="7.0%" w:type="pct"/>
            <w:tcBorders>
              <w:start w:val="double" w:sz="4" w:space="0" w:color="0D0D0D" w:themeColor="text1" w:themeTint="F2"/>
            </w:tcBorders>
            <w:shd w:val="clear" w:color="auto" w:fill="auto"/>
            <w:vAlign w:val="center"/>
          </w:tcPr>
          <w:p w14:paraId="17241F7D" w14:textId="77777777" w:rsidR="00570452" w:rsidRPr="00BE0C98" w:rsidRDefault="00570452" w:rsidP="00E61426">
            <w:pPr>
              <w:rPr>
                <w:rFonts w:eastAsia="Times New Roman"/>
                <w:color w:val="000000"/>
                <w:lang w:eastAsia="zh-CN"/>
              </w:rPr>
            </w:pPr>
            <w:r>
              <w:rPr>
                <w:rFonts w:eastAsia="Times New Roman"/>
                <w:color w:val="000000"/>
                <w:lang w:eastAsia="zh-CN"/>
              </w:rPr>
              <w:t>-</w:t>
            </w:r>
          </w:p>
        </w:tc>
        <w:tc>
          <w:tcPr>
            <w:tcW w:w="7.0%" w:type="pct"/>
            <w:tcBorders>
              <w:end w:val="double" w:sz="4" w:space="0" w:color="0D0D0D" w:themeColor="text1" w:themeTint="F2"/>
            </w:tcBorders>
            <w:shd w:val="clear" w:color="auto" w:fill="auto"/>
            <w:vAlign w:val="center"/>
          </w:tcPr>
          <w:p w14:paraId="5FD8BE2C" w14:textId="77777777" w:rsidR="00570452" w:rsidRPr="00BE0C98" w:rsidRDefault="00570452" w:rsidP="00E61426">
            <w:pPr>
              <w:rPr>
                <w:rFonts w:eastAsia="Times New Roman"/>
                <w:color w:val="000000"/>
                <w:lang w:eastAsia="zh-CN"/>
              </w:rPr>
            </w:pPr>
            <w:r>
              <w:rPr>
                <w:rFonts w:eastAsia="Times New Roman"/>
                <w:color w:val="000000"/>
                <w:lang w:eastAsia="zh-CN"/>
              </w:rPr>
              <w:t>-</w:t>
            </w:r>
          </w:p>
        </w:tc>
        <w:tc>
          <w:tcPr>
            <w:tcW w:w="6.0%" w:type="pct"/>
            <w:tcBorders>
              <w:top w:val="single" w:sz="4" w:space="0" w:color="BFBFBF" w:themeColor="background1" w:themeShade="BF"/>
              <w:start w:val="double" w:sz="4" w:space="0" w:color="0D0D0D" w:themeColor="text1" w:themeTint="F2"/>
              <w:bottom w:val="single" w:sz="4" w:space="0" w:color="BFBFBF" w:themeColor="background1" w:themeShade="BF"/>
              <w:end w:val="single" w:sz="4" w:space="0" w:color="BFBFBF" w:themeColor="background1" w:themeShade="BF"/>
            </w:tcBorders>
            <w:shd w:val="clear" w:color="auto" w:fill="auto"/>
            <w:vAlign w:val="center"/>
          </w:tcPr>
          <w:p w14:paraId="19048DEE" w14:textId="77777777" w:rsidR="00570452" w:rsidRDefault="00570452" w:rsidP="00E61426">
            <w:pPr>
              <w:rPr>
                <w:rFonts w:eastAsia="Times New Roman"/>
                <w:color w:val="000000"/>
                <w:lang w:eastAsia="zh-CN"/>
              </w:rPr>
            </w:pPr>
            <w:r>
              <w:rPr>
                <w:rFonts w:eastAsia="Times New Roman"/>
                <w:color w:val="000000"/>
                <w:lang w:eastAsia="zh-CN"/>
              </w:rPr>
              <w:t>-</w:t>
            </w:r>
          </w:p>
        </w:tc>
        <w:tc>
          <w:tcPr>
            <w:tcW w:w="5.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tcPr>
          <w:p w14:paraId="5EC5A52C" w14:textId="77777777" w:rsidR="00570452" w:rsidRDefault="00570452" w:rsidP="00E61426">
            <w:pPr>
              <w:rPr>
                <w:rFonts w:eastAsia="Times New Roman"/>
                <w:color w:val="000000"/>
                <w:lang w:eastAsia="zh-CN"/>
              </w:rPr>
            </w:pPr>
            <w:r>
              <w:rPr>
                <w:rFonts w:eastAsia="Times New Roman"/>
                <w:color w:val="000000"/>
                <w:lang w:eastAsia="zh-CN"/>
              </w:rPr>
              <w:t>-</w:t>
            </w:r>
          </w:p>
        </w:tc>
        <w:tc>
          <w:tcPr>
            <w:tcW w:w="7.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0D0D0D" w:themeColor="text1" w:themeTint="F2"/>
            </w:tcBorders>
            <w:shd w:val="clear" w:color="auto" w:fill="auto"/>
            <w:vAlign w:val="center"/>
          </w:tcPr>
          <w:p w14:paraId="5F5E6E49" w14:textId="77777777" w:rsidR="00570452" w:rsidRPr="00BC43A5" w:rsidRDefault="00570452" w:rsidP="00E61426">
            <w:pPr>
              <w:rPr>
                <w:rFonts w:eastAsia="Times New Roman"/>
                <w:color w:val="000000"/>
                <w:lang w:eastAsia="zh-CN"/>
              </w:rPr>
            </w:pPr>
            <w:r w:rsidRPr="00BE0C98">
              <w:rPr>
                <w:rFonts w:eastAsia="Times New Roman"/>
                <w:color w:val="000000"/>
                <w:lang w:eastAsia="zh-CN"/>
              </w:rPr>
              <w:t>-1.92</w:t>
            </w:r>
          </w:p>
          <w:p w14:paraId="44B9D68A"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(-2.</w:t>
            </w:r>
            <w:r>
              <w:rPr>
                <w:rFonts w:eastAsia="Times New Roman"/>
                <w:color w:val="000000"/>
                <w:lang w:eastAsia="zh-CN"/>
              </w:rPr>
              <w:t>6</w:t>
            </w:r>
            <w:r w:rsidRPr="00BE0C98">
              <w:rPr>
                <w:rFonts w:eastAsia="Times New Roman"/>
                <w:color w:val="000000"/>
                <w:lang w:eastAsia="zh-CN"/>
              </w:rPr>
              <w:t>)</w:t>
            </w:r>
          </w:p>
        </w:tc>
        <w:tc>
          <w:tcPr>
            <w:tcW w:w="6.0%" w:type="pct"/>
            <w:tcBorders>
              <w:top w:val="single" w:sz="4" w:space="0" w:color="BFBFBF" w:themeColor="background1" w:themeShade="BF"/>
              <w:start w:val="double" w:sz="4" w:space="0" w:color="0D0D0D" w:themeColor="text1" w:themeTint="F2"/>
              <w:bottom w:val="single" w:sz="4" w:space="0" w:color="BFBFBF" w:themeColor="background1" w:themeShade="BF"/>
              <w:end w:val="single" w:sz="4" w:space="0" w:color="BFBFBF" w:themeColor="background1" w:themeShade="BF"/>
            </w:tcBorders>
            <w:shd w:val="clear" w:color="auto" w:fill="auto"/>
            <w:vAlign w:val="center"/>
          </w:tcPr>
          <w:p w14:paraId="286834D1" w14:textId="77777777" w:rsidR="00570452" w:rsidRPr="00BE0C98" w:rsidRDefault="00570452" w:rsidP="00E61426">
            <w:pPr>
              <w:rPr>
                <w:rFonts w:eastAsia="Times New Roman"/>
                <w:color w:val="000000"/>
                <w:lang w:eastAsia="zh-CN"/>
              </w:rPr>
            </w:pPr>
            <w:r>
              <w:rPr>
                <w:rFonts w:eastAsia="Times New Roman"/>
                <w:color w:val="000000"/>
                <w:lang w:eastAsia="zh-CN"/>
              </w:rPr>
              <w:t>-</w:t>
            </w:r>
          </w:p>
        </w:tc>
        <w:tc>
          <w:tcPr>
            <w:tcW w:w="6.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tcPr>
          <w:p w14:paraId="40BEF0BF" w14:textId="77777777" w:rsidR="00570452" w:rsidRPr="00BE0C98" w:rsidRDefault="00570452" w:rsidP="00E61426">
            <w:pPr>
              <w:rPr>
                <w:rFonts w:eastAsia="Times New Roman"/>
                <w:color w:val="000000"/>
                <w:lang w:eastAsia="zh-CN"/>
              </w:rPr>
            </w:pPr>
            <w:r>
              <w:rPr>
                <w:rFonts w:eastAsia="Times New Roman"/>
                <w:color w:val="000000"/>
                <w:lang w:eastAsia="zh-CN"/>
              </w:rPr>
              <w:t>-</w:t>
            </w:r>
          </w:p>
        </w:tc>
        <w:tc>
          <w:tcPr>
            <w:tcW w:w="6.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tcPr>
          <w:p w14:paraId="7826996A" w14:textId="77777777" w:rsidR="00570452" w:rsidRPr="00BE0C98" w:rsidRDefault="00570452" w:rsidP="00E61426">
            <w:pPr>
              <w:rPr>
                <w:rFonts w:eastAsia="Times New Roman"/>
                <w:color w:val="000000"/>
                <w:lang w:eastAsia="zh-CN"/>
              </w:rPr>
            </w:pPr>
            <w:r>
              <w:rPr>
                <w:rFonts w:eastAsia="Times New Roman"/>
                <w:color w:val="000000"/>
                <w:lang w:eastAsia="zh-CN"/>
              </w:rPr>
              <w:t>-</w:t>
            </w:r>
          </w:p>
        </w:tc>
        <w:tc>
          <w:tcPr>
            <w:tcW w:w="6.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tcPr>
          <w:p w14:paraId="7BD86307" w14:textId="77777777" w:rsidR="00570452" w:rsidRPr="00BE0C98" w:rsidRDefault="00570452" w:rsidP="00E61426">
            <w:pPr>
              <w:rPr>
                <w:rFonts w:eastAsia="Times New Roman"/>
                <w:color w:val="000000"/>
                <w:lang w:eastAsia="zh-CN"/>
              </w:rPr>
            </w:pPr>
            <w:r>
              <w:rPr>
                <w:rFonts w:eastAsia="Times New Roman"/>
                <w:color w:val="000000"/>
                <w:lang w:eastAsia="zh-CN"/>
              </w:rPr>
              <w:t>-</w:t>
            </w:r>
          </w:p>
        </w:tc>
        <w:tc>
          <w:tcPr>
            <w:tcW w:w="5.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tcPr>
          <w:p w14:paraId="375BF68F" w14:textId="77777777" w:rsidR="00570452" w:rsidRDefault="00570452" w:rsidP="00E61426">
            <w:pPr>
              <w:rPr>
                <w:rFonts w:eastAsia="Times New Roman"/>
                <w:color w:val="000000"/>
                <w:lang w:eastAsia="zh-CN"/>
              </w:rPr>
            </w:pPr>
            <w:r>
              <w:rPr>
                <w:rFonts w:eastAsia="Times New Roman"/>
                <w:color w:val="000000"/>
                <w:lang w:eastAsia="zh-CN"/>
              </w:rPr>
              <w:t>-</w:t>
            </w:r>
          </w:p>
        </w:tc>
        <w:tc>
          <w:tcPr>
            <w:tcW w:w="7.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0D0D0D" w:themeColor="text1" w:themeTint="F2"/>
            </w:tcBorders>
            <w:shd w:val="clear" w:color="auto" w:fill="auto"/>
            <w:vAlign w:val="center"/>
          </w:tcPr>
          <w:p w14:paraId="5E0E9EE5" w14:textId="77777777" w:rsidR="00570452" w:rsidRDefault="00570452" w:rsidP="00E61426">
            <w:pPr>
              <w:rPr>
                <w:rFonts w:eastAsia="Times New Roman"/>
                <w:color w:val="000000"/>
                <w:lang w:eastAsia="zh-CN"/>
              </w:rPr>
            </w:pPr>
            <w:r>
              <w:rPr>
                <w:rFonts w:eastAsia="Times New Roman"/>
                <w:color w:val="000000"/>
                <w:lang w:eastAsia="zh-CN"/>
              </w:rPr>
              <w:t>-</w:t>
            </w:r>
          </w:p>
        </w:tc>
        <w:tc>
          <w:tcPr>
            <w:tcW w:w="7.0%" w:type="pct"/>
            <w:tcBorders>
              <w:start w:val="double" w:sz="4" w:space="0" w:color="0D0D0D" w:themeColor="text1" w:themeTint="F2"/>
              <w:end w:val="double" w:sz="4" w:space="0" w:color="0D0D0D" w:themeColor="text1" w:themeTint="F2"/>
            </w:tcBorders>
            <w:shd w:val="clear" w:color="auto" w:fill="auto"/>
            <w:vAlign w:val="center"/>
          </w:tcPr>
          <w:p w14:paraId="71F293F3" w14:textId="77777777" w:rsidR="00570452" w:rsidRDefault="00570452" w:rsidP="00E61426">
            <w:pPr>
              <w:rPr>
                <w:rFonts w:eastAsia="Times New Roman"/>
                <w:color w:val="000000"/>
                <w:lang w:eastAsia="zh-CN"/>
              </w:rPr>
            </w:pPr>
            <w:r>
              <w:rPr>
                <w:rFonts w:eastAsia="Times New Roman"/>
                <w:color w:val="000000"/>
                <w:lang w:eastAsia="zh-CN"/>
              </w:rPr>
              <w:t>-</w:t>
            </w:r>
          </w:p>
        </w:tc>
      </w:tr>
      <w:tr w:rsidR="007E29B4" w:rsidRPr="00BC43A5" w14:paraId="21C7C7BB" w14:textId="77777777" w:rsidTr="007B604F">
        <w:trPr>
          <w:trHeight w:hRule="exact" w:val="760"/>
        </w:trPr>
        <w:tc>
          <w:tcPr>
            <w:tcW w:w="3.0%" w:type="pct"/>
            <w:vMerge/>
            <w:tcBorders>
              <w:start w:val="double" w:sz="4" w:space="0" w:color="0D0D0D" w:themeColor="text1" w:themeTint="F2"/>
            </w:tcBorders>
            <w:vAlign w:val="center"/>
            <w:hideMark/>
          </w:tcPr>
          <w:p w14:paraId="0C0D75F8" w14:textId="77777777" w:rsidR="00570452" w:rsidRPr="00BE0C98" w:rsidRDefault="00570452" w:rsidP="00E61426">
            <w:pPr>
              <w:rPr>
                <w:rFonts w:eastAsia="Times New Roman"/>
                <w:color w:val="000000"/>
                <w:lang w:eastAsia="zh-CN"/>
              </w:rPr>
            </w:pPr>
          </w:p>
        </w:tc>
        <w:tc>
          <w:tcPr>
            <w:tcW w:w="11.0%" w:type="pct"/>
            <w:gridSpan w:val="2"/>
            <w:tcBorders>
              <w:end w:val="double" w:sz="4" w:space="0" w:color="0D0D0D" w:themeColor="text1" w:themeTint="F2"/>
            </w:tcBorders>
            <w:shd w:val="clear" w:color="auto" w:fill="auto"/>
            <w:vAlign w:val="center"/>
            <w:hideMark/>
          </w:tcPr>
          <w:p w14:paraId="7B736889" w14:textId="77777777" w:rsidR="00570452" w:rsidRPr="00570452" w:rsidRDefault="00570452" w:rsidP="00E61426">
            <w:pPr>
              <w:rPr>
                <w:rFonts w:eastAsia="Times New Roman"/>
                <w:i/>
                <w:color w:val="000000"/>
                <w:lang w:eastAsia="zh-CN"/>
              </w:rPr>
            </w:pPr>
            <w:r w:rsidRPr="00570452">
              <w:rPr>
                <w:rFonts w:eastAsia="Times New Roman"/>
                <w:i/>
                <w:color w:val="000000"/>
                <w:lang w:eastAsia="zh-CN"/>
              </w:rPr>
              <w:t>Public Transport</w:t>
            </w:r>
          </w:p>
        </w:tc>
        <w:tc>
          <w:tcPr>
            <w:tcW w:w="7.0%" w:type="pct"/>
            <w:tcBorders>
              <w:start w:val="double" w:sz="4" w:space="0" w:color="0D0D0D" w:themeColor="text1" w:themeTint="F2"/>
            </w:tcBorders>
            <w:shd w:val="clear" w:color="auto" w:fill="auto"/>
            <w:vAlign w:val="center"/>
            <w:hideMark/>
          </w:tcPr>
          <w:p w14:paraId="157E3E82"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p>
        </w:tc>
        <w:tc>
          <w:tcPr>
            <w:tcW w:w="7.0%" w:type="pct"/>
            <w:tcBorders>
              <w:end w:val="double" w:sz="4" w:space="0" w:color="0D0D0D" w:themeColor="text1" w:themeTint="F2"/>
            </w:tcBorders>
            <w:shd w:val="clear" w:color="auto" w:fill="auto"/>
            <w:vAlign w:val="center"/>
            <w:hideMark/>
          </w:tcPr>
          <w:p w14:paraId="2730B767" w14:textId="77777777" w:rsidR="00570452" w:rsidRPr="00BC43A5" w:rsidRDefault="00570452" w:rsidP="00E61426">
            <w:pPr>
              <w:rPr>
                <w:rFonts w:eastAsia="Times New Roman"/>
                <w:color w:val="000000"/>
                <w:lang w:eastAsia="zh-CN"/>
              </w:rPr>
            </w:pPr>
            <w:r w:rsidRPr="00BE0C98">
              <w:rPr>
                <w:rFonts w:eastAsia="Times New Roman"/>
                <w:color w:val="000000"/>
                <w:lang w:eastAsia="zh-CN"/>
              </w:rPr>
              <w:t>1.92</w:t>
            </w:r>
          </w:p>
          <w:p w14:paraId="12F8AA69"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(3.</w:t>
            </w:r>
            <w:r>
              <w:rPr>
                <w:rFonts w:eastAsia="Times New Roman"/>
                <w:color w:val="000000"/>
                <w:lang w:eastAsia="zh-CN"/>
              </w:rPr>
              <w:t>21</w:t>
            </w:r>
            <w:r w:rsidRPr="00BE0C98">
              <w:rPr>
                <w:rFonts w:eastAsia="Times New Roman"/>
                <w:color w:val="000000"/>
                <w:lang w:eastAsia="zh-CN"/>
              </w:rPr>
              <w:t>)</w:t>
            </w:r>
          </w:p>
        </w:tc>
        <w:tc>
          <w:tcPr>
            <w:tcW w:w="6.0%" w:type="pct"/>
            <w:tcBorders>
              <w:top w:val="single" w:sz="4" w:space="0" w:color="BFBFBF" w:themeColor="background1" w:themeShade="BF"/>
              <w:start w:val="double" w:sz="4" w:space="0" w:color="0D0D0D" w:themeColor="text1" w:themeTint="F2"/>
              <w:bottom w:val="single" w:sz="4" w:space="0" w:color="BFBFBF" w:themeColor="background1" w:themeShade="BF"/>
              <w:end w:val="single" w:sz="4" w:space="0" w:color="BFBFBF" w:themeColor="background1" w:themeShade="BF"/>
            </w:tcBorders>
            <w:shd w:val="clear" w:color="auto" w:fill="auto"/>
            <w:vAlign w:val="center"/>
            <w:hideMark/>
          </w:tcPr>
          <w:p w14:paraId="68AE3643" w14:textId="0017EA12"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0.7</w:t>
            </w:r>
            <w:r w:rsidR="007B604F">
              <w:rPr>
                <w:rFonts w:eastAsia="Times New Roman"/>
                <w:color w:val="000000"/>
                <w:lang w:eastAsia="zh-CN"/>
              </w:rPr>
              <w:t>8</w:t>
            </w:r>
          </w:p>
          <w:p w14:paraId="7E64AA69"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-1.89)</w:t>
            </w:r>
          </w:p>
        </w:tc>
        <w:tc>
          <w:tcPr>
            <w:tcW w:w="5.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76EA8AEF" w14:textId="27770A81"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0.79</w:t>
            </w:r>
          </w:p>
          <w:p w14:paraId="1EE0D85B"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w:t>
            </w:r>
            <w:r w:rsidRPr="00BE0C98">
              <w:rPr>
                <w:rFonts w:eastAsia="Times New Roman"/>
                <w:color w:val="000000"/>
                <w:lang w:eastAsia="zh-CN"/>
              </w:rPr>
              <w:t>2</w:t>
            </w:r>
            <w:r>
              <w:rPr>
                <w:rFonts w:eastAsia="Times New Roman"/>
                <w:color w:val="000000"/>
                <w:lang w:eastAsia="zh-CN"/>
              </w:rPr>
              <w:t>.18</w:t>
            </w:r>
            <w:r w:rsidRPr="00BE0C98">
              <w:rPr>
                <w:rFonts w:eastAsia="Times New Roman"/>
                <w:color w:val="000000"/>
                <w:lang w:eastAsia="zh-CN"/>
              </w:rPr>
              <w:t>)</w:t>
            </w:r>
          </w:p>
        </w:tc>
        <w:tc>
          <w:tcPr>
            <w:tcW w:w="7.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0D0D0D" w:themeColor="text1" w:themeTint="F2"/>
            </w:tcBorders>
            <w:shd w:val="clear" w:color="auto" w:fill="auto"/>
            <w:vAlign w:val="center"/>
            <w:hideMark/>
          </w:tcPr>
          <w:p w14:paraId="32D8D355" w14:textId="77777777" w:rsidR="00570452" w:rsidRPr="00BC43A5" w:rsidRDefault="00570452" w:rsidP="00E61426">
            <w:pPr>
              <w:rPr>
                <w:rFonts w:eastAsia="Times New Roman"/>
                <w:color w:val="000000"/>
                <w:lang w:eastAsia="zh-CN"/>
              </w:rPr>
            </w:pPr>
            <w:r w:rsidRPr="00BE0C98">
              <w:rPr>
                <w:rFonts w:eastAsia="Times New Roman"/>
                <w:color w:val="000000"/>
                <w:lang w:eastAsia="zh-CN"/>
              </w:rPr>
              <w:t>1.78</w:t>
            </w:r>
          </w:p>
          <w:p w14:paraId="4330272A"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(2.</w:t>
            </w:r>
            <w:r>
              <w:rPr>
                <w:rFonts w:eastAsia="Times New Roman"/>
                <w:color w:val="000000"/>
                <w:lang w:eastAsia="zh-CN"/>
              </w:rPr>
              <w:t>67</w:t>
            </w:r>
            <w:r w:rsidRPr="00BE0C98">
              <w:rPr>
                <w:rFonts w:eastAsia="Times New Roman"/>
                <w:color w:val="000000"/>
                <w:lang w:eastAsia="zh-CN"/>
              </w:rPr>
              <w:t>)</w:t>
            </w:r>
          </w:p>
        </w:tc>
        <w:tc>
          <w:tcPr>
            <w:tcW w:w="6.0%" w:type="pct"/>
            <w:tcBorders>
              <w:top w:val="single" w:sz="4" w:space="0" w:color="BFBFBF" w:themeColor="background1" w:themeShade="BF"/>
              <w:start w:val="double" w:sz="4" w:space="0" w:color="0D0D0D" w:themeColor="text1" w:themeTint="F2"/>
              <w:bottom w:val="single" w:sz="4" w:space="0" w:color="BFBFBF" w:themeColor="background1" w:themeShade="BF"/>
              <w:end w:val="single" w:sz="4" w:space="0" w:color="BFBFBF" w:themeColor="background1" w:themeShade="BF"/>
            </w:tcBorders>
            <w:shd w:val="clear" w:color="auto" w:fill="auto"/>
            <w:vAlign w:val="center"/>
            <w:hideMark/>
          </w:tcPr>
          <w:p w14:paraId="295B5472"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p>
        </w:tc>
        <w:tc>
          <w:tcPr>
            <w:tcW w:w="6.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2FC35941" w14:textId="1B781C8D"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0.17</w:t>
            </w:r>
          </w:p>
          <w:p w14:paraId="7443E329"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w:t>
            </w:r>
            <w:r w:rsidRPr="00BE0C98">
              <w:rPr>
                <w:rFonts w:eastAsia="Times New Roman"/>
                <w:color w:val="000000"/>
                <w:lang w:eastAsia="zh-CN"/>
              </w:rPr>
              <w:t>3.</w:t>
            </w:r>
            <w:r>
              <w:rPr>
                <w:rFonts w:eastAsia="Times New Roman"/>
                <w:color w:val="000000"/>
                <w:lang w:eastAsia="zh-CN"/>
              </w:rPr>
              <w:t>77</w:t>
            </w:r>
            <w:r w:rsidRPr="00BE0C98">
              <w:rPr>
                <w:rFonts w:eastAsia="Times New Roman"/>
                <w:color w:val="000000"/>
                <w:lang w:eastAsia="zh-CN"/>
              </w:rPr>
              <w:t>)</w:t>
            </w:r>
          </w:p>
        </w:tc>
        <w:tc>
          <w:tcPr>
            <w:tcW w:w="6.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6B6E7FD9" w14:textId="3C664F10" w:rsidR="00570452" w:rsidRPr="00BC43A5" w:rsidRDefault="00570452" w:rsidP="00E61426">
            <w:pPr>
              <w:rPr>
                <w:rFonts w:eastAsia="Times New Roman"/>
                <w:color w:val="000000"/>
                <w:lang w:eastAsia="zh-CN"/>
              </w:rPr>
            </w:pPr>
            <w:r w:rsidRPr="00BE0C98">
              <w:rPr>
                <w:rFonts w:eastAsia="Times New Roman"/>
                <w:color w:val="000000"/>
                <w:lang w:eastAsia="zh-CN"/>
              </w:rPr>
              <w:t>0.5</w:t>
            </w:r>
            <w:r w:rsidR="007B604F">
              <w:rPr>
                <w:rFonts w:eastAsia="Times New Roman"/>
                <w:color w:val="000000"/>
                <w:lang w:eastAsia="zh-CN"/>
              </w:rPr>
              <w:t>1</w:t>
            </w:r>
          </w:p>
          <w:p w14:paraId="092B8DAA"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(2.</w:t>
            </w:r>
            <w:r>
              <w:rPr>
                <w:rFonts w:eastAsia="Times New Roman"/>
                <w:color w:val="000000"/>
                <w:lang w:eastAsia="zh-CN"/>
              </w:rPr>
              <w:t>38</w:t>
            </w:r>
            <w:r w:rsidRPr="00BE0C98">
              <w:rPr>
                <w:rFonts w:eastAsia="Times New Roman"/>
                <w:color w:val="000000"/>
                <w:lang w:eastAsia="zh-CN"/>
              </w:rPr>
              <w:t>)</w:t>
            </w:r>
          </w:p>
        </w:tc>
        <w:tc>
          <w:tcPr>
            <w:tcW w:w="6.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66E66089" w14:textId="4414DB83" w:rsidR="00570452" w:rsidRPr="00BC43A5" w:rsidRDefault="00570452" w:rsidP="00E61426">
            <w:pPr>
              <w:rPr>
                <w:rFonts w:eastAsia="Times New Roman"/>
                <w:color w:val="000000"/>
                <w:lang w:eastAsia="zh-CN"/>
              </w:rPr>
            </w:pPr>
            <w:r w:rsidRPr="00BE0C98">
              <w:rPr>
                <w:rFonts w:eastAsia="Times New Roman"/>
                <w:color w:val="000000"/>
                <w:lang w:eastAsia="zh-CN"/>
              </w:rPr>
              <w:t>0.91</w:t>
            </w:r>
          </w:p>
          <w:p w14:paraId="2F12674D"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(3.</w:t>
            </w:r>
            <w:r>
              <w:rPr>
                <w:rFonts w:eastAsia="Times New Roman"/>
                <w:color w:val="000000"/>
                <w:lang w:eastAsia="zh-CN"/>
              </w:rPr>
              <w:t>23</w:t>
            </w:r>
            <w:r w:rsidRPr="00BE0C98">
              <w:rPr>
                <w:rFonts w:eastAsia="Times New Roman"/>
                <w:color w:val="000000"/>
                <w:lang w:eastAsia="zh-CN"/>
              </w:rPr>
              <w:t>)</w:t>
            </w:r>
          </w:p>
        </w:tc>
        <w:tc>
          <w:tcPr>
            <w:tcW w:w="5.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7011AE4A" w14:textId="4C2BBF0B"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w:t>
            </w:r>
            <w:r w:rsidR="007B604F">
              <w:rPr>
                <w:rFonts w:eastAsia="Times New Roman"/>
                <w:color w:val="000000"/>
                <w:lang w:eastAsia="zh-CN"/>
              </w:rPr>
              <w:t>3</w:t>
            </w:r>
            <w:r w:rsidRPr="00BE0C98">
              <w:rPr>
                <w:rFonts w:eastAsia="Times New Roman"/>
                <w:color w:val="000000"/>
                <w:lang w:eastAsia="zh-CN"/>
              </w:rPr>
              <w:t>9</w:t>
            </w:r>
          </w:p>
          <w:p w14:paraId="71584B5C"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-1.68</w:t>
            </w:r>
            <w:r w:rsidRPr="00BE0C98">
              <w:rPr>
                <w:rFonts w:eastAsia="Times New Roman"/>
                <w:color w:val="000000"/>
                <w:lang w:eastAsia="zh-CN"/>
              </w:rPr>
              <w:t>)</w:t>
            </w:r>
          </w:p>
        </w:tc>
        <w:tc>
          <w:tcPr>
            <w:tcW w:w="7.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0D0D0D" w:themeColor="text1" w:themeTint="F2"/>
            </w:tcBorders>
            <w:shd w:val="clear" w:color="auto" w:fill="auto"/>
            <w:vAlign w:val="center"/>
            <w:hideMark/>
          </w:tcPr>
          <w:p w14:paraId="634FF9A3" w14:textId="607C7E30"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0.1</w:t>
            </w:r>
            <w:r w:rsidR="007B604F">
              <w:rPr>
                <w:rFonts w:eastAsia="Times New Roman"/>
                <w:color w:val="000000"/>
                <w:lang w:eastAsia="zh-CN"/>
              </w:rPr>
              <w:t>1</w:t>
            </w:r>
          </w:p>
          <w:p w14:paraId="0E28CDBE"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-3</w:t>
            </w:r>
            <w:r w:rsidRPr="00BE0C98">
              <w:rPr>
                <w:rFonts w:eastAsia="Times New Roman"/>
                <w:color w:val="000000"/>
                <w:lang w:eastAsia="zh-CN"/>
              </w:rPr>
              <w:t>.</w:t>
            </w:r>
            <w:r>
              <w:rPr>
                <w:rFonts w:eastAsia="Times New Roman"/>
                <w:color w:val="000000"/>
                <w:lang w:eastAsia="zh-CN"/>
              </w:rPr>
              <w:t>11</w:t>
            </w:r>
            <w:r w:rsidRPr="00BE0C98">
              <w:rPr>
                <w:rFonts w:eastAsia="Times New Roman"/>
                <w:color w:val="000000"/>
                <w:lang w:eastAsia="zh-CN"/>
              </w:rPr>
              <w:t>)</w:t>
            </w:r>
          </w:p>
        </w:tc>
        <w:tc>
          <w:tcPr>
            <w:tcW w:w="7.0%" w:type="pct"/>
            <w:tcBorders>
              <w:start w:val="double" w:sz="4" w:space="0" w:color="0D0D0D" w:themeColor="text1" w:themeTint="F2"/>
              <w:end w:val="double" w:sz="4" w:space="0" w:color="0D0D0D" w:themeColor="text1" w:themeTint="F2"/>
            </w:tcBorders>
            <w:shd w:val="clear" w:color="auto" w:fill="auto"/>
            <w:vAlign w:val="center"/>
            <w:hideMark/>
          </w:tcPr>
          <w:p w14:paraId="4E69983C" w14:textId="3BF1F18B"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0.39</w:t>
            </w:r>
          </w:p>
          <w:p w14:paraId="44022810"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w:t>
            </w:r>
            <w:r w:rsidRPr="00BE0C98">
              <w:rPr>
                <w:rFonts w:eastAsia="Times New Roman"/>
                <w:color w:val="000000"/>
                <w:lang w:eastAsia="zh-CN"/>
              </w:rPr>
              <w:t>2.5</w:t>
            </w:r>
            <w:r>
              <w:rPr>
                <w:rFonts w:eastAsia="Times New Roman"/>
                <w:color w:val="000000"/>
                <w:lang w:eastAsia="zh-CN"/>
              </w:rPr>
              <w:t>8</w:t>
            </w:r>
            <w:r w:rsidRPr="00BE0C98">
              <w:rPr>
                <w:rFonts w:eastAsia="Times New Roman"/>
                <w:color w:val="000000"/>
                <w:lang w:eastAsia="zh-CN"/>
              </w:rPr>
              <w:t>)</w:t>
            </w:r>
          </w:p>
        </w:tc>
      </w:tr>
      <w:tr w:rsidR="007E29B4" w:rsidRPr="00BC43A5" w14:paraId="117B9862" w14:textId="77777777" w:rsidTr="007B604F">
        <w:trPr>
          <w:trHeight w:hRule="exact" w:val="760"/>
        </w:trPr>
        <w:tc>
          <w:tcPr>
            <w:tcW w:w="3.0%" w:type="pct"/>
            <w:vMerge/>
            <w:tcBorders>
              <w:start w:val="double" w:sz="4" w:space="0" w:color="0D0D0D" w:themeColor="text1" w:themeTint="F2"/>
            </w:tcBorders>
            <w:vAlign w:val="center"/>
            <w:hideMark/>
          </w:tcPr>
          <w:p w14:paraId="08460337" w14:textId="77777777" w:rsidR="00570452" w:rsidRPr="00BE0C98" w:rsidRDefault="00570452" w:rsidP="00E61426">
            <w:pPr>
              <w:rPr>
                <w:rFonts w:eastAsia="Times New Roman"/>
                <w:color w:val="000000"/>
                <w:lang w:eastAsia="zh-CN"/>
              </w:rPr>
            </w:pPr>
          </w:p>
        </w:tc>
        <w:tc>
          <w:tcPr>
            <w:tcW w:w="11.0%" w:type="pct"/>
            <w:gridSpan w:val="2"/>
            <w:tcBorders>
              <w:end w:val="double" w:sz="4" w:space="0" w:color="0D0D0D" w:themeColor="text1" w:themeTint="F2"/>
            </w:tcBorders>
            <w:shd w:val="clear" w:color="auto" w:fill="auto"/>
            <w:vAlign w:val="center"/>
            <w:hideMark/>
          </w:tcPr>
          <w:p w14:paraId="00F603E4" w14:textId="77777777" w:rsidR="00570452" w:rsidRPr="00570452" w:rsidRDefault="00570452" w:rsidP="00E61426">
            <w:pPr>
              <w:rPr>
                <w:rFonts w:eastAsia="Times New Roman"/>
                <w:i/>
                <w:color w:val="000000"/>
                <w:lang w:eastAsia="zh-CN"/>
              </w:rPr>
            </w:pPr>
            <w:r w:rsidRPr="00570452">
              <w:rPr>
                <w:rFonts w:eastAsia="Times New Roman"/>
                <w:i/>
                <w:color w:val="000000"/>
                <w:lang w:eastAsia="zh-CN"/>
              </w:rPr>
              <w:t>Bicycle</w:t>
            </w:r>
          </w:p>
        </w:tc>
        <w:tc>
          <w:tcPr>
            <w:tcW w:w="7.0%" w:type="pct"/>
            <w:tcBorders>
              <w:start w:val="double" w:sz="4" w:space="0" w:color="0D0D0D" w:themeColor="text1" w:themeTint="F2"/>
            </w:tcBorders>
            <w:shd w:val="clear" w:color="auto" w:fill="auto"/>
            <w:vAlign w:val="center"/>
            <w:hideMark/>
          </w:tcPr>
          <w:p w14:paraId="78FFEA10"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p>
        </w:tc>
        <w:tc>
          <w:tcPr>
            <w:tcW w:w="7.0%" w:type="pct"/>
            <w:tcBorders>
              <w:end w:val="double" w:sz="4" w:space="0" w:color="0D0D0D" w:themeColor="text1" w:themeTint="F2"/>
            </w:tcBorders>
            <w:shd w:val="clear" w:color="auto" w:fill="auto"/>
            <w:vAlign w:val="center"/>
            <w:hideMark/>
          </w:tcPr>
          <w:p w14:paraId="0CC35669"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p>
        </w:tc>
        <w:tc>
          <w:tcPr>
            <w:tcW w:w="6.0%" w:type="pct"/>
            <w:tcBorders>
              <w:top w:val="single" w:sz="4" w:space="0" w:color="BFBFBF" w:themeColor="background1" w:themeShade="BF"/>
              <w:start w:val="double" w:sz="4" w:space="0" w:color="0D0D0D" w:themeColor="text1" w:themeTint="F2"/>
              <w:bottom w:val="single" w:sz="4" w:space="0" w:color="BFBFBF" w:themeColor="background1" w:themeShade="BF"/>
              <w:end w:val="single" w:sz="4" w:space="0" w:color="BFBFBF" w:themeColor="background1" w:themeShade="BF"/>
            </w:tcBorders>
            <w:shd w:val="clear" w:color="auto" w:fill="auto"/>
            <w:vAlign w:val="center"/>
            <w:hideMark/>
          </w:tcPr>
          <w:p w14:paraId="3CD6BD0E" w14:textId="39983E56"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0.7</w:t>
            </w:r>
            <w:r w:rsidR="007B604F">
              <w:rPr>
                <w:rFonts w:eastAsia="Times New Roman"/>
                <w:color w:val="000000"/>
                <w:lang w:eastAsia="zh-CN"/>
              </w:rPr>
              <w:t>8</w:t>
            </w:r>
          </w:p>
          <w:p w14:paraId="151FA3CC"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-1.89)</w:t>
            </w:r>
          </w:p>
        </w:tc>
        <w:tc>
          <w:tcPr>
            <w:tcW w:w="5.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79DB7730" w14:textId="04C227A1"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0.79</w:t>
            </w:r>
          </w:p>
          <w:p w14:paraId="73786179"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w:t>
            </w:r>
            <w:r w:rsidRPr="00BE0C98">
              <w:rPr>
                <w:rFonts w:eastAsia="Times New Roman"/>
                <w:color w:val="000000"/>
                <w:lang w:eastAsia="zh-CN"/>
              </w:rPr>
              <w:t>2</w:t>
            </w:r>
            <w:r>
              <w:rPr>
                <w:rFonts w:eastAsia="Times New Roman"/>
                <w:color w:val="000000"/>
                <w:lang w:eastAsia="zh-CN"/>
              </w:rPr>
              <w:t>.18</w:t>
            </w:r>
            <w:r w:rsidRPr="00BE0C98">
              <w:rPr>
                <w:rFonts w:eastAsia="Times New Roman"/>
                <w:color w:val="000000"/>
                <w:lang w:eastAsia="zh-CN"/>
              </w:rPr>
              <w:t>)</w:t>
            </w:r>
          </w:p>
        </w:tc>
        <w:tc>
          <w:tcPr>
            <w:tcW w:w="7.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0D0D0D" w:themeColor="text1" w:themeTint="F2"/>
            </w:tcBorders>
            <w:shd w:val="clear" w:color="auto" w:fill="auto"/>
            <w:vAlign w:val="center"/>
            <w:hideMark/>
          </w:tcPr>
          <w:p w14:paraId="6C4054AB" w14:textId="77777777" w:rsidR="00570452" w:rsidRPr="00BC43A5" w:rsidRDefault="00570452" w:rsidP="00E61426">
            <w:pPr>
              <w:rPr>
                <w:rFonts w:eastAsia="Times New Roman"/>
                <w:color w:val="000000"/>
                <w:lang w:eastAsia="zh-CN"/>
              </w:rPr>
            </w:pPr>
            <w:r w:rsidRPr="00BE0C98">
              <w:rPr>
                <w:rFonts w:eastAsia="Times New Roman"/>
                <w:color w:val="000000"/>
                <w:lang w:eastAsia="zh-CN"/>
              </w:rPr>
              <w:t>1.78</w:t>
            </w:r>
          </w:p>
          <w:p w14:paraId="7AFD0BBE"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(2.</w:t>
            </w:r>
            <w:r>
              <w:rPr>
                <w:rFonts w:eastAsia="Times New Roman"/>
                <w:color w:val="000000"/>
                <w:lang w:eastAsia="zh-CN"/>
              </w:rPr>
              <w:t>67</w:t>
            </w:r>
            <w:r w:rsidRPr="00BE0C98">
              <w:rPr>
                <w:rFonts w:eastAsia="Times New Roman"/>
                <w:color w:val="000000"/>
                <w:lang w:eastAsia="zh-CN"/>
              </w:rPr>
              <w:t>)</w:t>
            </w:r>
          </w:p>
        </w:tc>
        <w:tc>
          <w:tcPr>
            <w:tcW w:w="6.0%" w:type="pct"/>
            <w:tcBorders>
              <w:top w:val="single" w:sz="4" w:space="0" w:color="BFBFBF" w:themeColor="background1" w:themeShade="BF"/>
              <w:start w:val="double" w:sz="4" w:space="0" w:color="0D0D0D" w:themeColor="text1" w:themeTint="F2"/>
              <w:bottom w:val="single" w:sz="4" w:space="0" w:color="BFBFBF" w:themeColor="background1" w:themeShade="BF"/>
              <w:end w:val="single" w:sz="4" w:space="0" w:color="BFBFBF" w:themeColor="background1" w:themeShade="BF"/>
            </w:tcBorders>
            <w:shd w:val="clear" w:color="auto" w:fill="auto"/>
            <w:vAlign w:val="center"/>
            <w:hideMark/>
          </w:tcPr>
          <w:p w14:paraId="58B88051" w14:textId="014F56D4" w:rsidR="00570452" w:rsidRPr="00BC43A5" w:rsidRDefault="00570452" w:rsidP="00E61426">
            <w:pPr>
              <w:rPr>
                <w:rFonts w:eastAsia="Times New Roman"/>
                <w:color w:val="000000"/>
                <w:lang w:eastAsia="zh-CN"/>
              </w:rPr>
            </w:pPr>
            <w:r w:rsidRPr="00BE0C98">
              <w:rPr>
                <w:rFonts w:eastAsia="Times New Roman"/>
                <w:color w:val="000000"/>
                <w:lang w:eastAsia="zh-CN"/>
              </w:rPr>
              <w:t>-0.1</w:t>
            </w:r>
            <w:r w:rsidR="007B604F">
              <w:rPr>
                <w:rFonts w:eastAsia="Times New Roman"/>
                <w:color w:val="000000"/>
                <w:lang w:eastAsia="zh-CN"/>
              </w:rPr>
              <w:t>4</w:t>
            </w:r>
          </w:p>
          <w:p w14:paraId="391F8CDA"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(-1.8</w:t>
            </w:r>
            <w:r>
              <w:rPr>
                <w:rFonts w:eastAsia="Times New Roman"/>
                <w:color w:val="000000"/>
                <w:lang w:eastAsia="zh-CN"/>
              </w:rPr>
              <w:t>2</w:t>
            </w:r>
            <w:r w:rsidRPr="00BE0C98">
              <w:rPr>
                <w:rFonts w:eastAsia="Times New Roman"/>
                <w:color w:val="000000"/>
                <w:lang w:eastAsia="zh-CN"/>
              </w:rPr>
              <w:t>)</w:t>
            </w:r>
          </w:p>
        </w:tc>
        <w:tc>
          <w:tcPr>
            <w:tcW w:w="6.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0A6B507B" w14:textId="69EBFE73"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0.17</w:t>
            </w:r>
          </w:p>
          <w:p w14:paraId="51FB2486"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w:t>
            </w:r>
            <w:r w:rsidRPr="00BE0C98">
              <w:rPr>
                <w:rFonts w:eastAsia="Times New Roman"/>
                <w:color w:val="000000"/>
                <w:lang w:eastAsia="zh-CN"/>
              </w:rPr>
              <w:t>3.</w:t>
            </w:r>
            <w:r>
              <w:rPr>
                <w:rFonts w:eastAsia="Times New Roman"/>
                <w:color w:val="000000"/>
                <w:lang w:eastAsia="zh-CN"/>
              </w:rPr>
              <w:t>77</w:t>
            </w:r>
            <w:r w:rsidRPr="00BE0C98">
              <w:rPr>
                <w:rFonts w:eastAsia="Times New Roman"/>
                <w:color w:val="000000"/>
                <w:lang w:eastAsia="zh-CN"/>
              </w:rPr>
              <w:t>)</w:t>
            </w:r>
          </w:p>
        </w:tc>
        <w:tc>
          <w:tcPr>
            <w:tcW w:w="6.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2AB4F81B" w14:textId="59010517" w:rsidR="00570452" w:rsidRPr="00BC43A5" w:rsidRDefault="00570452" w:rsidP="00E61426">
            <w:pPr>
              <w:rPr>
                <w:rFonts w:eastAsia="Times New Roman"/>
                <w:color w:val="000000"/>
                <w:lang w:eastAsia="zh-CN"/>
              </w:rPr>
            </w:pPr>
            <w:r w:rsidRPr="00BE0C98">
              <w:rPr>
                <w:rFonts w:eastAsia="Times New Roman"/>
                <w:color w:val="000000"/>
                <w:lang w:eastAsia="zh-CN"/>
              </w:rPr>
              <w:t>0.5</w:t>
            </w:r>
            <w:r w:rsidR="007B604F">
              <w:rPr>
                <w:rFonts w:eastAsia="Times New Roman"/>
                <w:color w:val="000000"/>
                <w:lang w:eastAsia="zh-CN"/>
              </w:rPr>
              <w:t>1</w:t>
            </w:r>
          </w:p>
          <w:p w14:paraId="7B9EEBF6"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(2.</w:t>
            </w:r>
            <w:r>
              <w:rPr>
                <w:rFonts w:eastAsia="Times New Roman"/>
                <w:color w:val="000000"/>
                <w:lang w:eastAsia="zh-CN"/>
              </w:rPr>
              <w:t>38</w:t>
            </w:r>
            <w:r w:rsidRPr="00BE0C98">
              <w:rPr>
                <w:rFonts w:eastAsia="Times New Roman"/>
                <w:color w:val="000000"/>
                <w:lang w:eastAsia="zh-CN"/>
              </w:rPr>
              <w:t>)</w:t>
            </w:r>
          </w:p>
        </w:tc>
        <w:tc>
          <w:tcPr>
            <w:tcW w:w="6.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1ACF3980" w14:textId="71857F12" w:rsidR="00570452" w:rsidRPr="00BC43A5" w:rsidRDefault="00570452" w:rsidP="00E61426">
            <w:pPr>
              <w:rPr>
                <w:rFonts w:eastAsia="Times New Roman"/>
                <w:color w:val="000000"/>
                <w:lang w:eastAsia="zh-CN"/>
              </w:rPr>
            </w:pPr>
            <w:r w:rsidRPr="00BE0C98">
              <w:rPr>
                <w:rFonts w:eastAsia="Times New Roman"/>
                <w:color w:val="000000"/>
                <w:lang w:eastAsia="zh-CN"/>
              </w:rPr>
              <w:t>0.</w:t>
            </w:r>
            <w:r w:rsidR="007B604F">
              <w:rPr>
                <w:rFonts w:eastAsia="Times New Roman"/>
                <w:color w:val="000000"/>
                <w:lang w:eastAsia="zh-CN"/>
              </w:rPr>
              <w:t>9</w:t>
            </w:r>
            <w:r w:rsidRPr="00BE0C98">
              <w:rPr>
                <w:rFonts w:eastAsia="Times New Roman"/>
                <w:color w:val="000000"/>
                <w:lang w:eastAsia="zh-CN"/>
              </w:rPr>
              <w:t>1</w:t>
            </w:r>
          </w:p>
          <w:p w14:paraId="1ADDA42A"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(3.</w:t>
            </w:r>
            <w:r>
              <w:rPr>
                <w:rFonts w:eastAsia="Times New Roman"/>
                <w:color w:val="000000"/>
                <w:lang w:eastAsia="zh-CN"/>
              </w:rPr>
              <w:t>23</w:t>
            </w:r>
            <w:r w:rsidRPr="00BE0C98">
              <w:rPr>
                <w:rFonts w:eastAsia="Times New Roman"/>
                <w:color w:val="000000"/>
                <w:lang w:eastAsia="zh-CN"/>
              </w:rPr>
              <w:t>)</w:t>
            </w:r>
          </w:p>
        </w:tc>
        <w:tc>
          <w:tcPr>
            <w:tcW w:w="5.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auto"/>
            <w:vAlign w:val="center"/>
            <w:hideMark/>
          </w:tcPr>
          <w:p w14:paraId="43EFAFBB" w14:textId="2587B9D4"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0.39</w:t>
            </w:r>
          </w:p>
          <w:p w14:paraId="5D3575EB"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-1.68</w:t>
            </w:r>
            <w:r w:rsidRPr="00BE0C98">
              <w:rPr>
                <w:rFonts w:eastAsia="Times New Roman"/>
                <w:color w:val="000000"/>
                <w:lang w:eastAsia="zh-CN"/>
              </w:rPr>
              <w:t>)</w:t>
            </w:r>
          </w:p>
        </w:tc>
        <w:tc>
          <w:tcPr>
            <w:tcW w:w="7.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0D0D0D" w:themeColor="text1" w:themeTint="F2"/>
            </w:tcBorders>
            <w:shd w:val="clear" w:color="auto" w:fill="auto"/>
            <w:vAlign w:val="center"/>
            <w:hideMark/>
          </w:tcPr>
          <w:p w14:paraId="66F9A22B" w14:textId="65C9EDD7"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0.1</w:t>
            </w:r>
            <w:r w:rsidR="007B604F">
              <w:rPr>
                <w:rFonts w:eastAsia="Times New Roman"/>
                <w:color w:val="000000"/>
                <w:lang w:eastAsia="zh-CN"/>
              </w:rPr>
              <w:t>1</w:t>
            </w:r>
          </w:p>
          <w:p w14:paraId="11CF37BF"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-3</w:t>
            </w:r>
            <w:r w:rsidRPr="00BE0C98">
              <w:rPr>
                <w:rFonts w:eastAsia="Times New Roman"/>
                <w:color w:val="000000"/>
                <w:lang w:eastAsia="zh-CN"/>
              </w:rPr>
              <w:t>.</w:t>
            </w:r>
            <w:r>
              <w:rPr>
                <w:rFonts w:eastAsia="Times New Roman"/>
                <w:color w:val="000000"/>
                <w:lang w:eastAsia="zh-CN"/>
              </w:rPr>
              <w:t>11</w:t>
            </w:r>
            <w:r w:rsidRPr="00BE0C98">
              <w:rPr>
                <w:rFonts w:eastAsia="Times New Roman"/>
                <w:color w:val="000000"/>
                <w:lang w:eastAsia="zh-CN"/>
              </w:rPr>
              <w:t>)</w:t>
            </w:r>
          </w:p>
        </w:tc>
        <w:tc>
          <w:tcPr>
            <w:tcW w:w="7.0%" w:type="pct"/>
            <w:tcBorders>
              <w:start w:val="double" w:sz="4" w:space="0" w:color="0D0D0D" w:themeColor="text1" w:themeTint="F2"/>
              <w:end w:val="double" w:sz="4" w:space="0" w:color="0D0D0D" w:themeColor="text1" w:themeTint="F2"/>
            </w:tcBorders>
            <w:shd w:val="clear" w:color="auto" w:fill="auto"/>
            <w:vAlign w:val="center"/>
            <w:hideMark/>
          </w:tcPr>
          <w:p w14:paraId="559A51FC" w14:textId="78F72276"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0.39</w:t>
            </w:r>
          </w:p>
          <w:p w14:paraId="1C4801D9"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w:t>
            </w:r>
            <w:r w:rsidRPr="00BE0C98">
              <w:rPr>
                <w:rFonts w:eastAsia="Times New Roman"/>
                <w:color w:val="000000"/>
                <w:lang w:eastAsia="zh-CN"/>
              </w:rPr>
              <w:t>2.5</w:t>
            </w:r>
            <w:r>
              <w:rPr>
                <w:rFonts w:eastAsia="Times New Roman"/>
                <w:color w:val="000000"/>
                <w:lang w:eastAsia="zh-CN"/>
              </w:rPr>
              <w:t>8</w:t>
            </w:r>
            <w:r w:rsidRPr="00BE0C98">
              <w:rPr>
                <w:rFonts w:eastAsia="Times New Roman"/>
                <w:color w:val="000000"/>
                <w:lang w:eastAsia="zh-CN"/>
              </w:rPr>
              <w:t>)</w:t>
            </w:r>
          </w:p>
        </w:tc>
      </w:tr>
      <w:tr w:rsidR="007E29B4" w:rsidRPr="00BC43A5" w14:paraId="432DD7B5" w14:textId="77777777" w:rsidTr="007B604F">
        <w:trPr>
          <w:trHeight w:hRule="exact" w:val="760"/>
        </w:trPr>
        <w:tc>
          <w:tcPr>
            <w:tcW w:w="3.0%" w:type="pct"/>
            <w:vMerge/>
            <w:tcBorders>
              <w:start w:val="double" w:sz="4" w:space="0" w:color="0D0D0D" w:themeColor="text1" w:themeTint="F2"/>
              <w:bottom w:val="double" w:sz="4" w:space="0" w:color="0D0D0D" w:themeColor="text1" w:themeTint="F2"/>
            </w:tcBorders>
            <w:vAlign w:val="center"/>
            <w:hideMark/>
          </w:tcPr>
          <w:p w14:paraId="4D91A411" w14:textId="77777777" w:rsidR="00570452" w:rsidRPr="00BE0C98" w:rsidRDefault="00570452" w:rsidP="00E61426">
            <w:pPr>
              <w:rPr>
                <w:rFonts w:eastAsia="Times New Roman"/>
                <w:color w:val="000000"/>
                <w:lang w:eastAsia="zh-CN"/>
              </w:rPr>
            </w:pPr>
          </w:p>
        </w:tc>
        <w:tc>
          <w:tcPr>
            <w:tcW w:w="11.0%" w:type="pct"/>
            <w:gridSpan w:val="2"/>
            <w:tcBorders>
              <w:bottom w:val="double" w:sz="4" w:space="0" w:color="0D0D0D" w:themeColor="text1" w:themeTint="F2"/>
              <w:end w:val="double" w:sz="4" w:space="0" w:color="0D0D0D" w:themeColor="text1" w:themeTint="F2"/>
            </w:tcBorders>
            <w:shd w:val="clear" w:color="auto" w:fill="auto"/>
            <w:vAlign w:val="center"/>
            <w:hideMark/>
          </w:tcPr>
          <w:p w14:paraId="6750106B" w14:textId="77777777" w:rsidR="00570452" w:rsidRPr="00570452" w:rsidRDefault="00570452" w:rsidP="00E61426">
            <w:pPr>
              <w:rPr>
                <w:rFonts w:eastAsia="Times New Roman"/>
                <w:i/>
                <w:color w:val="000000"/>
                <w:lang w:eastAsia="zh-CN"/>
              </w:rPr>
            </w:pPr>
            <w:r w:rsidRPr="00570452">
              <w:rPr>
                <w:rFonts w:eastAsia="Times New Roman"/>
                <w:i/>
                <w:color w:val="000000"/>
                <w:lang w:eastAsia="zh-CN"/>
              </w:rPr>
              <w:t>Walking</w:t>
            </w:r>
          </w:p>
        </w:tc>
        <w:tc>
          <w:tcPr>
            <w:tcW w:w="7.0%" w:type="pct"/>
            <w:tcBorders>
              <w:start w:val="double" w:sz="4" w:space="0" w:color="0D0D0D" w:themeColor="text1" w:themeTint="F2"/>
              <w:bottom w:val="double" w:sz="4" w:space="0" w:color="0D0D0D" w:themeColor="text1" w:themeTint="F2"/>
            </w:tcBorders>
            <w:shd w:val="clear" w:color="auto" w:fill="auto"/>
            <w:vAlign w:val="center"/>
            <w:hideMark/>
          </w:tcPr>
          <w:p w14:paraId="0592B676"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p>
        </w:tc>
        <w:tc>
          <w:tcPr>
            <w:tcW w:w="7.0%" w:type="pct"/>
            <w:tcBorders>
              <w:bottom w:val="double" w:sz="4" w:space="0" w:color="0D0D0D" w:themeColor="text1" w:themeTint="F2"/>
              <w:end w:val="double" w:sz="4" w:space="0" w:color="0D0D0D" w:themeColor="text1" w:themeTint="F2"/>
            </w:tcBorders>
            <w:shd w:val="clear" w:color="auto" w:fill="auto"/>
            <w:vAlign w:val="center"/>
            <w:hideMark/>
          </w:tcPr>
          <w:p w14:paraId="686E7B52" w14:textId="77777777" w:rsidR="00570452" w:rsidRPr="00BC43A5" w:rsidRDefault="00570452" w:rsidP="00E61426">
            <w:pPr>
              <w:rPr>
                <w:rFonts w:eastAsia="Times New Roman"/>
                <w:color w:val="000000"/>
                <w:lang w:eastAsia="zh-CN"/>
              </w:rPr>
            </w:pPr>
            <w:r w:rsidRPr="00BE0C98">
              <w:rPr>
                <w:rFonts w:eastAsia="Times New Roman"/>
                <w:color w:val="000000"/>
                <w:lang w:eastAsia="zh-CN"/>
              </w:rPr>
              <w:t>2.75</w:t>
            </w:r>
          </w:p>
          <w:p w14:paraId="717DEA4D"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(2.</w:t>
            </w:r>
            <w:r>
              <w:rPr>
                <w:rFonts w:eastAsia="Times New Roman"/>
                <w:color w:val="000000"/>
                <w:lang w:eastAsia="zh-CN"/>
              </w:rPr>
              <w:t>13</w:t>
            </w:r>
            <w:r w:rsidRPr="00BE0C98">
              <w:rPr>
                <w:rFonts w:eastAsia="Times New Roman"/>
                <w:color w:val="000000"/>
                <w:lang w:eastAsia="zh-CN"/>
              </w:rPr>
              <w:t>)</w:t>
            </w:r>
          </w:p>
        </w:tc>
        <w:tc>
          <w:tcPr>
            <w:tcW w:w="6.0%" w:type="pct"/>
            <w:tcBorders>
              <w:top w:val="single" w:sz="4" w:space="0" w:color="BFBFBF" w:themeColor="background1" w:themeShade="BF"/>
              <w:start w:val="double" w:sz="4" w:space="0" w:color="0D0D0D" w:themeColor="text1" w:themeTint="F2"/>
              <w:bottom w:val="double" w:sz="4" w:space="0" w:color="0D0D0D" w:themeColor="text1" w:themeTint="F2"/>
              <w:end w:val="single" w:sz="4" w:space="0" w:color="BFBFBF" w:themeColor="background1" w:themeShade="BF"/>
            </w:tcBorders>
            <w:shd w:val="clear" w:color="auto" w:fill="auto"/>
            <w:vAlign w:val="center"/>
            <w:hideMark/>
          </w:tcPr>
          <w:p w14:paraId="0692934C" w14:textId="20A0E477"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0.7</w:t>
            </w:r>
            <w:r w:rsidR="007B604F">
              <w:rPr>
                <w:rFonts w:eastAsia="Times New Roman"/>
                <w:color w:val="000000"/>
                <w:lang w:eastAsia="zh-CN"/>
              </w:rPr>
              <w:t>8</w:t>
            </w:r>
          </w:p>
          <w:p w14:paraId="40297FE2"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-1.89)</w:t>
            </w:r>
          </w:p>
        </w:tc>
        <w:tc>
          <w:tcPr>
            <w:tcW w:w="5.0%" w:type="pct"/>
            <w:tcBorders>
              <w:top w:val="single" w:sz="4" w:space="0" w:color="BFBFBF" w:themeColor="background1" w:themeShade="BF"/>
              <w:start w:val="single" w:sz="4" w:space="0" w:color="BFBFBF" w:themeColor="background1" w:themeShade="BF"/>
              <w:bottom w:val="double" w:sz="4" w:space="0" w:color="0D0D0D" w:themeColor="text1" w:themeTint="F2"/>
              <w:end w:val="single" w:sz="4" w:space="0" w:color="BFBFBF" w:themeColor="background1" w:themeShade="BF"/>
            </w:tcBorders>
            <w:shd w:val="clear" w:color="auto" w:fill="auto"/>
            <w:vAlign w:val="center"/>
            <w:hideMark/>
          </w:tcPr>
          <w:p w14:paraId="131BE090" w14:textId="57697BE0"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0.79</w:t>
            </w:r>
          </w:p>
          <w:p w14:paraId="2F82B786"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w:t>
            </w:r>
            <w:r w:rsidRPr="00BE0C98">
              <w:rPr>
                <w:rFonts w:eastAsia="Times New Roman"/>
                <w:color w:val="000000"/>
                <w:lang w:eastAsia="zh-CN"/>
              </w:rPr>
              <w:t>2</w:t>
            </w:r>
            <w:r>
              <w:rPr>
                <w:rFonts w:eastAsia="Times New Roman"/>
                <w:color w:val="000000"/>
                <w:lang w:eastAsia="zh-CN"/>
              </w:rPr>
              <w:t>.18</w:t>
            </w:r>
            <w:r w:rsidRPr="00BE0C98">
              <w:rPr>
                <w:rFonts w:eastAsia="Times New Roman"/>
                <w:color w:val="000000"/>
                <w:lang w:eastAsia="zh-CN"/>
              </w:rPr>
              <w:t>)</w:t>
            </w:r>
          </w:p>
        </w:tc>
        <w:tc>
          <w:tcPr>
            <w:tcW w:w="7.0%" w:type="pct"/>
            <w:tcBorders>
              <w:top w:val="single" w:sz="4" w:space="0" w:color="BFBFBF" w:themeColor="background1" w:themeShade="BF"/>
              <w:start w:val="single" w:sz="4" w:space="0" w:color="BFBFBF" w:themeColor="background1" w:themeShade="BF"/>
              <w:bottom w:val="double" w:sz="4" w:space="0" w:color="0D0D0D" w:themeColor="text1" w:themeTint="F2"/>
              <w:end w:val="double" w:sz="4" w:space="0" w:color="0D0D0D" w:themeColor="text1" w:themeTint="F2"/>
            </w:tcBorders>
            <w:shd w:val="clear" w:color="auto" w:fill="auto"/>
            <w:vAlign w:val="center"/>
            <w:hideMark/>
          </w:tcPr>
          <w:p w14:paraId="44C766E5" w14:textId="77777777" w:rsidR="00570452" w:rsidRPr="00BC43A5" w:rsidRDefault="00570452" w:rsidP="00E61426">
            <w:pPr>
              <w:rPr>
                <w:rFonts w:eastAsia="Times New Roman"/>
                <w:color w:val="000000"/>
                <w:lang w:eastAsia="zh-CN"/>
              </w:rPr>
            </w:pPr>
            <w:r w:rsidRPr="00BE0C98">
              <w:rPr>
                <w:rFonts w:eastAsia="Times New Roman"/>
                <w:color w:val="000000"/>
                <w:lang w:eastAsia="zh-CN"/>
              </w:rPr>
              <w:t>1.78</w:t>
            </w:r>
          </w:p>
          <w:p w14:paraId="30C34984"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(2.</w:t>
            </w:r>
            <w:r>
              <w:rPr>
                <w:rFonts w:eastAsia="Times New Roman"/>
                <w:color w:val="000000"/>
                <w:lang w:eastAsia="zh-CN"/>
              </w:rPr>
              <w:t>67</w:t>
            </w:r>
            <w:r w:rsidRPr="00BE0C98">
              <w:rPr>
                <w:rFonts w:eastAsia="Times New Roman"/>
                <w:color w:val="000000"/>
                <w:lang w:eastAsia="zh-CN"/>
              </w:rPr>
              <w:t>)</w:t>
            </w:r>
          </w:p>
        </w:tc>
        <w:tc>
          <w:tcPr>
            <w:tcW w:w="6.0%" w:type="pct"/>
            <w:tcBorders>
              <w:top w:val="single" w:sz="4" w:space="0" w:color="BFBFBF" w:themeColor="background1" w:themeShade="BF"/>
              <w:start w:val="double" w:sz="4" w:space="0" w:color="0D0D0D" w:themeColor="text1" w:themeTint="F2"/>
              <w:bottom w:val="double" w:sz="4" w:space="0" w:color="0D0D0D" w:themeColor="text1" w:themeTint="F2"/>
              <w:end w:val="single" w:sz="4" w:space="0" w:color="BFBFBF" w:themeColor="background1" w:themeShade="BF"/>
            </w:tcBorders>
            <w:shd w:val="clear" w:color="auto" w:fill="auto"/>
            <w:vAlign w:val="center"/>
            <w:hideMark/>
          </w:tcPr>
          <w:p w14:paraId="4EE81D20"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p>
        </w:tc>
        <w:tc>
          <w:tcPr>
            <w:tcW w:w="6.0%" w:type="pct"/>
            <w:tcBorders>
              <w:top w:val="single" w:sz="4" w:space="0" w:color="BFBFBF" w:themeColor="background1" w:themeShade="BF"/>
              <w:start w:val="single" w:sz="4" w:space="0" w:color="BFBFBF" w:themeColor="background1" w:themeShade="BF"/>
              <w:bottom w:val="double" w:sz="4" w:space="0" w:color="0D0D0D" w:themeColor="text1" w:themeTint="F2"/>
              <w:end w:val="single" w:sz="4" w:space="0" w:color="BFBFBF" w:themeColor="background1" w:themeShade="BF"/>
            </w:tcBorders>
            <w:shd w:val="clear" w:color="auto" w:fill="auto"/>
            <w:vAlign w:val="center"/>
            <w:hideMark/>
          </w:tcPr>
          <w:p w14:paraId="39B23C1A" w14:textId="1D8D6895"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0.17</w:t>
            </w:r>
          </w:p>
          <w:p w14:paraId="05B8855E"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w:t>
            </w:r>
            <w:r w:rsidRPr="00BE0C98">
              <w:rPr>
                <w:rFonts w:eastAsia="Times New Roman"/>
                <w:color w:val="000000"/>
                <w:lang w:eastAsia="zh-CN"/>
              </w:rPr>
              <w:t>3.</w:t>
            </w:r>
            <w:r>
              <w:rPr>
                <w:rFonts w:eastAsia="Times New Roman"/>
                <w:color w:val="000000"/>
                <w:lang w:eastAsia="zh-CN"/>
              </w:rPr>
              <w:t>77</w:t>
            </w:r>
            <w:r w:rsidRPr="00BE0C98">
              <w:rPr>
                <w:rFonts w:eastAsia="Times New Roman"/>
                <w:color w:val="000000"/>
                <w:lang w:eastAsia="zh-CN"/>
              </w:rPr>
              <w:t>)</w:t>
            </w:r>
          </w:p>
        </w:tc>
        <w:tc>
          <w:tcPr>
            <w:tcW w:w="6.0%" w:type="pct"/>
            <w:tcBorders>
              <w:top w:val="single" w:sz="4" w:space="0" w:color="BFBFBF" w:themeColor="background1" w:themeShade="BF"/>
              <w:start w:val="single" w:sz="4" w:space="0" w:color="BFBFBF" w:themeColor="background1" w:themeShade="BF"/>
              <w:bottom w:val="double" w:sz="4" w:space="0" w:color="0D0D0D" w:themeColor="text1" w:themeTint="F2"/>
              <w:end w:val="single" w:sz="4" w:space="0" w:color="BFBFBF" w:themeColor="background1" w:themeShade="BF"/>
            </w:tcBorders>
            <w:shd w:val="clear" w:color="auto" w:fill="auto"/>
            <w:vAlign w:val="center"/>
            <w:hideMark/>
          </w:tcPr>
          <w:p w14:paraId="12E12B69" w14:textId="7F4FA8C3" w:rsidR="00570452" w:rsidRPr="00BC43A5" w:rsidRDefault="00570452" w:rsidP="00E61426">
            <w:pPr>
              <w:rPr>
                <w:rFonts w:eastAsia="Times New Roman"/>
                <w:color w:val="000000"/>
                <w:lang w:eastAsia="zh-CN"/>
              </w:rPr>
            </w:pPr>
            <w:r w:rsidRPr="00BE0C98">
              <w:rPr>
                <w:rFonts w:eastAsia="Times New Roman"/>
                <w:color w:val="000000"/>
                <w:lang w:eastAsia="zh-CN"/>
              </w:rPr>
              <w:t>0.5</w:t>
            </w:r>
            <w:r w:rsidR="007B604F">
              <w:rPr>
                <w:rFonts w:eastAsia="Times New Roman"/>
                <w:color w:val="000000"/>
                <w:lang w:eastAsia="zh-CN"/>
              </w:rPr>
              <w:t>1</w:t>
            </w:r>
          </w:p>
          <w:p w14:paraId="634B20D3"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(2.</w:t>
            </w:r>
            <w:r>
              <w:rPr>
                <w:rFonts w:eastAsia="Times New Roman"/>
                <w:color w:val="000000"/>
                <w:lang w:eastAsia="zh-CN"/>
              </w:rPr>
              <w:t>38</w:t>
            </w:r>
            <w:r w:rsidRPr="00BE0C98">
              <w:rPr>
                <w:rFonts w:eastAsia="Times New Roman"/>
                <w:color w:val="000000"/>
                <w:lang w:eastAsia="zh-CN"/>
              </w:rPr>
              <w:t>)</w:t>
            </w:r>
          </w:p>
        </w:tc>
        <w:tc>
          <w:tcPr>
            <w:tcW w:w="6.0%" w:type="pct"/>
            <w:tcBorders>
              <w:top w:val="single" w:sz="4" w:space="0" w:color="BFBFBF" w:themeColor="background1" w:themeShade="BF"/>
              <w:start w:val="single" w:sz="4" w:space="0" w:color="BFBFBF" w:themeColor="background1" w:themeShade="BF"/>
              <w:bottom w:val="double" w:sz="4" w:space="0" w:color="0D0D0D" w:themeColor="text1" w:themeTint="F2"/>
              <w:end w:val="single" w:sz="4" w:space="0" w:color="BFBFBF" w:themeColor="background1" w:themeShade="BF"/>
            </w:tcBorders>
            <w:shd w:val="clear" w:color="auto" w:fill="auto"/>
            <w:vAlign w:val="center"/>
            <w:hideMark/>
          </w:tcPr>
          <w:p w14:paraId="54373C02" w14:textId="2968BAFE" w:rsidR="00570452" w:rsidRPr="00BC43A5" w:rsidRDefault="00570452" w:rsidP="00E61426">
            <w:pPr>
              <w:rPr>
                <w:rFonts w:eastAsia="Times New Roman"/>
                <w:color w:val="000000"/>
                <w:lang w:eastAsia="zh-CN"/>
              </w:rPr>
            </w:pPr>
            <w:r w:rsidRPr="00BE0C98">
              <w:rPr>
                <w:rFonts w:eastAsia="Times New Roman"/>
                <w:color w:val="000000"/>
                <w:lang w:eastAsia="zh-CN"/>
              </w:rPr>
              <w:t>0.91</w:t>
            </w:r>
          </w:p>
          <w:p w14:paraId="6605EE25"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(3.</w:t>
            </w:r>
            <w:r>
              <w:rPr>
                <w:rFonts w:eastAsia="Times New Roman"/>
                <w:color w:val="000000"/>
                <w:lang w:eastAsia="zh-CN"/>
              </w:rPr>
              <w:t>23</w:t>
            </w:r>
            <w:r w:rsidRPr="00BE0C98">
              <w:rPr>
                <w:rFonts w:eastAsia="Times New Roman"/>
                <w:color w:val="000000"/>
                <w:lang w:eastAsia="zh-CN"/>
              </w:rPr>
              <w:t>)</w:t>
            </w:r>
          </w:p>
        </w:tc>
        <w:tc>
          <w:tcPr>
            <w:tcW w:w="5.0%" w:type="pct"/>
            <w:tcBorders>
              <w:top w:val="single" w:sz="4" w:space="0" w:color="BFBFBF" w:themeColor="background1" w:themeShade="BF"/>
              <w:start w:val="single" w:sz="4" w:space="0" w:color="BFBFBF" w:themeColor="background1" w:themeShade="BF"/>
              <w:bottom w:val="double" w:sz="4" w:space="0" w:color="0D0D0D" w:themeColor="text1" w:themeTint="F2"/>
              <w:end w:val="single" w:sz="4" w:space="0" w:color="BFBFBF" w:themeColor="background1" w:themeShade="BF"/>
            </w:tcBorders>
            <w:shd w:val="clear" w:color="auto" w:fill="auto"/>
            <w:vAlign w:val="center"/>
            <w:hideMark/>
          </w:tcPr>
          <w:p w14:paraId="0C8DDDFB" w14:textId="31DA7A04"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0.39</w:t>
            </w:r>
          </w:p>
          <w:p w14:paraId="3989A62C"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-1.68</w:t>
            </w:r>
            <w:r w:rsidRPr="00BE0C98">
              <w:rPr>
                <w:rFonts w:eastAsia="Times New Roman"/>
                <w:color w:val="000000"/>
                <w:lang w:eastAsia="zh-CN"/>
              </w:rPr>
              <w:t>)</w:t>
            </w:r>
          </w:p>
        </w:tc>
        <w:tc>
          <w:tcPr>
            <w:tcW w:w="7.0%" w:type="pct"/>
            <w:tcBorders>
              <w:top w:val="single" w:sz="4" w:space="0" w:color="BFBFBF" w:themeColor="background1" w:themeShade="BF"/>
              <w:start w:val="single" w:sz="4" w:space="0" w:color="BFBFBF" w:themeColor="background1" w:themeShade="BF"/>
              <w:bottom w:val="double" w:sz="4" w:space="0" w:color="0D0D0D" w:themeColor="text1" w:themeTint="F2"/>
              <w:end w:val="double" w:sz="4" w:space="0" w:color="0D0D0D" w:themeColor="text1" w:themeTint="F2"/>
            </w:tcBorders>
            <w:shd w:val="clear" w:color="auto" w:fill="auto"/>
            <w:vAlign w:val="center"/>
            <w:hideMark/>
          </w:tcPr>
          <w:p w14:paraId="70B8C477" w14:textId="69C10BEF"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0.1</w:t>
            </w:r>
            <w:r w:rsidR="007B604F">
              <w:rPr>
                <w:rFonts w:eastAsia="Times New Roman"/>
                <w:color w:val="000000"/>
                <w:lang w:eastAsia="zh-CN"/>
              </w:rPr>
              <w:t>1</w:t>
            </w:r>
          </w:p>
          <w:p w14:paraId="7B560B4D"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-3</w:t>
            </w:r>
            <w:r w:rsidRPr="00BE0C98">
              <w:rPr>
                <w:rFonts w:eastAsia="Times New Roman"/>
                <w:color w:val="000000"/>
                <w:lang w:eastAsia="zh-CN"/>
              </w:rPr>
              <w:t>.</w:t>
            </w:r>
            <w:r>
              <w:rPr>
                <w:rFonts w:eastAsia="Times New Roman"/>
                <w:color w:val="000000"/>
                <w:lang w:eastAsia="zh-CN"/>
              </w:rPr>
              <w:t>11</w:t>
            </w:r>
            <w:r w:rsidRPr="00BE0C98">
              <w:rPr>
                <w:rFonts w:eastAsia="Times New Roman"/>
                <w:color w:val="000000"/>
                <w:lang w:eastAsia="zh-CN"/>
              </w:rPr>
              <w:t>)</w:t>
            </w:r>
          </w:p>
        </w:tc>
        <w:tc>
          <w:tcPr>
            <w:tcW w:w="7.0%" w:type="pct"/>
            <w:tcBorders>
              <w:start w:val="double" w:sz="4" w:space="0" w:color="0D0D0D" w:themeColor="text1" w:themeTint="F2"/>
              <w:bottom w:val="double" w:sz="4" w:space="0" w:color="0D0D0D" w:themeColor="text1" w:themeTint="F2"/>
              <w:end w:val="double" w:sz="4" w:space="0" w:color="0D0D0D" w:themeColor="text1" w:themeTint="F2"/>
            </w:tcBorders>
            <w:shd w:val="clear" w:color="auto" w:fill="auto"/>
            <w:vAlign w:val="center"/>
            <w:hideMark/>
          </w:tcPr>
          <w:p w14:paraId="2EFC95C4" w14:textId="2DF3B1C2" w:rsidR="00570452" w:rsidRPr="00BC43A5" w:rsidRDefault="00570452" w:rsidP="00E61426">
            <w:pPr>
              <w:rPr>
                <w:rFonts w:eastAsia="Times New Roman"/>
                <w:color w:val="000000"/>
                <w:lang w:eastAsia="zh-CN"/>
              </w:rPr>
            </w:pPr>
            <w:r>
              <w:rPr>
                <w:rFonts w:eastAsia="Times New Roman"/>
                <w:color w:val="000000"/>
                <w:lang w:eastAsia="zh-CN"/>
              </w:rPr>
              <w:t>-</w:t>
            </w:r>
            <w:r w:rsidRPr="00BE0C98">
              <w:rPr>
                <w:rFonts w:eastAsia="Times New Roman"/>
                <w:color w:val="000000"/>
                <w:lang w:eastAsia="zh-CN"/>
              </w:rPr>
              <w:t>0.39</w:t>
            </w:r>
          </w:p>
          <w:p w14:paraId="2B0A3F5F" w14:textId="77777777" w:rsidR="00570452" w:rsidRPr="00BE0C98" w:rsidRDefault="00570452" w:rsidP="00E61426">
            <w:pPr>
              <w:rPr>
                <w:rFonts w:eastAsia="Times New Roman"/>
                <w:color w:val="000000"/>
                <w:lang w:eastAsia="zh-CN"/>
              </w:rPr>
            </w:pPr>
            <w:r w:rsidRPr="00BE0C98">
              <w:rPr>
                <w:rFonts w:eastAsia="Times New Roman"/>
                <w:color w:val="000000"/>
                <w:lang w:eastAsia="zh-CN"/>
              </w:rPr>
              <w:t>(</w:t>
            </w:r>
            <w:r>
              <w:rPr>
                <w:rFonts w:eastAsia="Times New Roman"/>
                <w:color w:val="000000"/>
                <w:lang w:eastAsia="zh-CN"/>
              </w:rPr>
              <w:t>-</w:t>
            </w:r>
            <w:r w:rsidRPr="00BE0C98">
              <w:rPr>
                <w:rFonts w:eastAsia="Times New Roman"/>
                <w:color w:val="000000"/>
                <w:lang w:eastAsia="zh-CN"/>
              </w:rPr>
              <w:t>2.5</w:t>
            </w:r>
            <w:r>
              <w:rPr>
                <w:rFonts w:eastAsia="Times New Roman"/>
                <w:color w:val="000000"/>
                <w:lang w:eastAsia="zh-CN"/>
              </w:rPr>
              <w:t>8</w:t>
            </w:r>
            <w:r w:rsidRPr="00BE0C98">
              <w:rPr>
                <w:rFonts w:eastAsia="Times New Roman"/>
                <w:color w:val="000000"/>
                <w:lang w:eastAsia="zh-CN"/>
              </w:rPr>
              <w:t>)</w:t>
            </w:r>
          </w:p>
        </w:tc>
      </w:tr>
      <w:bookmarkEnd w:id="1"/>
    </w:tbl>
    <w:p w14:paraId="50B91D6F" w14:textId="77777777" w:rsidR="00570452" w:rsidRDefault="00570452">
      <w:pPr>
        <w:jc w:val="start"/>
        <w:rPr>
          <w:bCs/>
          <w:spacing w:val="-1"/>
          <w:lang w:val="x-none" w:eastAsia="x-none"/>
        </w:rPr>
      </w:pPr>
      <w:r>
        <w:rPr>
          <w:bCs/>
        </w:rPr>
        <w:br w:type="page"/>
      </w:r>
    </w:p>
    <w:p w14:paraId="68AB0DA1" w14:textId="77777777" w:rsidR="00570452" w:rsidRDefault="00570452" w:rsidP="00103DA8">
      <w:pPr>
        <w:pStyle w:val="Plattetekst"/>
        <w:rPr>
          <w:bCs/>
        </w:rPr>
        <w:sectPr w:rsidR="00570452" w:rsidSect="00570452">
          <w:type w:val="continuous"/>
          <w:pgSz w:w="841.90pt" w:h="595.30pt" w:orient="landscape" w:code="9"/>
          <w:pgMar w:top="53.85pt" w:right="72pt" w:bottom="72pt" w:left="54pt" w:header="36pt" w:footer="36pt" w:gutter="0pt"/>
          <w:cols w:space="18pt"/>
          <w:docGrid w:linePitch="360"/>
        </w:sectPr>
      </w:pPr>
    </w:p>
    <w:tbl>
      <w:tblPr>
        <w:tblStyle w:val="Tabelraster"/>
        <w:tblW w:w="100.0%" w:type="pct"/>
        <w:tblBorders>
          <w:top w:val="double" w:sz="4" w:space="0" w:color="auto"/>
          <w:start w:val="double" w:sz="4" w:space="0" w:color="auto"/>
          <w:bottom w:val="double" w:sz="4" w:space="0" w:color="auto"/>
          <w:end w:val="double" w:sz="4" w:space="0" w:color="auto"/>
        </w:tblBorders>
        <w:tblLayout w:type="fixed"/>
        <w:tblLook w:firstRow="1" w:lastRow="0" w:firstColumn="1" w:lastColumn="0" w:noHBand="0" w:noVBand="1"/>
      </w:tblPr>
      <w:tblGrid>
        <w:gridCol w:w="987"/>
        <w:gridCol w:w="1121"/>
        <w:gridCol w:w="1390"/>
        <w:gridCol w:w="986"/>
      </w:tblGrid>
      <w:tr w:rsidR="00E075F7" w:rsidRPr="00EF0945" w14:paraId="45863C9B" w14:textId="77777777" w:rsidTr="00E82693">
        <w:trPr>
          <w:trHeight w:val="170"/>
        </w:trPr>
        <w:tc>
          <w:tcPr>
            <w:tcW w:w="100.0%" w:type="pct"/>
            <w:gridSpan w:val="4"/>
            <w:tcBorders>
              <w:top w:val="double" w:sz="4" w:space="0" w:color="auto"/>
              <w:bottom w:val="double" w:sz="4" w:space="0" w:color="auto"/>
            </w:tcBorders>
            <w:noWrap/>
          </w:tcPr>
          <w:p w14:paraId="1278F61C" w14:textId="77777777" w:rsidR="00E075F7" w:rsidRPr="00A92DA0" w:rsidRDefault="00E075F7" w:rsidP="00E82693">
            <w:pPr>
              <w:rPr>
                <w:rFonts w:ascii="Times New Roman" w:eastAsia="Times New Roman" w:hAnsi="Times New Roman" w:cs="Times New Roman"/>
                <w:b/>
                <w:bCs/>
                <w:sz w:val="16"/>
                <w:szCs w:val="16"/>
                <w:lang w:eastAsia="zh-CN"/>
              </w:rPr>
            </w:pPr>
            <w:bookmarkStart w:id="2" w:name="_Hlk29885139"/>
            <w:r w:rsidRPr="00A92DA0">
              <w:rPr>
                <w:rFonts w:ascii="Times New Roman" w:eastAsia="Times New Roman" w:hAnsi="Times New Roman" w:cs="Times New Roman"/>
                <w:b/>
                <w:bCs/>
                <w:sz w:val="16"/>
                <w:szCs w:val="16"/>
                <w:lang w:eastAsia="zh-CN"/>
              </w:rPr>
              <w:lastRenderedPageBreak/>
              <w:t>TABLE 5.2: ELASTICITIES</w:t>
            </w:r>
          </w:p>
        </w:tc>
      </w:tr>
      <w:tr w:rsidR="00E075F7" w:rsidRPr="00EF0945" w14:paraId="6A72CAC8" w14:textId="77777777" w:rsidTr="00E075F7">
        <w:trPr>
          <w:trHeight w:val="170"/>
        </w:trPr>
        <w:tc>
          <w:tcPr>
            <w:tcW w:w="78.0%" w:type="pct"/>
            <w:gridSpan w:val="3"/>
            <w:tcBorders>
              <w:top w:val="double" w:sz="4" w:space="0" w:color="auto"/>
              <w:bottom w:val="double" w:sz="4" w:space="0" w:color="auto"/>
              <w:end w:val="double" w:sz="4" w:space="0" w:color="auto"/>
            </w:tcBorders>
            <w:noWrap/>
          </w:tcPr>
          <w:p w14:paraId="49CFD522" w14:textId="77777777" w:rsidR="00E075F7" w:rsidRPr="00A92DA0" w:rsidRDefault="00E075F7" w:rsidP="00E82693">
            <w:pPr>
              <w:rPr>
                <w:rFonts w:ascii="Times New Roman" w:eastAsia="Times New Roman" w:hAnsi="Times New Roman" w:cs="Times New Roman"/>
                <w:bCs/>
                <w:sz w:val="16"/>
                <w:szCs w:val="16"/>
                <w:lang w:val="en-US" w:eastAsia="zh-CN"/>
              </w:rPr>
            </w:pPr>
            <w:r w:rsidRPr="00A92DA0">
              <w:rPr>
                <w:rFonts w:ascii="Times New Roman" w:eastAsia="Times New Roman" w:hAnsi="Times New Roman" w:cs="Times New Roman"/>
                <w:b/>
                <w:bCs/>
                <w:sz w:val="16"/>
                <w:szCs w:val="16"/>
                <w:lang w:val="en-US" w:eastAsia="zh-CN"/>
              </w:rPr>
              <w:t>Variable</w:t>
            </w:r>
          </w:p>
        </w:tc>
        <w:tc>
          <w:tcPr>
            <w:tcW w:w="21.0%" w:type="pct"/>
            <w:tcBorders>
              <w:top w:val="double" w:sz="4" w:space="0" w:color="auto"/>
              <w:start w:val="double" w:sz="4" w:space="0" w:color="auto"/>
              <w:bottom w:val="double" w:sz="4" w:space="0" w:color="auto"/>
            </w:tcBorders>
            <w:noWrap/>
          </w:tcPr>
          <w:p w14:paraId="4530567D" w14:textId="77777777" w:rsidR="00E075F7" w:rsidRPr="00A92DA0" w:rsidRDefault="00E075F7" w:rsidP="00E075F7">
            <w:pPr>
              <w:rPr>
                <w:rFonts w:ascii="Times New Roman" w:eastAsia="Times New Roman" w:hAnsi="Times New Roman" w:cs="Times New Roman"/>
                <w:b/>
                <w:bCs/>
                <w:sz w:val="16"/>
                <w:szCs w:val="16"/>
                <w:lang w:val="en-US" w:eastAsia="zh-CN"/>
              </w:rPr>
            </w:pPr>
            <w:r w:rsidRPr="00A92DA0">
              <w:rPr>
                <w:rFonts w:ascii="Times New Roman" w:eastAsia="Times New Roman" w:hAnsi="Times New Roman" w:cs="Times New Roman"/>
                <w:b/>
                <w:bCs/>
                <w:sz w:val="16"/>
                <w:szCs w:val="16"/>
                <w:lang w:val="en-US" w:eastAsia="zh-CN"/>
              </w:rPr>
              <w:t>Elasticity</w:t>
            </w:r>
          </w:p>
        </w:tc>
      </w:tr>
      <w:tr w:rsidR="00E075F7" w:rsidRPr="00EF0945" w14:paraId="1D28FED4" w14:textId="77777777" w:rsidTr="00E82693">
        <w:trPr>
          <w:trHeight w:val="170"/>
        </w:trPr>
        <w:tc>
          <w:tcPr>
            <w:tcW w:w="22.0%" w:type="pct"/>
            <w:vMerge w:val="restart"/>
            <w:tcBorders>
              <w:top w:val="double" w:sz="4" w:space="0" w:color="auto"/>
              <w:bottom w:val="single" w:sz="4" w:space="0" w:color="BFBFBF" w:themeColor="background1" w:themeShade="BF"/>
              <w:end w:val="single" w:sz="4" w:space="0" w:color="BFBFBF" w:themeColor="background1" w:themeShade="BF"/>
            </w:tcBorders>
            <w:noWrap/>
            <w:vAlign w:val="center"/>
            <w:hideMark/>
          </w:tcPr>
          <w:p w14:paraId="5F9DEC7A" w14:textId="76D28B1E" w:rsidR="00E075F7" w:rsidRPr="00215BDD" w:rsidRDefault="00E075F7" w:rsidP="00215BDD">
            <w:pPr>
              <w:rPr>
                <w:rFonts w:eastAsia="Times New Roman"/>
                <w:bCs/>
                <w:i/>
                <w:sz w:val="16"/>
                <w:szCs w:val="16"/>
                <w:lang w:val="en-US" w:eastAsia="zh-CN"/>
              </w:rPr>
            </w:pPr>
            <w:r w:rsidRPr="00E075F7">
              <w:rPr>
                <w:rFonts w:eastAsia="Times New Roman"/>
                <w:bCs/>
                <w:i/>
                <w:sz w:val="16"/>
                <w:szCs w:val="16"/>
                <w:lang w:val="en-US" w:eastAsia="zh-CN"/>
              </w:rPr>
              <w:t>Housing costs</w:t>
            </w:r>
          </w:p>
        </w:tc>
        <w:tc>
          <w:tcPr>
            <w:tcW w:w="56.0%" w:type="pct"/>
            <w:gridSpan w:val="2"/>
            <w:tcBorders>
              <w:top w:val="double" w:sz="4" w:space="0" w:color="auto"/>
              <w:start w:val="single" w:sz="4" w:space="0" w:color="BFBFBF" w:themeColor="background1" w:themeShade="BF"/>
              <w:bottom w:val="single" w:sz="4" w:space="0" w:color="BFBFBF" w:themeColor="background1" w:themeShade="BF"/>
              <w:end w:val="double" w:sz="4" w:space="0" w:color="auto"/>
            </w:tcBorders>
            <w:vAlign w:val="center"/>
          </w:tcPr>
          <w:p w14:paraId="4885F4F0"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Current</w:t>
            </w:r>
          </w:p>
        </w:tc>
        <w:tc>
          <w:tcPr>
            <w:tcW w:w="21.0%" w:type="pct"/>
            <w:tcBorders>
              <w:top w:val="double" w:sz="4" w:space="0" w:color="auto"/>
              <w:start w:val="double" w:sz="4" w:space="0" w:color="auto"/>
              <w:bottom w:val="single" w:sz="4" w:space="0" w:color="BFBFBF" w:themeColor="background1" w:themeShade="BF"/>
            </w:tcBorders>
            <w:noWrap/>
            <w:vAlign w:val="center"/>
            <w:hideMark/>
          </w:tcPr>
          <w:p w14:paraId="56127540" w14:textId="77777777" w:rsidR="00E075F7" w:rsidRPr="00A92DA0" w:rsidRDefault="00E075F7" w:rsidP="00E82693">
            <w:pPr>
              <w:rPr>
                <w:rFonts w:ascii="Times New Roman" w:eastAsia="Times New Roman" w:hAnsi="Times New Roman" w:cs="Times New Roman"/>
                <w:bCs/>
                <w:sz w:val="16"/>
                <w:szCs w:val="16"/>
                <w:lang w:val="en-US" w:eastAsia="zh-CN"/>
              </w:rPr>
            </w:pPr>
            <w:r w:rsidRPr="00A92DA0">
              <w:rPr>
                <w:rFonts w:ascii="Times New Roman" w:eastAsia="Times New Roman" w:hAnsi="Times New Roman" w:cs="Times New Roman"/>
                <w:bCs/>
                <w:sz w:val="16"/>
                <w:szCs w:val="16"/>
                <w:lang w:val="en-US" w:eastAsia="zh-CN"/>
              </w:rPr>
              <w:t>-77%</w:t>
            </w:r>
          </w:p>
        </w:tc>
      </w:tr>
      <w:tr w:rsidR="00E075F7" w:rsidRPr="00EF0945" w14:paraId="45583934" w14:textId="77777777" w:rsidTr="00E82693">
        <w:trPr>
          <w:trHeight w:val="170"/>
        </w:trPr>
        <w:tc>
          <w:tcPr>
            <w:tcW w:w="22.0%" w:type="pct"/>
            <w:vMerge/>
            <w:tcBorders>
              <w:top w:val="single" w:sz="4" w:space="0" w:color="BFBFBF" w:themeColor="background1" w:themeShade="BF"/>
              <w:bottom w:val="double" w:sz="4" w:space="0" w:color="auto"/>
              <w:end w:val="single" w:sz="4" w:space="0" w:color="BFBFBF" w:themeColor="background1" w:themeShade="BF"/>
            </w:tcBorders>
            <w:noWrap/>
            <w:vAlign w:val="center"/>
            <w:hideMark/>
          </w:tcPr>
          <w:p w14:paraId="48C4D80B"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56.0%" w:type="pct"/>
            <w:gridSpan w:val="2"/>
            <w:tcBorders>
              <w:top w:val="single" w:sz="4" w:space="0" w:color="BFBFBF" w:themeColor="background1" w:themeShade="BF"/>
              <w:start w:val="single" w:sz="4" w:space="0" w:color="BFBFBF" w:themeColor="background1" w:themeShade="BF"/>
              <w:bottom w:val="double" w:sz="4" w:space="0" w:color="auto"/>
              <w:end w:val="double" w:sz="4" w:space="0" w:color="auto"/>
            </w:tcBorders>
            <w:vAlign w:val="center"/>
          </w:tcPr>
          <w:p w14:paraId="42A0ED58"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Mobility hub</w:t>
            </w:r>
          </w:p>
        </w:tc>
        <w:tc>
          <w:tcPr>
            <w:tcW w:w="21.0%" w:type="pct"/>
            <w:tcBorders>
              <w:top w:val="single" w:sz="4" w:space="0" w:color="BFBFBF" w:themeColor="background1" w:themeShade="BF"/>
              <w:start w:val="double" w:sz="4" w:space="0" w:color="auto"/>
              <w:bottom w:val="double" w:sz="4" w:space="0" w:color="auto"/>
            </w:tcBorders>
            <w:noWrap/>
            <w:vAlign w:val="center"/>
            <w:hideMark/>
          </w:tcPr>
          <w:p w14:paraId="32BE3085" w14:textId="77777777" w:rsidR="00E075F7" w:rsidRPr="00A92DA0" w:rsidRDefault="00E075F7" w:rsidP="00E82693">
            <w:pPr>
              <w:rPr>
                <w:rFonts w:ascii="Times New Roman" w:eastAsia="Times New Roman" w:hAnsi="Times New Roman" w:cs="Times New Roman"/>
                <w:bCs/>
                <w:sz w:val="16"/>
                <w:szCs w:val="16"/>
                <w:lang w:val="en-US" w:eastAsia="zh-CN"/>
              </w:rPr>
            </w:pPr>
            <w:r w:rsidRPr="00A92DA0">
              <w:rPr>
                <w:rFonts w:ascii="Times New Roman" w:eastAsia="Times New Roman" w:hAnsi="Times New Roman" w:cs="Times New Roman"/>
                <w:bCs/>
                <w:sz w:val="16"/>
                <w:szCs w:val="16"/>
                <w:lang w:val="en-US" w:eastAsia="zh-CN"/>
              </w:rPr>
              <w:t>0%</w:t>
            </w:r>
          </w:p>
        </w:tc>
      </w:tr>
      <w:tr w:rsidR="00E075F7" w:rsidRPr="00EF0945" w14:paraId="66FE6642" w14:textId="77777777" w:rsidTr="00E82693">
        <w:trPr>
          <w:trHeight w:val="170"/>
        </w:trPr>
        <w:tc>
          <w:tcPr>
            <w:tcW w:w="22.0%" w:type="pct"/>
            <w:vMerge w:val="restart"/>
            <w:tcBorders>
              <w:top w:val="double" w:sz="4" w:space="0" w:color="auto"/>
              <w:bottom w:val="single" w:sz="4" w:space="0" w:color="BFBFBF" w:themeColor="background1" w:themeShade="BF"/>
              <w:end w:val="single" w:sz="4" w:space="0" w:color="BFBFBF" w:themeColor="background1" w:themeShade="BF"/>
            </w:tcBorders>
            <w:noWrap/>
            <w:vAlign w:val="center"/>
            <w:hideMark/>
          </w:tcPr>
          <w:p w14:paraId="1F3FF6C0" w14:textId="0BF9F043" w:rsidR="00E075F7" w:rsidRPr="00215BDD" w:rsidRDefault="00E075F7" w:rsidP="00215BDD">
            <w:pPr>
              <w:rPr>
                <w:rFonts w:eastAsia="Times New Roman"/>
                <w:bCs/>
                <w:i/>
                <w:sz w:val="16"/>
                <w:szCs w:val="16"/>
                <w:lang w:val="en-US" w:eastAsia="zh-CN"/>
              </w:rPr>
            </w:pPr>
            <w:r w:rsidRPr="00E075F7">
              <w:rPr>
                <w:rFonts w:eastAsia="Times New Roman"/>
                <w:bCs/>
                <w:i/>
                <w:sz w:val="16"/>
                <w:szCs w:val="16"/>
                <w:lang w:val="en-US" w:eastAsia="zh-CN"/>
              </w:rPr>
              <w:t>Travel costs</w:t>
            </w:r>
          </w:p>
        </w:tc>
        <w:tc>
          <w:tcPr>
            <w:tcW w:w="25.0%" w:type="pct"/>
            <w:vMerge w:val="restart"/>
            <w:tcBorders>
              <w:top w:val="double" w:sz="4" w:space="0" w:color="auto"/>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73E9F738"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Current</w:t>
            </w:r>
          </w:p>
        </w:tc>
        <w:tc>
          <w:tcPr>
            <w:tcW w:w="31.0%" w:type="pct"/>
            <w:tcBorders>
              <w:top w:val="double" w:sz="4" w:space="0" w:color="auto"/>
              <w:start w:val="single" w:sz="4" w:space="0" w:color="BFBFBF" w:themeColor="background1" w:themeShade="BF"/>
              <w:bottom w:val="single" w:sz="4" w:space="0" w:color="BFBFBF" w:themeColor="background1" w:themeShade="BF"/>
              <w:end w:val="double" w:sz="4" w:space="0" w:color="auto"/>
            </w:tcBorders>
            <w:vAlign w:val="center"/>
          </w:tcPr>
          <w:p w14:paraId="71BE0684"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Car</w:t>
            </w:r>
          </w:p>
        </w:tc>
        <w:tc>
          <w:tcPr>
            <w:tcW w:w="21.0%" w:type="pct"/>
            <w:tcBorders>
              <w:top w:val="double" w:sz="4" w:space="0" w:color="auto"/>
              <w:start w:val="double" w:sz="4" w:space="0" w:color="auto"/>
              <w:bottom w:val="single" w:sz="4" w:space="0" w:color="BFBFBF" w:themeColor="background1" w:themeShade="BF"/>
            </w:tcBorders>
            <w:noWrap/>
            <w:vAlign w:val="center"/>
            <w:hideMark/>
          </w:tcPr>
          <w:p w14:paraId="220CFACE" w14:textId="77777777" w:rsidR="00E075F7" w:rsidRPr="00A92DA0" w:rsidRDefault="00E075F7" w:rsidP="00E82693">
            <w:pPr>
              <w:rPr>
                <w:rFonts w:ascii="Times New Roman" w:eastAsia="Times New Roman" w:hAnsi="Times New Roman" w:cs="Times New Roman"/>
                <w:bCs/>
                <w:sz w:val="16"/>
                <w:szCs w:val="16"/>
                <w:lang w:val="en-US" w:eastAsia="zh-CN"/>
              </w:rPr>
            </w:pPr>
            <w:r w:rsidRPr="00A92DA0">
              <w:rPr>
                <w:rFonts w:ascii="Times New Roman" w:eastAsia="Times New Roman" w:hAnsi="Times New Roman" w:cs="Times New Roman"/>
                <w:bCs/>
                <w:sz w:val="16"/>
                <w:szCs w:val="16"/>
                <w:lang w:val="en-US" w:eastAsia="zh-CN"/>
              </w:rPr>
              <w:t>-13%</w:t>
            </w:r>
          </w:p>
        </w:tc>
      </w:tr>
      <w:tr w:rsidR="00E075F7" w:rsidRPr="00EF0945" w14:paraId="614C5EA2" w14:textId="77777777" w:rsidTr="00E82693">
        <w:trPr>
          <w:trHeight w:val="170"/>
        </w:trPr>
        <w:tc>
          <w:tcPr>
            <w:tcW w:w="22.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noWrap/>
            <w:vAlign w:val="center"/>
          </w:tcPr>
          <w:p w14:paraId="48A5DF5F"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25.0%" w:type="pct"/>
            <w:vMerge/>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1E7720D9"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31.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5B33D66F"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Public transport</w:t>
            </w:r>
          </w:p>
        </w:tc>
        <w:tc>
          <w:tcPr>
            <w:tcW w:w="21.0%" w:type="pct"/>
            <w:tcBorders>
              <w:top w:val="single" w:sz="4" w:space="0" w:color="BFBFBF" w:themeColor="background1" w:themeShade="BF"/>
              <w:start w:val="double" w:sz="4" w:space="0" w:color="auto"/>
              <w:bottom w:val="single" w:sz="4" w:space="0" w:color="BFBFBF" w:themeColor="background1" w:themeShade="BF"/>
            </w:tcBorders>
            <w:noWrap/>
            <w:vAlign w:val="center"/>
            <w:hideMark/>
          </w:tcPr>
          <w:p w14:paraId="6EB6439A" w14:textId="77777777" w:rsidR="00E075F7" w:rsidRPr="00A92DA0" w:rsidRDefault="00E075F7" w:rsidP="00E82693">
            <w:pPr>
              <w:rPr>
                <w:rFonts w:ascii="Times New Roman" w:eastAsia="Times New Roman" w:hAnsi="Times New Roman" w:cs="Times New Roman"/>
                <w:bCs/>
                <w:sz w:val="16"/>
                <w:szCs w:val="16"/>
                <w:lang w:val="en-US" w:eastAsia="zh-CN"/>
              </w:rPr>
            </w:pPr>
            <w:r w:rsidRPr="00A92DA0">
              <w:rPr>
                <w:rFonts w:ascii="Times New Roman" w:eastAsia="Times New Roman" w:hAnsi="Times New Roman" w:cs="Times New Roman"/>
                <w:bCs/>
                <w:sz w:val="16"/>
                <w:szCs w:val="16"/>
                <w:lang w:val="en-US" w:eastAsia="zh-CN"/>
              </w:rPr>
              <w:t>-6%</w:t>
            </w:r>
          </w:p>
        </w:tc>
      </w:tr>
      <w:tr w:rsidR="00E075F7" w:rsidRPr="00EF0945" w14:paraId="4EE969CF" w14:textId="77777777" w:rsidTr="00E82693">
        <w:trPr>
          <w:trHeight w:val="170"/>
        </w:trPr>
        <w:tc>
          <w:tcPr>
            <w:tcW w:w="22.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noWrap/>
            <w:vAlign w:val="center"/>
          </w:tcPr>
          <w:p w14:paraId="49D75813"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25.0%" w:type="pct"/>
            <w:vMerge w:val="restar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655AA7F8"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Mobility hub</w:t>
            </w:r>
          </w:p>
        </w:tc>
        <w:tc>
          <w:tcPr>
            <w:tcW w:w="31.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61EAB17B"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Car</w:t>
            </w:r>
          </w:p>
        </w:tc>
        <w:tc>
          <w:tcPr>
            <w:tcW w:w="21.0%" w:type="pct"/>
            <w:tcBorders>
              <w:top w:val="single" w:sz="4" w:space="0" w:color="BFBFBF" w:themeColor="background1" w:themeShade="BF"/>
              <w:start w:val="double" w:sz="4" w:space="0" w:color="auto"/>
              <w:bottom w:val="single" w:sz="4" w:space="0" w:color="BFBFBF" w:themeColor="background1" w:themeShade="BF"/>
            </w:tcBorders>
            <w:noWrap/>
            <w:vAlign w:val="center"/>
            <w:hideMark/>
          </w:tcPr>
          <w:p w14:paraId="03A7941A" w14:textId="77777777" w:rsidR="00E075F7" w:rsidRPr="00A92DA0" w:rsidRDefault="00E075F7" w:rsidP="00E82693">
            <w:pPr>
              <w:rPr>
                <w:rFonts w:ascii="Times New Roman" w:eastAsia="Times New Roman" w:hAnsi="Times New Roman" w:cs="Times New Roman"/>
                <w:bCs/>
                <w:sz w:val="16"/>
                <w:szCs w:val="16"/>
                <w:lang w:val="en-US" w:eastAsia="zh-CN"/>
              </w:rPr>
            </w:pPr>
            <w:r w:rsidRPr="00A92DA0">
              <w:rPr>
                <w:rFonts w:ascii="Times New Roman" w:eastAsia="Times New Roman" w:hAnsi="Times New Roman" w:cs="Times New Roman"/>
                <w:bCs/>
                <w:sz w:val="16"/>
                <w:szCs w:val="16"/>
                <w:lang w:val="en-US" w:eastAsia="zh-CN"/>
              </w:rPr>
              <w:t>-29%</w:t>
            </w:r>
          </w:p>
        </w:tc>
      </w:tr>
      <w:tr w:rsidR="00E075F7" w:rsidRPr="00EF0945" w14:paraId="7307A949" w14:textId="77777777" w:rsidTr="00E82693">
        <w:trPr>
          <w:trHeight w:val="170"/>
        </w:trPr>
        <w:tc>
          <w:tcPr>
            <w:tcW w:w="22.0%" w:type="pct"/>
            <w:vMerge/>
            <w:tcBorders>
              <w:top w:val="single" w:sz="4" w:space="0" w:color="BFBFBF" w:themeColor="background1" w:themeShade="BF"/>
              <w:bottom w:val="double" w:sz="4" w:space="0" w:color="auto"/>
              <w:end w:val="single" w:sz="4" w:space="0" w:color="BFBFBF" w:themeColor="background1" w:themeShade="BF"/>
            </w:tcBorders>
            <w:noWrap/>
            <w:vAlign w:val="center"/>
          </w:tcPr>
          <w:p w14:paraId="6B8D0529"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25.0%" w:type="pct"/>
            <w:vMerge/>
            <w:tcBorders>
              <w:top w:val="single" w:sz="4" w:space="0" w:color="BFBFBF" w:themeColor="background1" w:themeShade="BF"/>
              <w:start w:val="single" w:sz="4" w:space="0" w:color="BFBFBF" w:themeColor="background1" w:themeShade="BF"/>
              <w:bottom w:val="double" w:sz="4" w:space="0" w:color="auto"/>
              <w:end w:val="single" w:sz="4" w:space="0" w:color="BFBFBF" w:themeColor="background1" w:themeShade="BF"/>
            </w:tcBorders>
            <w:vAlign w:val="center"/>
          </w:tcPr>
          <w:p w14:paraId="1C0BE35E"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31.0%" w:type="pct"/>
            <w:tcBorders>
              <w:top w:val="single" w:sz="4" w:space="0" w:color="BFBFBF" w:themeColor="background1" w:themeShade="BF"/>
              <w:start w:val="single" w:sz="4" w:space="0" w:color="BFBFBF" w:themeColor="background1" w:themeShade="BF"/>
              <w:bottom w:val="double" w:sz="4" w:space="0" w:color="auto"/>
              <w:end w:val="double" w:sz="4" w:space="0" w:color="auto"/>
            </w:tcBorders>
            <w:vAlign w:val="center"/>
          </w:tcPr>
          <w:p w14:paraId="0F1E4F2A"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Public transport</w:t>
            </w:r>
          </w:p>
        </w:tc>
        <w:tc>
          <w:tcPr>
            <w:tcW w:w="21.0%" w:type="pct"/>
            <w:tcBorders>
              <w:top w:val="single" w:sz="4" w:space="0" w:color="BFBFBF" w:themeColor="background1" w:themeShade="BF"/>
              <w:start w:val="double" w:sz="4" w:space="0" w:color="auto"/>
              <w:bottom w:val="double" w:sz="4" w:space="0" w:color="auto"/>
            </w:tcBorders>
            <w:noWrap/>
            <w:vAlign w:val="center"/>
            <w:hideMark/>
          </w:tcPr>
          <w:p w14:paraId="18CFB2B6" w14:textId="77777777" w:rsidR="00E075F7" w:rsidRPr="00A92DA0" w:rsidRDefault="00E075F7" w:rsidP="00E82693">
            <w:pPr>
              <w:rPr>
                <w:rFonts w:ascii="Times New Roman" w:eastAsia="Times New Roman" w:hAnsi="Times New Roman" w:cs="Times New Roman"/>
                <w:bCs/>
                <w:sz w:val="16"/>
                <w:szCs w:val="16"/>
                <w:lang w:val="en-US" w:eastAsia="zh-CN"/>
              </w:rPr>
            </w:pPr>
            <w:r w:rsidRPr="00A92DA0">
              <w:rPr>
                <w:rFonts w:ascii="Times New Roman" w:eastAsia="Times New Roman" w:hAnsi="Times New Roman" w:cs="Times New Roman"/>
                <w:bCs/>
                <w:sz w:val="16"/>
                <w:szCs w:val="16"/>
                <w:lang w:val="en-US" w:eastAsia="zh-CN"/>
              </w:rPr>
              <w:t>-42%</w:t>
            </w:r>
          </w:p>
        </w:tc>
      </w:tr>
      <w:tr w:rsidR="00E075F7" w:rsidRPr="00EF0945" w14:paraId="51E31C83" w14:textId="77777777" w:rsidTr="00E82693">
        <w:trPr>
          <w:trHeight w:val="170"/>
        </w:trPr>
        <w:tc>
          <w:tcPr>
            <w:tcW w:w="22.0%" w:type="pct"/>
            <w:vMerge w:val="restart"/>
            <w:tcBorders>
              <w:top w:val="double" w:sz="4" w:space="0" w:color="auto"/>
              <w:bottom w:val="single" w:sz="4" w:space="0" w:color="BFBFBF" w:themeColor="background1" w:themeShade="BF"/>
              <w:end w:val="single" w:sz="4" w:space="0" w:color="BFBFBF" w:themeColor="background1" w:themeShade="BF"/>
            </w:tcBorders>
            <w:noWrap/>
            <w:vAlign w:val="center"/>
            <w:hideMark/>
          </w:tcPr>
          <w:p w14:paraId="0DEAA710" w14:textId="0BD4F968" w:rsidR="00E075F7" w:rsidRPr="00215BDD" w:rsidRDefault="00E075F7" w:rsidP="00215BDD">
            <w:pPr>
              <w:rPr>
                <w:rFonts w:eastAsia="Times New Roman"/>
                <w:bCs/>
                <w:i/>
                <w:sz w:val="16"/>
                <w:szCs w:val="16"/>
                <w:lang w:val="en-US" w:eastAsia="zh-CN"/>
              </w:rPr>
            </w:pPr>
            <w:r w:rsidRPr="00E075F7">
              <w:rPr>
                <w:rFonts w:eastAsia="Times New Roman"/>
                <w:bCs/>
                <w:i/>
                <w:sz w:val="16"/>
                <w:szCs w:val="16"/>
                <w:lang w:val="en-US" w:eastAsia="zh-CN"/>
              </w:rPr>
              <w:t>Travel time</w:t>
            </w:r>
          </w:p>
        </w:tc>
        <w:tc>
          <w:tcPr>
            <w:tcW w:w="25.0%" w:type="pct"/>
            <w:vMerge w:val="restart"/>
            <w:tcBorders>
              <w:top w:val="double" w:sz="4" w:space="0" w:color="auto"/>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7E17BCB8"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Current</w:t>
            </w:r>
          </w:p>
        </w:tc>
        <w:tc>
          <w:tcPr>
            <w:tcW w:w="31.0%" w:type="pct"/>
            <w:tcBorders>
              <w:top w:val="double" w:sz="4" w:space="0" w:color="auto"/>
              <w:start w:val="single" w:sz="4" w:space="0" w:color="BFBFBF" w:themeColor="background1" w:themeShade="BF"/>
              <w:bottom w:val="single" w:sz="4" w:space="0" w:color="BFBFBF" w:themeColor="background1" w:themeShade="BF"/>
              <w:end w:val="double" w:sz="4" w:space="0" w:color="auto"/>
            </w:tcBorders>
            <w:vAlign w:val="center"/>
          </w:tcPr>
          <w:p w14:paraId="6FAFC99D"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Car</w:t>
            </w:r>
          </w:p>
        </w:tc>
        <w:tc>
          <w:tcPr>
            <w:tcW w:w="21.0%" w:type="pct"/>
            <w:tcBorders>
              <w:top w:val="double" w:sz="4" w:space="0" w:color="auto"/>
              <w:start w:val="double" w:sz="4" w:space="0" w:color="auto"/>
              <w:bottom w:val="single" w:sz="4" w:space="0" w:color="BFBFBF" w:themeColor="background1" w:themeShade="BF"/>
            </w:tcBorders>
            <w:noWrap/>
            <w:vAlign w:val="center"/>
            <w:hideMark/>
          </w:tcPr>
          <w:p w14:paraId="45D68618" w14:textId="77777777" w:rsidR="00E075F7" w:rsidRPr="00A92DA0" w:rsidRDefault="00E075F7" w:rsidP="00E82693">
            <w:pPr>
              <w:rPr>
                <w:rFonts w:ascii="Times New Roman" w:eastAsia="Times New Roman" w:hAnsi="Times New Roman" w:cs="Times New Roman"/>
                <w:bCs/>
                <w:sz w:val="16"/>
                <w:szCs w:val="16"/>
                <w:lang w:val="en-US" w:eastAsia="zh-CN"/>
              </w:rPr>
            </w:pPr>
            <w:r w:rsidRPr="00A92DA0">
              <w:rPr>
                <w:rFonts w:ascii="Times New Roman" w:eastAsia="Times New Roman" w:hAnsi="Times New Roman" w:cs="Times New Roman"/>
                <w:bCs/>
                <w:sz w:val="16"/>
                <w:szCs w:val="16"/>
                <w:lang w:val="en-US" w:eastAsia="zh-CN"/>
              </w:rPr>
              <w:t>-19%</w:t>
            </w:r>
          </w:p>
        </w:tc>
      </w:tr>
      <w:tr w:rsidR="00E075F7" w:rsidRPr="00EF0945" w14:paraId="232A0072" w14:textId="77777777" w:rsidTr="00E82693">
        <w:trPr>
          <w:trHeight w:val="170"/>
        </w:trPr>
        <w:tc>
          <w:tcPr>
            <w:tcW w:w="22.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noWrap/>
            <w:vAlign w:val="center"/>
          </w:tcPr>
          <w:p w14:paraId="10C9A69C"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25.0%" w:type="pct"/>
            <w:vMerge/>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23095A0F"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31.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38D0AB72"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Public transport</w:t>
            </w:r>
          </w:p>
        </w:tc>
        <w:tc>
          <w:tcPr>
            <w:tcW w:w="21.0%" w:type="pct"/>
            <w:tcBorders>
              <w:top w:val="single" w:sz="4" w:space="0" w:color="BFBFBF" w:themeColor="background1" w:themeShade="BF"/>
              <w:start w:val="double" w:sz="4" w:space="0" w:color="auto"/>
              <w:bottom w:val="single" w:sz="4" w:space="0" w:color="BFBFBF" w:themeColor="background1" w:themeShade="BF"/>
            </w:tcBorders>
            <w:noWrap/>
            <w:vAlign w:val="center"/>
            <w:hideMark/>
          </w:tcPr>
          <w:p w14:paraId="384DFE85" w14:textId="77777777" w:rsidR="00E075F7" w:rsidRPr="00A92DA0" w:rsidRDefault="00E075F7" w:rsidP="00E82693">
            <w:pPr>
              <w:rPr>
                <w:rFonts w:ascii="Times New Roman" w:eastAsia="Times New Roman" w:hAnsi="Times New Roman" w:cs="Times New Roman"/>
                <w:bCs/>
                <w:sz w:val="16"/>
                <w:szCs w:val="16"/>
                <w:lang w:val="en-US" w:eastAsia="zh-CN"/>
              </w:rPr>
            </w:pPr>
            <w:r w:rsidRPr="00A92DA0">
              <w:rPr>
                <w:rFonts w:ascii="Times New Roman" w:eastAsia="Times New Roman" w:hAnsi="Times New Roman" w:cs="Times New Roman"/>
                <w:bCs/>
                <w:sz w:val="16"/>
                <w:szCs w:val="16"/>
                <w:lang w:val="en-US" w:eastAsia="zh-CN"/>
              </w:rPr>
              <w:t>-41%</w:t>
            </w:r>
          </w:p>
        </w:tc>
      </w:tr>
      <w:tr w:rsidR="00E075F7" w:rsidRPr="00EF0945" w14:paraId="53C6B329" w14:textId="77777777" w:rsidTr="00E82693">
        <w:trPr>
          <w:trHeight w:val="170"/>
        </w:trPr>
        <w:tc>
          <w:tcPr>
            <w:tcW w:w="22.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noWrap/>
            <w:vAlign w:val="center"/>
          </w:tcPr>
          <w:p w14:paraId="1D5FDDDF"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25.0%" w:type="pct"/>
            <w:vMerge/>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01CF804B"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31.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10796D47"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Bicycle</w:t>
            </w:r>
          </w:p>
        </w:tc>
        <w:tc>
          <w:tcPr>
            <w:tcW w:w="21.0%" w:type="pct"/>
            <w:tcBorders>
              <w:top w:val="single" w:sz="4" w:space="0" w:color="BFBFBF" w:themeColor="background1" w:themeShade="BF"/>
              <w:start w:val="double" w:sz="4" w:space="0" w:color="auto"/>
              <w:bottom w:val="single" w:sz="4" w:space="0" w:color="BFBFBF" w:themeColor="background1" w:themeShade="BF"/>
            </w:tcBorders>
            <w:noWrap/>
            <w:vAlign w:val="center"/>
            <w:hideMark/>
          </w:tcPr>
          <w:p w14:paraId="1D6200D5" w14:textId="77777777" w:rsidR="00E075F7" w:rsidRPr="00A92DA0" w:rsidRDefault="00E075F7" w:rsidP="00E82693">
            <w:pPr>
              <w:rPr>
                <w:rFonts w:ascii="Times New Roman" w:eastAsia="Times New Roman" w:hAnsi="Times New Roman" w:cs="Times New Roman"/>
                <w:bCs/>
                <w:sz w:val="16"/>
                <w:szCs w:val="16"/>
                <w:lang w:val="en-US" w:eastAsia="zh-CN"/>
              </w:rPr>
            </w:pPr>
            <w:r w:rsidRPr="00A92DA0">
              <w:rPr>
                <w:rFonts w:ascii="Times New Roman" w:eastAsia="Times New Roman" w:hAnsi="Times New Roman" w:cs="Times New Roman"/>
                <w:bCs/>
                <w:sz w:val="16"/>
                <w:szCs w:val="16"/>
                <w:lang w:val="en-US" w:eastAsia="zh-CN"/>
              </w:rPr>
              <w:t>-38%</w:t>
            </w:r>
          </w:p>
        </w:tc>
      </w:tr>
      <w:tr w:rsidR="00E075F7" w:rsidRPr="00EF0945" w14:paraId="0100AD66" w14:textId="77777777" w:rsidTr="00E82693">
        <w:trPr>
          <w:trHeight w:val="170"/>
        </w:trPr>
        <w:tc>
          <w:tcPr>
            <w:tcW w:w="22.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noWrap/>
            <w:vAlign w:val="center"/>
          </w:tcPr>
          <w:p w14:paraId="08D40630"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25.0%" w:type="pct"/>
            <w:vMerge/>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48FE0E31"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31.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557354D4"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Walking</w:t>
            </w:r>
          </w:p>
        </w:tc>
        <w:tc>
          <w:tcPr>
            <w:tcW w:w="21.0%" w:type="pct"/>
            <w:tcBorders>
              <w:top w:val="single" w:sz="4" w:space="0" w:color="BFBFBF" w:themeColor="background1" w:themeShade="BF"/>
              <w:start w:val="double" w:sz="4" w:space="0" w:color="auto"/>
              <w:bottom w:val="single" w:sz="4" w:space="0" w:color="BFBFBF" w:themeColor="background1" w:themeShade="BF"/>
            </w:tcBorders>
            <w:noWrap/>
            <w:vAlign w:val="center"/>
            <w:hideMark/>
          </w:tcPr>
          <w:p w14:paraId="448A197D" w14:textId="77777777" w:rsidR="00E075F7" w:rsidRPr="00A92DA0" w:rsidRDefault="00E075F7" w:rsidP="00E82693">
            <w:pPr>
              <w:rPr>
                <w:rFonts w:ascii="Times New Roman" w:eastAsia="Times New Roman" w:hAnsi="Times New Roman" w:cs="Times New Roman"/>
                <w:bCs/>
                <w:sz w:val="16"/>
                <w:szCs w:val="16"/>
                <w:lang w:val="en-US" w:eastAsia="zh-CN"/>
              </w:rPr>
            </w:pPr>
            <w:r w:rsidRPr="00A92DA0">
              <w:rPr>
                <w:rFonts w:ascii="Times New Roman" w:eastAsia="Times New Roman" w:hAnsi="Times New Roman" w:cs="Times New Roman"/>
                <w:bCs/>
                <w:sz w:val="16"/>
                <w:szCs w:val="16"/>
                <w:lang w:val="en-US" w:eastAsia="zh-CN"/>
              </w:rPr>
              <w:t>-51%</w:t>
            </w:r>
          </w:p>
        </w:tc>
      </w:tr>
      <w:tr w:rsidR="00E075F7" w:rsidRPr="00EF0945" w14:paraId="3F817A7A" w14:textId="77777777" w:rsidTr="00E82693">
        <w:trPr>
          <w:trHeight w:val="170"/>
        </w:trPr>
        <w:tc>
          <w:tcPr>
            <w:tcW w:w="22.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noWrap/>
            <w:vAlign w:val="center"/>
          </w:tcPr>
          <w:p w14:paraId="1208E57E"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25.0%" w:type="pct"/>
            <w:vMerge w:val="restar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7A58D888"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Mobility hub</w:t>
            </w:r>
          </w:p>
        </w:tc>
        <w:tc>
          <w:tcPr>
            <w:tcW w:w="31.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3D77C2DE"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Car</w:t>
            </w:r>
          </w:p>
        </w:tc>
        <w:tc>
          <w:tcPr>
            <w:tcW w:w="21.0%" w:type="pct"/>
            <w:tcBorders>
              <w:top w:val="single" w:sz="4" w:space="0" w:color="BFBFBF" w:themeColor="background1" w:themeShade="BF"/>
              <w:start w:val="double" w:sz="4" w:space="0" w:color="auto"/>
              <w:bottom w:val="single" w:sz="4" w:space="0" w:color="BFBFBF" w:themeColor="background1" w:themeShade="BF"/>
            </w:tcBorders>
            <w:noWrap/>
            <w:vAlign w:val="center"/>
            <w:hideMark/>
          </w:tcPr>
          <w:p w14:paraId="367B9EA2" w14:textId="77777777" w:rsidR="00E075F7" w:rsidRPr="00A92DA0" w:rsidRDefault="00E075F7" w:rsidP="00E82693">
            <w:pPr>
              <w:rPr>
                <w:rFonts w:ascii="Times New Roman" w:eastAsia="Times New Roman" w:hAnsi="Times New Roman" w:cs="Times New Roman"/>
                <w:bCs/>
                <w:sz w:val="16"/>
                <w:szCs w:val="16"/>
                <w:lang w:val="en-US" w:eastAsia="zh-CN"/>
              </w:rPr>
            </w:pPr>
            <w:r w:rsidRPr="00A92DA0">
              <w:rPr>
                <w:rFonts w:ascii="Times New Roman" w:eastAsia="Times New Roman" w:hAnsi="Times New Roman" w:cs="Times New Roman"/>
                <w:bCs/>
                <w:sz w:val="16"/>
                <w:szCs w:val="16"/>
                <w:lang w:val="en-US" w:eastAsia="zh-CN"/>
              </w:rPr>
              <w:t>-20%</w:t>
            </w:r>
          </w:p>
        </w:tc>
      </w:tr>
      <w:tr w:rsidR="00E075F7" w:rsidRPr="00EF0945" w14:paraId="2B61091F" w14:textId="77777777" w:rsidTr="00E82693">
        <w:trPr>
          <w:trHeight w:val="170"/>
        </w:trPr>
        <w:tc>
          <w:tcPr>
            <w:tcW w:w="22.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noWrap/>
            <w:vAlign w:val="center"/>
          </w:tcPr>
          <w:p w14:paraId="65447B0D"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25.0%" w:type="pct"/>
            <w:vMerge/>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0F318EAC"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31.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7B3B1401"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Public transport</w:t>
            </w:r>
          </w:p>
        </w:tc>
        <w:tc>
          <w:tcPr>
            <w:tcW w:w="21.0%" w:type="pct"/>
            <w:tcBorders>
              <w:top w:val="single" w:sz="4" w:space="0" w:color="BFBFBF" w:themeColor="background1" w:themeShade="BF"/>
              <w:start w:val="double" w:sz="4" w:space="0" w:color="auto"/>
              <w:bottom w:val="single" w:sz="4" w:space="0" w:color="BFBFBF" w:themeColor="background1" w:themeShade="BF"/>
            </w:tcBorders>
            <w:noWrap/>
            <w:vAlign w:val="center"/>
            <w:hideMark/>
          </w:tcPr>
          <w:p w14:paraId="247B5B0F" w14:textId="77777777" w:rsidR="00E075F7" w:rsidRPr="00A92DA0" w:rsidRDefault="00E075F7" w:rsidP="00E82693">
            <w:pPr>
              <w:rPr>
                <w:rFonts w:ascii="Times New Roman" w:eastAsia="Times New Roman" w:hAnsi="Times New Roman" w:cs="Times New Roman"/>
                <w:bCs/>
                <w:sz w:val="16"/>
                <w:szCs w:val="16"/>
                <w:lang w:val="en-US" w:eastAsia="zh-CN"/>
              </w:rPr>
            </w:pPr>
            <w:r w:rsidRPr="00A92DA0">
              <w:rPr>
                <w:rFonts w:ascii="Times New Roman" w:eastAsia="Times New Roman" w:hAnsi="Times New Roman" w:cs="Times New Roman"/>
                <w:bCs/>
                <w:sz w:val="16"/>
                <w:szCs w:val="16"/>
                <w:lang w:val="en-US" w:eastAsia="zh-CN"/>
              </w:rPr>
              <w:t>-43%</w:t>
            </w:r>
          </w:p>
        </w:tc>
      </w:tr>
      <w:tr w:rsidR="00E075F7" w:rsidRPr="00EF0945" w14:paraId="6603E06E" w14:textId="77777777" w:rsidTr="00E82693">
        <w:trPr>
          <w:trHeight w:val="170"/>
        </w:trPr>
        <w:tc>
          <w:tcPr>
            <w:tcW w:w="22.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noWrap/>
            <w:vAlign w:val="center"/>
          </w:tcPr>
          <w:p w14:paraId="44A7A65B"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25.0%" w:type="pct"/>
            <w:vMerge/>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6EA5BE75"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31.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678880B1"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Bicycle</w:t>
            </w:r>
          </w:p>
        </w:tc>
        <w:tc>
          <w:tcPr>
            <w:tcW w:w="21.0%" w:type="pct"/>
            <w:tcBorders>
              <w:top w:val="single" w:sz="4" w:space="0" w:color="BFBFBF" w:themeColor="background1" w:themeShade="BF"/>
              <w:start w:val="double" w:sz="4" w:space="0" w:color="auto"/>
              <w:bottom w:val="single" w:sz="4" w:space="0" w:color="BFBFBF" w:themeColor="background1" w:themeShade="BF"/>
            </w:tcBorders>
            <w:noWrap/>
            <w:vAlign w:val="center"/>
            <w:hideMark/>
          </w:tcPr>
          <w:p w14:paraId="7ABDFF9B" w14:textId="77777777" w:rsidR="00E075F7" w:rsidRPr="00A92DA0" w:rsidRDefault="00E075F7" w:rsidP="00E82693">
            <w:pPr>
              <w:rPr>
                <w:rFonts w:ascii="Times New Roman" w:eastAsia="Times New Roman" w:hAnsi="Times New Roman" w:cs="Times New Roman"/>
                <w:bCs/>
                <w:sz w:val="16"/>
                <w:szCs w:val="16"/>
                <w:lang w:val="en-US" w:eastAsia="zh-CN"/>
              </w:rPr>
            </w:pPr>
            <w:r w:rsidRPr="00A92DA0">
              <w:rPr>
                <w:rFonts w:ascii="Times New Roman" w:eastAsia="Times New Roman" w:hAnsi="Times New Roman" w:cs="Times New Roman"/>
                <w:bCs/>
                <w:sz w:val="16"/>
                <w:szCs w:val="16"/>
                <w:lang w:val="en-US" w:eastAsia="zh-CN"/>
              </w:rPr>
              <w:t>-44%</w:t>
            </w:r>
          </w:p>
        </w:tc>
      </w:tr>
      <w:tr w:rsidR="00E075F7" w:rsidRPr="00EF0945" w14:paraId="0C7C1B60" w14:textId="77777777" w:rsidTr="00E82693">
        <w:trPr>
          <w:trHeight w:val="170"/>
        </w:trPr>
        <w:tc>
          <w:tcPr>
            <w:tcW w:w="22.0%" w:type="pct"/>
            <w:vMerge/>
            <w:tcBorders>
              <w:top w:val="single" w:sz="4" w:space="0" w:color="BFBFBF" w:themeColor="background1" w:themeShade="BF"/>
              <w:bottom w:val="double" w:sz="4" w:space="0" w:color="auto"/>
              <w:end w:val="single" w:sz="4" w:space="0" w:color="BFBFBF" w:themeColor="background1" w:themeShade="BF"/>
            </w:tcBorders>
            <w:noWrap/>
            <w:vAlign w:val="center"/>
          </w:tcPr>
          <w:p w14:paraId="3DC5D75E"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25.0%" w:type="pct"/>
            <w:vMerge/>
            <w:tcBorders>
              <w:top w:val="single" w:sz="4" w:space="0" w:color="BFBFBF" w:themeColor="background1" w:themeShade="BF"/>
              <w:start w:val="single" w:sz="4" w:space="0" w:color="BFBFBF" w:themeColor="background1" w:themeShade="BF"/>
              <w:bottom w:val="double" w:sz="4" w:space="0" w:color="auto"/>
              <w:end w:val="single" w:sz="4" w:space="0" w:color="BFBFBF" w:themeColor="background1" w:themeShade="BF"/>
            </w:tcBorders>
            <w:vAlign w:val="center"/>
          </w:tcPr>
          <w:p w14:paraId="69E41134"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31.0%" w:type="pct"/>
            <w:tcBorders>
              <w:top w:val="single" w:sz="4" w:space="0" w:color="BFBFBF" w:themeColor="background1" w:themeShade="BF"/>
              <w:start w:val="single" w:sz="4" w:space="0" w:color="BFBFBF" w:themeColor="background1" w:themeShade="BF"/>
              <w:bottom w:val="double" w:sz="4" w:space="0" w:color="auto"/>
              <w:end w:val="double" w:sz="4" w:space="0" w:color="auto"/>
            </w:tcBorders>
            <w:vAlign w:val="center"/>
          </w:tcPr>
          <w:p w14:paraId="6D74F2D8"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Walking</w:t>
            </w:r>
          </w:p>
        </w:tc>
        <w:tc>
          <w:tcPr>
            <w:tcW w:w="21.0%" w:type="pct"/>
            <w:tcBorders>
              <w:top w:val="single" w:sz="4" w:space="0" w:color="BFBFBF" w:themeColor="background1" w:themeShade="BF"/>
              <w:start w:val="double" w:sz="4" w:space="0" w:color="auto"/>
              <w:bottom w:val="double" w:sz="4" w:space="0" w:color="auto"/>
            </w:tcBorders>
            <w:noWrap/>
            <w:vAlign w:val="center"/>
            <w:hideMark/>
          </w:tcPr>
          <w:p w14:paraId="3A954B72" w14:textId="77777777" w:rsidR="00E075F7" w:rsidRPr="00A92DA0" w:rsidRDefault="00E075F7" w:rsidP="00E82693">
            <w:pPr>
              <w:rPr>
                <w:rFonts w:ascii="Times New Roman" w:eastAsia="Times New Roman" w:hAnsi="Times New Roman" w:cs="Times New Roman"/>
                <w:bCs/>
                <w:sz w:val="16"/>
                <w:szCs w:val="16"/>
                <w:lang w:val="en-US" w:eastAsia="zh-CN"/>
              </w:rPr>
            </w:pPr>
            <w:r w:rsidRPr="00A92DA0">
              <w:rPr>
                <w:rFonts w:ascii="Times New Roman" w:eastAsia="Times New Roman" w:hAnsi="Times New Roman" w:cs="Times New Roman"/>
                <w:bCs/>
                <w:sz w:val="16"/>
                <w:szCs w:val="16"/>
                <w:lang w:val="en-US" w:eastAsia="zh-CN"/>
              </w:rPr>
              <w:t>-61%</w:t>
            </w:r>
          </w:p>
        </w:tc>
      </w:tr>
      <w:tr w:rsidR="00E075F7" w:rsidRPr="00EF0945" w14:paraId="4ACEA6C2" w14:textId="77777777" w:rsidTr="00E82693">
        <w:trPr>
          <w:trHeight w:val="170"/>
        </w:trPr>
        <w:tc>
          <w:tcPr>
            <w:tcW w:w="22.0%" w:type="pct"/>
            <w:vMerge w:val="restart"/>
            <w:tcBorders>
              <w:top w:val="double" w:sz="4" w:space="0" w:color="auto"/>
              <w:bottom w:val="single" w:sz="4" w:space="0" w:color="BFBFBF" w:themeColor="background1" w:themeShade="BF"/>
              <w:end w:val="single" w:sz="4" w:space="0" w:color="BFBFBF" w:themeColor="background1" w:themeShade="BF"/>
            </w:tcBorders>
            <w:noWrap/>
            <w:vAlign w:val="center"/>
            <w:hideMark/>
          </w:tcPr>
          <w:p w14:paraId="1032E5E1" w14:textId="538B1BD8" w:rsidR="00E075F7" w:rsidRPr="00E075F7" w:rsidRDefault="00215BDD" w:rsidP="00215BDD">
            <w:pPr>
              <w:rPr>
                <w:rFonts w:ascii="Times New Roman" w:eastAsia="Times New Roman" w:hAnsi="Times New Roman" w:cs="Times New Roman"/>
                <w:bCs/>
                <w:i/>
                <w:sz w:val="16"/>
                <w:szCs w:val="16"/>
                <w:lang w:val="en-US" w:eastAsia="zh-CN"/>
              </w:rPr>
            </w:pPr>
            <w:r>
              <w:rPr>
                <w:rFonts w:eastAsia="Times New Roman"/>
                <w:i/>
                <w:color w:val="000000"/>
                <w:sz w:val="16"/>
                <w:szCs w:val="16"/>
                <w:lang w:val="en-US" w:eastAsia="zh-CN"/>
              </w:rPr>
              <w:t>Travel time</w:t>
            </w:r>
            <w:r w:rsidR="00E075F7" w:rsidRPr="00E075F7">
              <w:rPr>
                <w:rFonts w:eastAsia="Times New Roman"/>
                <w:i/>
                <w:color w:val="000000"/>
                <w:sz w:val="16"/>
                <w:szCs w:val="16"/>
                <w:lang w:val="en-US" w:eastAsia="zh-CN"/>
              </w:rPr>
              <w:br/>
            </w:r>
            <m:oMath>
              <m:r>
                <w:rPr>
                  <w:rFonts w:ascii="Cambria Math" w:eastAsia="Times New Roman" w:hAnsi="Cambria Math"/>
                  <w:color w:val="000000"/>
                  <w:sz w:val="16"/>
                  <w:szCs w:val="16"/>
                  <w:lang w:val="en-US" w:eastAsia="zh-CN"/>
                </w:rPr>
                <m:t>×</m:t>
              </m:r>
            </m:oMath>
            <w:r w:rsidR="00E075F7" w:rsidRPr="00E075F7">
              <w:rPr>
                <w:rFonts w:eastAsia="Times New Roman"/>
                <w:i/>
                <w:color w:val="000000"/>
                <w:sz w:val="16"/>
                <w:szCs w:val="16"/>
                <w:lang w:val="en-US" w:eastAsia="zh-CN"/>
              </w:rPr>
              <w:t xml:space="preserve">  Income </w:t>
            </w:r>
            <w:r w:rsidR="00E075F7" w:rsidRPr="00E075F7">
              <w:rPr>
                <w:rFonts w:eastAsia="Times New Roman"/>
                <w:i/>
                <w:color w:val="000000"/>
                <w:sz w:val="16"/>
                <w:szCs w:val="16"/>
                <w:lang w:val="en-US" w:eastAsia="zh-CN"/>
              </w:rPr>
              <w:br/>
              <w:t>&gt;€40,000</w:t>
            </w:r>
          </w:p>
        </w:tc>
        <w:tc>
          <w:tcPr>
            <w:tcW w:w="25.0%" w:type="pct"/>
            <w:vMerge w:val="restart"/>
            <w:tcBorders>
              <w:top w:val="double" w:sz="4" w:space="0" w:color="auto"/>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0BA99E77"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Current</w:t>
            </w:r>
          </w:p>
        </w:tc>
        <w:tc>
          <w:tcPr>
            <w:tcW w:w="31.0%" w:type="pct"/>
            <w:tcBorders>
              <w:top w:val="double" w:sz="4" w:space="0" w:color="auto"/>
              <w:start w:val="single" w:sz="4" w:space="0" w:color="BFBFBF" w:themeColor="background1" w:themeShade="BF"/>
              <w:bottom w:val="single" w:sz="4" w:space="0" w:color="BFBFBF" w:themeColor="background1" w:themeShade="BF"/>
              <w:end w:val="double" w:sz="4" w:space="0" w:color="auto"/>
            </w:tcBorders>
            <w:vAlign w:val="center"/>
          </w:tcPr>
          <w:p w14:paraId="0530F7C7"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Car</w:t>
            </w:r>
          </w:p>
        </w:tc>
        <w:tc>
          <w:tcPr>
            <w:tcW w:w="21.0%" w:type="pct"/>
            <w:tcBorders>
              <w:top w:val="double" w:sz="4" w:space="0" w:color="auto"/>
              <w:start w:val="double" w:sz="4" w:space="0" w:color="auto"/>
              <w:bottom w:val="single" w:sz="4" w:space="0" w:color="BFBFBF" w:themeColor="background1" w:themeShade="BF"/>
            </w:tcBorders>
            <w:noWrap/>
            <w:vAlign w:val="center"/>
            <w:hideMark/>
          </w:tcPr>
          <w:p w14:paraId="429E37C7" w14:textId="77777777" w:rsidR="00E075F7" w:rsidRPr="00A92DA0" w:rsidRDefault="00E075F7" w:rsidP="00E82693">
            <w:pPr>
              <w:rPr>
                <w:rFonts w:ascii="Times New Roman" w:eastAsia="Times New Roman" w:hAnsi="Times New Roman" w:cs="Times New Roman"/>
                <w:bCs/>
                <w:sz w:val="16"/>
                <w:szCs w:val="16"/>
                <w:lang w:val="en-US" w:eastAsia="zh-CN"/>
              </w:rPr>
            </w:pPr>
            <w:r w:rsidRPr="00A92DA0">
              <w:rPr>
                <w:rFonts w:ascii="Times New Roman" w:eastAsia="Times New Roman" w:hAnsi="Times New Roman" w:cs="Times New Roman"/>
                <w:bCs/>
                <w:sz w:val="16"/>
                <w:szCs w:val="16"/>
                <w:lang w:val="en-US" w:eastAsia="zh-CN"/>
              </w:rPr>
              <w:t>-28%</w:t>
            </w:r>
          </w:p>
        </w:tc>
      </w:tr>
      <w:tr w:rsidR="00E075F7" w:rsidRPr="00EF0945" w14:paraId="328658F3" w14:textId="77777777" w:rsidTr="00E82693">
        <w:trPr>
          <w:trHeight w:val="170"/>
        </w:trPr>
        <w:tc>
          <w:tcPr>
            <w:tcW w:w="22.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noWrap/>
            <w:vAlign w:val="center"/>
          </w:tcPr>
          <w:p w14:paraId="74E035AB"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25.0%" w:type="pct"/>
            <w:vMerge/>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5877CF1D"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31.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07517E41"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Public transport</w:t>
            </w:r>
          </w:p>
        </w:tc>
        <w:tc>
          <w:tcPr>
            <w:tcW w:w="21.0%" w:type="pct"/>
            <w:tcBorders>
              <w:top w:val="single" w:sz="4" w:space="0" w:color="BFBFBF" w:themeColor="background1" w:themeShade="BF"/>
              <w:start w:val="double" w:sz="4" w:space="0" w:color="auto"/>
              <w:bottom w:val="single" w:sz="4" w:space="0" w:color="BFBFBF" w:themeColor="background1" w:themeShade="BF"/>
            </w:tcBorders>
            <w:noWrap/>
            <w:vAlign w:val="center"/>
            <w:hideMark/>
          </w:tcPr>
          <w:p w14:paraId="5C653A9C" w14:textId="77777777" w:rsidR="00E075F7" w:rsidRPr="00A92DA0" w:rsidRDefault="00E075F7" w:rsidP="00E82693">
            <w:pPr>
              <w:rPr>
                <w:rFonts w:ascii="Times New Roman" w:eastAsia="Times New Roman" w:hAnsi="Times New Roman" w:cs="Times New Roman"/>
                <w:bCs/>
                <w:sz w:val="16"/>
                <w:szCs w:val="16"/>
                <w:lang w:val="en-US" w:eastAsia="zh-CN"/>
              </w:rPr>
            </w:pPr>
            <w:r w:rsidRPr="00A92DA0">
              <w:rPr>
                <w:rFonts w:ascii="Times New Roman" w:eastAsia="Times New Roman" w:hAnsi="Times New Roman" w:cs="Times New Roman"/>
                <w:bCs/>
                <w:sz w:val="16"/>
                <w:szCs w:val="16"/>
                <w:lang w:val="en-US" w:eastAsia="zh-CN"/>
              </w:rPr>
              <w:t>-24%</w:t>
            </w:r>
          </w:p>
        </w:tc>
      </w:tr>
      <w:tr w:rsidR="00E075F7" w:rsidRPr="00EF0945" w14:paraId="7A3A60BF" w14:textId="77777777" w:rsidTr="00E82693">
        <w:trPr>
          <w:trHeight w:val="170"/>
        </w:trPr>
        <w:tc>
          <w:tcPr>
            <w:tcW w:w="22.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noWrap/>
            <w:vAlign w:val="center"/>
          </w:tcPr>
          <w:p w14:paraId="670F39CB"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25.0%" w:type="pct"/>
            <w:vMerge/>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4E290094"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31.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160813D2"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Bicycle</w:t>
            </w:r>
          </w:p>
        </w:tc>
        <w:tc>
          <w:tcPr>
            <w:tcW w:w="21.0%" w:type="pct"/>
            <w:tcBorders>
              <w:top w:val="single" w:sz="4" w:space="0" w:color="BFBFBF" w:themeColor="background1" w:themeShade="BF"/>
              <w:start w:val="double" w:sz="4" w:space="0" w:color="auto"/>
              <w:bottom w:val="single" w:sz="4" w:space="0" w:color="BFBFBF" w:themeColor="background1" w:themeShade="BF"/>
            </w:tcBorders>
            <w:noWrap/>
            <w:vAlign w:val="center"/>
            <w:hideMark/>
          </w:tcPr>
          <w:p w14:paraId="4EED21E6" w14:textId="77777777" w:rsidR="00E075F7" w:rsidRPr="00A92DA0" w:rsidRDefault="00E075F7" w:rsidP="00E82693">
            <w:pPr>
              <w:rPr>
                <w:rFonts w:ascii="Times New Roman" w:eastAsia="Times New Roman" w:hAnsi="Times New Roman" w:cs="Times New Roman"/>
                <w:bCs/>
                <w:sz w:val="16"/>
                <w:szCs w:val="16"/>
                <w:lang w:val="en-US" w:eastAsia="zh-CN"/>
              </w:rPr>
            </w:pPr>
            <w:r w:rsidRPr="00A92DA0">
              <w:rPr>
                <w:rFonts w:ascii="Times New Roman" w:eastAsia="Times New Roman" w:hAnsi="Times New Roman" w:cs="Times New Roman"/>
                <w:bCs/>
                <w:sz w:val="16"/>
                <w:szCs w:val="16"/>
                <w:lang w:val="en-US" w:eastAsia="zh-CN"/>
              </w:rPr>
              <w:t>-11%</w:t>
            </w:r>
          </w:p>
        </w:tc>
      </w:tr>
      <w:tr w:rsidR="00E075F7" w:rsidRPr="00EF0945" w14:paraId="11B90CCB" w14:textId="77777777" w:rsidTr="00E82693">
        <w:trPr>
          <w:trHeight w:val="170"/>
        </w:trPr>
        <w:tc>
          <w:tcPr>
            <w:tcW w:w="22.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noWrap/>
            <w:vAlign w:val="center"/>
          </w:tcPr>
          <w:p w14:paraId="2C9E8AAE"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25.0%" w:type="pct"/>
            <w:vMerge/>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593B0276"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31.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47DA4D1F"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Walking</w:t>
            </w:r>
          </w:p>
        </w:tc>
        <w:tc>
          <w:tcPr>
            <w:tcW w:w="21.0%" w:type="pct"/>
            <w:tcBorders>
              <w:top w:val="single" w:sz="4" w:space="0" w:color="BFBFBF" w:themeColor="background1" w:themeShade="BF"/>
              <w:start w:val="double" w:sz="4" w:space="0" w:color="auto"/>
              <w:bottom w:val="single" w:sz="4" w:space="0" w:color="BFBFBF" w:themeColor="background1" w:themeShade="BF"/>
            </w:tcBorders>
            <w:noWrap/>
            <w:vAlign w:val="center"/>
            <w:hideMark/>
          </w:tcPr>
          <w:p w14:paraId="1CCD7974" w14:textId="77777777" w:rsidR="00E075F7" w:rsidRPr="00A92DA0" w:rsidRDefault="00E075F7" w:rsidP="00E82693">
            <w:pPr>
              <w:rPr>
                <w:rFonts w:ascii="Times New Roman" w:eastAsia="Times New Roman" w:hAnsi="Times New Roman" w:cs="Times New Roman"/>
                <w:bCs/>
                <w:sz w:val="16"/>
                <w:szCs w:val="16"/>
                <w:lang w:val="en-US" w:eastAsia="zh-CN"/>
              </w:rPr>
            </w:pPr>
            <w:r w:rsidRPr="00A92DA0">
              <w:rPr>
                <w:rFonts w:ascii="Times New Roman" w:eastAsia="Times New Roman" w:hAnsi="Times New Roman" w:cs="Times New Roman"/>
                <w:bCs/>
                <w:sz w:val="16"/>
                <w:szCs w:val="16"/>
                <w:lang w:val="en-US" w:eastAsia="zh-CN"/>
              </w:rPr>
              <w:t>-4%</w:t>
            </w:r>
          </w:p>
        </w:tc>
      </w:tr>
      <w:tr w:rsidR="00E075F7" w:rsidRPr="00EF0945" w14:paraId="35E2DDDD" w14:textId="77777777" w:rsidTr="00E82693">
        <w:trPr>
          <w:trHeight w:val="170"/>
        </w:trPr>
        <w:tc>
          <w:tcPr>
            <w:tcW w:w="22.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noWrap/>
            <w:vAlign w:val="center"/>
          </w:tcPr>
          <w:p w14:paraId="032C7D53"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25.0%" w:type="pct"/>
            <w:vMerge w:val="restar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5CD087C2"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Mobility hub</w:t>
            </w:r>
          </w:p>
        </w:tc>
        <w:tc>
          <w:tcPr>
            <w:tcW w:w="31.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46F4F692"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Car</w:t>
            </w:r>
          </w:p>
        </w:tc>
        <w:tc>
          <w:tcPr>
            <w:tcW w:w="21.0%" w:type="pct"/>
            <w:tcBorders>
              <w:top w:val="single" w:sz="4" w:space="0" w:color="BFBFBF" w:themeColor="background1" w:themeShade="BF"/>
              <w:start w:val="double" w:sz="4" w:space="0" w:color="auto"/>
              <w:bottom w:val="single" w:sz="4" w:space="0" w:color="BFBFBF" w:themeColor="background1" w:themeShade="BF"/>
            </w:tcBorders>
            <w:noWrap/>
            <w:vAlign w:val="center"/>
            <w:hideMark/>
          </w:tcPr>
          <w:p w14:paraId="3EA40865" w14:textId="77777777" w:rsidR="00E075F7" w:rsidRPr="00A92DA0" w:rsidRDefault="00E075F7" w:rsidP="00E82693">
            <w:pPr>
              <w:rPr>
                <w:rFonts w:ascii="Times New Roman" w:eastAsia="Times New Roman" w:hAnsi="Times New Roman" w:cs="Times New Roman"/>
                <w:bCs/>
                <w:sz w:val="16"/>
                <w:szCs w:val="16"/>
                <w:lang w:val="en-US" w:eastAsia="zh-CN"/>
              </w:rPr>
            </w:pPr>
            <w:r w:rsidRPr="00A92DA0">
              <w:rPr>
                <w:rFonts w:ascii="Times New Roman" w:eastAsia="Times New Roman" w:hAnsi="Times New Roman" w:cs="Times New Roman"/>
                <w:bCs/>
                <w:sz w:val="16"/>
                <w:szCs w:val="16"/>
                <w:lang w:val="en-US" w:eastAsia="zh-CN"/>
              </w:rPr>
              <w:t>-27%</w:t>
            </w:r>
          </w:p>
        </w:tc>
      </w:tr>
      <w:tr w:rsidR="00E075F7" w:rsidRPr="00EF0945" w14:paraId="1123041D" w14:textId="77777777" w:rsidTr="00E82693">
        <w:trPr>
          <w:trHeight w:val="170"/>
        </w:trPr>
        <w:tc>
          <w:tcPr>
            <w:tcW w:w="22.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noWrap/>
            <w:vAlign w:val="center"/>
          </w:tcPr>
          <w:p w14:paraId="5B663296"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25.0%" w:type="pct"/>
            <w:vMerge/>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7AAF9362"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31.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3CB61036"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Public transport</w:t>
            </w:r>
          </w:p>
        </w:tc>
        <w:tc>
          <w:tcPr>
            <w:tcW w:w="21.0%" w:type="pct"/>
            <w:tcBorders>
              <w:top w:val="single" w:sz="4" w:space="0" w:color="BFBFBF" w:themeColor="background1" w:themeShade="BF"/>
              <w:start w:val="double" w:sz="4" w:space="0" w:color="auto"/>
              <w:bottom w:val="single" w:sz="4" w:space="0" w:color="BFBFBF" w:themeColor="background1" w:themeShade="BF"/>
            </w:tcBorders>
            <w:noWrap/>
            <w:vAlign w:val="center"/>
            <w:hideMark/>
          </w:tcPr>
          <w:p w14:paraId="2F98B9F7" w14:textId="77777777" w:rsidR="00E075F7" w:rsidRPr="00A92DA0" w:rsidRDefault="00E075F7" w:rsidP="00E82693">
            <w:pPr>
              <w:rPr>
                <w:rFonts w:ascii="Times New Roman" w:eastAsia="Times New Roman" w:hAnsi="Times New Roman" w:cs="Times New Roman"/>
                <w:bCs/>
                <w:sz w:val="16"/>
                <w:szCs w:val="16"/>
                <w:lang w:val="en-US" w:eastAsia="zh-CN"/>
              </w:rPr>
            </w:pPr>
            <w:r w:rsidRPr="00A92DA0">
              <w:rPr>
                <w:rFonts w:ascii="Times New Roman" w:eastAsia="Times New Roman" w:hAnsi="Times New Roman" w:cs="Times New Roman"/>
                <w:bCs/>
                <w:sz w:val="16"/>
                <w:szCs w:val="16"/>
                <w:lang w:val="en-US" w:eastAsia="zh-CN"/>
              </w:rPr>
              <w:t>-28%</w:t>
            </w:r>
          </w:p>
        </w:tc>
      </w:tr>
      <w:tr w:rsidR="00E075F7" w:rsidRPr="00EF0945" w14:paraId="189AED3A" w14:textId="77777777" w:rsidTr="00E82693">
        <w:trPr>
          <w:trHeight w:val="170"/>
        </w:trPr>
        <w:tc>
          <w:tcPr>
            <w:tcW w:w="22.0%" w:type="pct"/>
            <w:vMerge/>
            <w:tcBorders>
              <w:top w:val="single" w:sz="4" w:space="0" w:color="BFBFBF" w:themeColor="background1" w:themeShade="BF"/>
              <w:bottom w:val="single" w:sz="4" w:space="0" w:color="BFBFBF" w:themeColor="background1" w:themeShade="BF"/>
              <w:end w:val="single" w:sz="4" w:space="0" w:color="BFBFBF" w:themeColor="background1" w:themeShade="BF"/>
            </w:tcBorders>
            <w:noWrap/>
            <w:vAlign w:val="center"/>
          </w:tcPr>
          <w:p w14:paraId="076175AD"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25.0%" w:type="pct"/>
            <w:vMerge/>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vAlign w:val="center"/>
          </w:tcPr>
          <w:p w14:paraId="40EC169C"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31.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vAlign w:val="center"/>
          </w:tcPr>
          <w:p w14:paraId="3C2C3151"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Bicycle</w:t>
            </w:r>
          </w:p>
        </w:tc>
        <w:tc>
          <w:tcPr>
            <w:tcW w:w="21.0%" w:type="pct"/>
            <w:tcBorders>
              <w:top w:val="single" w:sz="4" w:space="0" w:color="BFBFBF" w:themeColor="background1" w:themeShade="BF"/>
              <w:start w:val="double" w:sz="4" w:space="0" w:color="auto"/>
              <w:bottom w:val="single" w:sz="4" w:space="0" w:color="BFBFBF" w:themeColor="background1" w:themeShade="BF"/>
            </w:tcBorders>
            <w:noWrap/>
            <w:vAlign w:val="center"/>
            <w:hideMark/>
          </w:tcPr>
          <w:p w14:paraId="066CD7AE" w14:textId="77777777" w:rsidR="00E075F7" w:rsidRPr="00A92DA0" w:rsidRDefault="00E075F7" w:rsidP="00E82693">
            <w:pPr>
              <w:rPr>
                <w:rFonts w:ascii="Times New Roman" w:eastAsia="Times New Roman" w:hAnsi="Times New Roman" w:cs="Times New Roman"/>
                <w:bCs/>
                <w:sz w:val="16"/>
                <w:szCs w:val="16"/>
                <w:lang w:val="en-US" w:eastAsia="zh-CN"/>
              </w:rPr>
            </w:pPr>
            <w:r w:rsidRPr="00A92DA0">
              <w:rPr>
                <w:rFonts w:ascii="Times New Roman" w:eastAsia="Times New Roman" w:hAnsi="Times New Roman" w:cs="Times New Roman"/>
                <w:bCs/>
                <w:sz w:val="16"/>
                <w:szCs w:val="16"/>
                <w:lang w:val="en-US" w:eastAsia="zh-CN"/>
              </w:rPr>
              <w:t>-10%</w:t>
            </w:r>
          </w:p>
        </w:tc>
      </w:tr>
      <w:tr w:rsidR="00E075F7" w:rsidRPr="00EF0945" w14:paraId="05A0648A" w14:textId="77777777" w:rsidTr="00E82693">
        <w:trPr>
          <w:trHeight w:val="170"/>
        </w:trPr>
        <w:tc>
          <w:tcPr>
            <w:tcW w:w="22.0%" w:type="pct"/>
            <w:vMerge/>
            <w:tcBorders>
              <w:top w:val="single" w:sz="4" w:space="0" w:color="BFBFBF" w:themeColor="background1" w:themeShade="BF"/>
              <w:bottom w:val="double" w:sz="4" w:space="0" w:color="auto"/>
              <w:end w:val="single" w:sz="4" w:space="0" w:color="BFBFBF" w:themeColor="background1" w:themeShade="BF"/>
            </w:tcBorders>
            <w:noWrap/>
            <w:vAlign w:val="center"/>
          </w:tcPr>
          <w:p w14:paraId="0A8B9AB2"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25.0%" w:type="pct"/>
            <w:vMerge/>
            <w:tcBorders>
              <w:top w:val="single" w:sz="4" w:space="0" w:color="BFBFBF" w:themeColor="background1" w:themeShade="BF"/>
              <w:start w:val="single" w:sz="4" w:space="0" w:color="BFBFBF" w:themeColor="background1" w:themeShade="BF"/>
              <w:bottom w:val="double" w:sz="4" w:space="0" w:color="auto"/>
              <w:end w:val="single" w:sz="4" w:space="0" w:color="BFBFBF" w:themeColor="background1" w:themeShade="BF"/>
            </w:tcBorders>
            <w:vAlign w:val="center"/>
          </w:tcPr>
          <w:p w14:paraId="28BA633A" w14:textId="77777777" w:rsidR="00E075F7" w:rsidRPr="00E075F7" w:rsidRDefault="00E075F7" w:rsidP="00E82693">
            <w:pPr>
              <w:rPr>
                <w:rFonts w:ascii="Times New Roman" w:eastAsia="Times New Roman" w:hAnsi="Times New Roman" w:cs="Times New Roman"/>
                <w:bCs/>
                <w:i/>
                <w:sz w:val="16"/>
                <w:szCs w:val="16"/>
                <w:lang w:val="en-US" w:eastAsia="zh-CN"/>
              </w:rPr>
            </w:pPr>
          </w:p>
        </w:tc>
        <w:tc>
          <w:tcPr>
            <w:tcW w:w="31.0%" w:type="pct"/>
            <w:tcBorders>
              <w:top w:val="single" w:sz="4" w:space="0" w:color="BFBFBF" w:themeColor="background1" w:themeShade="BF"/>
              <w:start w:val="single" w:sz="4" w:space="0" w:color="BFBFBF" w:themeColor="background1" w:themeShade="BF"/>
              <w:bottom w:val="double" w:sz="4" w:space="0" w:color="auto"/>
              <w:end w:val="double" w:sz="4" w:space="0" w:color="auto"/>
            </w:tcBorders>
            <w:vAlign w:val="center"/>
          </w:tcPr>
          <w:p w14:paraId="117D6344" w14:textId="77777777" w:rsidR="00E075F7" w:rsidRPr="00E075F7" w:rsidRDefault="00E075F7" w:rsidP="00E82693">
            <w:pPr>
              <w:rPr>
                <w:rFonts w:ascii="Times New Roman" w:eastAsia="Times New Roman" w:hAnsi="Times New Roman" w:cs="Times New Roman"/>
                <w:bCs/>
                <w:i/>
                <w:sz w:val="16"/>
                <w:szCs w:val="16"/>
                <w:lang w:val="en-US" w:eastAsia="zh-CN"/>
              </w:rPr>
            </w:pPr>
            <w:r w:rsidRPr="00E075F7">
              <w:rPr>
                <w:rFonts w:ascii="Times New Roman" w:eastAsia="Times New Roman" w:hAnsi="Times New Roman" w:cs="Times New Roman"/>
                <w:bCs/>
                <w:i/>
                <w:sz w:val="16"/>
                <w:szCs w:val="16"/>
                <w:lang w:val="en-US" w:eastAsia="zh-CN"/>
              </w:rPr>
              <w:t>Walking</w:t>
            </w:r>
          </w:p>
        </w:tc>
        <w:tc>
          <w:tcPr>
            <w:tcW w:w="21.0%" w:type="pct"/>
            <w:tcBorders>
              <w:top w:val="single" w:sz="4" w:space="0" w:color="BFBFBF" w:themeColor="background1" w:themeShade="BF"/>
              <w:start w:val="double" w:sz="4" w:space="0" w:color="auto"/>
              <w:bottom w:val="double" w:sz="4" w:space="0" w:color="auto"/>
            </w:tcBorders>
            <w:noWrap/>
            <w:vAlign w:val="center"/>
            <w:hideMark/>
          </w:tcPr>
          <w:p w14:paraId="1255EE37" w14:textId="77777777" w:rsidR="00E075F7" w:rsidRPr="00A92DA0" w:rsidRDefault="00E075F7" w:rsidP="00E82693">
            <w:pPr>
              <w:rPr>
                <w:rFonts w:ascii="Times New Roman" w:eastAsia="Times New Roman" w:hAnsi="Times New Roman" w:cs="Times New Roman"/>
                <w:bCs/>
                <w:sz w:val="16"/>
                <w:szCs w:val="16"/>
                <w:lang w:val="en-US" w:eastAsia="zh-CN"/>
              </w:rPr>
            </w:pPr>
            <w:r w:rsidRPr="00A92DA0">
              <w:rPr>
                <w:rFonts w:ascii="Times New Roman" w:eastAsia="Times New Roman" w:hAnsi="Times New Roman" w:cs="Times New Roman"/>
                <w:bCs/>
                <w:sz w:val="16"/>
                <w:szCs w:val="16"/>
                <w:lang w:val="en-US" w:eastAsia="zh-CN"/>
              </w:rPr>
              <w:t>-4%</w:t>
            </w:r>
          </w:p>
        </w:tc>
      </w:tr>
    </w:tbl>
    <w:tbl>
      <w:tblPr>
        <w:tblpPr w:leftFromText="180" w:rightFromText="180" w:vertAnchor="page" w:horzAnchor="margin" w:tblpY="6181"/>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1136"/>
        <w:gridCol w:w="790"/>
        <w:gridCol w:w="720"/>
        <w:gridCol w:w="703"/>
        <w:gridCol w:w="1135"/>
      </w:tblGrid>
      <w:tr w:rsidR="00E075F7" w:rsidRPr="00055F45" w14:paraId="04153908" w14:textId="77777777" w:rsidTr="00E075F7">
        <w:trPr>
          <w:trHeight w:val="312"/>
        </w:trPr>
        <w:tc>
          <w:tcPr>
            <w:tcW w:w="100.0%" w:type="pct"/>
            <w:gridSpan w:val="5"/>
            <w:tcBorders>
              <w:top w:val="double" w:sz="4" w:space="0" w:color="auto"/>
              <w:start w:val="double" w:sz="4" w:space="0" w:color="auto"/>
              <w:bottom w:val="double" w:sz="4" w:space="0" w:color="auto"/>
              <w:end w:val="double" w:sz="4" w:space="0" w:color="auto"/>
            </w:tcBorders>
            <w:shd w:val="clear" w:color="auto" w:fill="FFFFFF" w:themeFill="background1"/>
            <w:noWrap/>
            <w:vAlign w:val="center"/>
          </w:tcPr>
          <w:bookmarkEnd w:id="2"/>
          <w:p w14:paraId="4E3FE3DB" w14:textId="77777777" w:rsidR="00E075F7" w:rsidRPr="004F68EF" w:rsidRDefault="00E075F7" w:rsidP="00E075F7">
            <w:pPr>
              <w:rPr>
                <w:rFonts w:eastAsia="Times New Roman"/>
                <w:b/>
                <w:bCs/>
                <w:sz w:val="16"/>
                <w:szCs w:val="16"/>
                <w:lang w:eastAsia="zh-CN"/>
              </w:rPr>
            </w:pPr>
            <w:r>
              <w:rPr>
                <w:rFonts w:eastAsia="Times New Roman"/>
                <w:b/>
                <w:bCs/>
                <w:sz w:val="16"/>
                <w:szCs w:val="16"/>
                <w:lang w:eastAsia="zh-CN"/>
              </w:rPr>
              <w:t>TABLE 5.3: TRADE-OFF EFFECTS</w:t>
            </w:r>
          </w:p>
        </w:tc>
      </w:tr>
      <w:tr w:rsidR="00E075F7" w:rsidRPr="00055F45" w14:paraId="09AABF6D" w14:textId="77777777" w:rsidTr="00E075F7">
        <w:trPr>
          <w:trHeight w:val="454"/>
        </w:trPr>
        <w:tc>
          <w:tcPr>
            <w:tcW w:w="25.0%" w:type="pct"/>
            <w:tcBorders>
              <w:top w:val="double" w:sz="4" w:space="0" w:color="auto"/>
              <w:start w:val="double" w:sz="4" w:space="0" w:color="auto"/>
              <w:bottom w:val="double" w:sz="4" w:space="0" w:color="auto"/>
              <w:end w:val="double" w:sz="4" w:space="0" w:color="auto"/>
            </w:tcBorders>
            <w:shd w:val="clear" w:color="auto" w:fill="FFFFFF" w:themeFill="background1"/>
            <w:noWrap/>
            <w:vAlign w:val="center"/>
          </w:tcPr>
          <w:p w14:paraId="3D398DAC" w14:textId="77777777" w:rsidR="00E075F7" w:rsidRPr="004F68EF" w:rsidRDefault="00E075F7" w:rsidP="00E075F7">
            <w:pPr>
              <w:rPr>
                <w:rFonts w:eastAsia="Times New Roman"/>
                <w:b/>
                <w:bCs/>
                <w:sz w:val="16"/>
                <w:szCs w:val="16"/>
                <w:lang w:eastAsia="zh-CN"/>
              </w:rPr>
            </w:pPr>
          </w:p>
        </w:tc>
        <w:tc>
          <w:tcPr>
            <w:tcW w:w="17.0%" w:type="pct"/>
            <w:tcBorders>
              <w:top w:val="double" w:sz="4" w:space="0" w:color="auto"/>
              <w:start w:val="double" w:sz="4" w:space="0" w:color="auto"/>
              <w:bottom w:val="double" w:sz="4" w:space="0" w:color="auto"/>
              <w:end w:val="double" w:sz="4" w:space="0" w:color="auto"/>
            </w:tcBorders>
            <w:shd w:val="clear" w:color="auto" w:fill="FFFFFF" w:themeFill="background1"/>
            <w:noWrap/>
            <w:vAlign w:val="center"/>
          </w:tcPr>
          <w:p w14:paraId="63FCC7F0" w14:textId="77777777" w:rsidR="00E075F7" w:rsidRPr="005300C5" w:rsidRDefault="00E075F7" w:rsidP="00E075F7">
            <w:pPr>
              <w:rPr>
                <w:rFonts w:eastAsia="Times New Roman"/>
                <w:b/>
                <w:bCs/>
                <w:sz w:val="16"/>
                <w:szCs w:val="16"/>
                <w:lang w:eastAsia="zh-CN"/>
              </w:rPr>
            </w:pPr>
            <w:r w:rsidRPr="005300C5">
              <w:rPr>
                <w:rFonts w:eastAsia="Times New Roman"/>
                <w:b/>
                <w:bCs/>
                <w:sz w:val="16"/>
                <w:szCs w:val="16"/>
                <w:lang w:eastAsia="zh-CN"/>
              </w:rPr>
              <w:t>Housing costs</w:t>
            </w:r>
          </w:p>
          <w:p w14:paraId="738F34D3" w14:textId="77777777" w:rsidR="00E075F7" w:rsidRPr="005300C5" w:rsidRDefault="00E075F7" w:rsidP="00E075F7">
            <w:pPr>
              <w:rPr>
                <w:b/>
                <w:i/>
                <w:color w:val="000000"/>
                <w:sz w:val="16"/>
                <w:szCs w:val="16"/>
              </w:rPr>
            </w:pPr>
            <w:r w:rsidRPr="005300C5">
              <w:rPr>
                <w:b/>
                <w:i/>
                <w:color w:val="000000"/>
                <w:sz w:val="16"/>
                <w:szCs w:val="16"/>
              </w:rPr>
              <w:t>(€)</w:t>
            </w:r>
          </w:p>
        </w:tc>
        <w:tc>
          <w:tcPr>
            <w:tcW w:w="16.0%" w:type="pct"/>
            <w:tcBorders>
              <w:top w:val="double" w:sz="4" w:space="0" w:color="auto"/>
              <w:start w:val="double" w:sz="4" w:space="0" w:color="auto"/>
              <w:bottom w:val="double" w:sz="4" w:space="0" w:color="auto"/>
              <w:end w:val="double" w:sz="4" w:space="0" w:color="auto"/>
            </w:tcBorders>
            <w:shd w:val="clear" w:color="auto" w:fill="FFFFFF" w:themeFill="background1"/>
            <w:noWrap/>
            <w:vAlign w:val="center"/>
          </w:tcPr>
          <w:p w14:paraId="57EA7F68" w14:textId="77777777" w:rsidR="00E075F7" w:rsidRPr="005300C5" w:rsidRDefault="00E075F7" w:rsidP="00E075F7">
            <w:pPr>
              <w:rPr>
                <w:rFonts w:eastAsia="Times New Roman"/>
                <w:b/>
                <w:bCs/>
                <w:sz w:val="16"/>
                <w:szCs w:val="16"/>
                <w:lang w:eastAsia="zh-CN"/>
              </w:rPr>
            </w:pPr>
            <w:r w:rsidRPr="005300C5">
              <w:rPr>
                <w:rFonts w:eastAsia="Times New Roman"/>
                <w:b/>
                <w:bCs/>
                <w:sz w:val="16"/>
                <w:szCs w:val="16"/>
                <w:lang w:eastAsia="zh-CN"/>
              </w:rPr>
              <w:t>Travel costs</w:t>
            </w:r>
          </w:p>
          <w:p w14:paraId="5A26A341" w14:textId="77777777" w:rsidR="00E075F7" w:rsidRPr="005300C5" w:rsidRDefault="00E075F7" w:rsidP="00E075F7">
            <w:pPr>
              <w:rPr>
                <w:b/>
                <w:color w:val="000000"/>
                <w:sz w:val="16"/>
                <w:szCs w:val="16"/>
              </w:rPr>
            </w:pPr>
            <w:r w:rsidRPr="005300C5">
              <w:rPr>
                <w:b/>
                <w:i/>
                <w:color w:val="000000"/>
                <w:sz w:val="16"/>
                <w:szCs w:val="16"/>
              </w:rPr>
              <w:t>(€)</w:t>
            </w:r>
          </w:p>
        </w:tc>
        <w:tc>
          <w:tcPr>
            <w:tcW w:w="15.0%" w:type="pct"/>
            <w:tcBorders>
              <w:top w:val="double" w:sz="4" w:space="0" w:color="auto"/>
              <w:start w:val="double" w:sz="4" w:space="0" w:color="auto"/>
              <w:bottom w:val="double" w:sz="4" w:space="0" w:color="auto"/>
              <w:end w:val="double" w:sz="4" w:space="0" w:color="auto"/>
            </w:tcBorders>
            <w:shd w:val="clear" w:color="auto" w:fill="FFFFFF" w:themeFill="background1"/>
            <w:noWrap/>
            <w:vAlign w:val="center"/>
          </w:tcPr>
          <w:p w14:paraId="1751D2BA" w14:textId="77777777" w:rsidR="00E075F7" w:rsidRPr="005300C5" w:rsidRDefault="00E075F7" w:rsidP="00E075F7">
            <w:pPr>
              <w:rPr>
                <w:rFonts w:eastAsia="Times New Roman"/>
                <w:b/>
                <w:bCs/>
                <w:sz w:val="16"/>
                <w:szCs w:val="16"/>
                <w:lang w:eastAsia="zh-CN"/>
              </w:rPr>
            </w:pPr>
            <w:r w:rsidRPr="005300C5">
              <w:rPr>
                <w:rFonts w:eastAsia="Times New Roman"/>
                <w:b/>
                <w:bCs/>
                <w:sz w:val="16"/>
                <w:szCs w:val="16"/>
                <w:lang w:eastAsia="zh-CN"/>
              </w:rPr>
              <w:t>Travel time</w:t>
            </w:r>
          </w:p>
          <w:p w14:paraId="390DE271" w14:textId="77777777" w:rsidR="00E075F7" w:rsidRPr="005300C5" w:rsidRDefault="00E075F7" w:rsidP="00E075F7">
            <w:pPr>
              <w:rPr>
                <w:b/>
                <w:i/>
                <w:color w:val="000000"/>
                <w:sz w:val="16"/>
                <w:szCs w:val="16"/>
              </w:rPr>
            </w:pPr>
            <w:r w:rsidRPr="005300C5">
              <w:rPr>
                <w:b/>
                <w:i/>
                <w:color w:val="000000"/>
                <w:sz w:val="16"/>
                <w:szCs w:val="16"/>
              </w:rPr>
              <w:t>(Min</w:t>
            </w:r>
            <w:r>
              <w:rPr>
                <w:b/>
                <w:i/>
                <w:color w:val="000000"/>
                <w:sz w:val="16"/>
                <w:szCs w:val="16"/>
              </w:rPr>
              <w:t>-</w:t>
            </w:r>
            <w:r w:rsidRPr="005300C5">
              <w:rPr>
                <w:b/>
                <w:i/>
                <w:color w:val="000000"/>
                <w:sz w:val="16"/>
                <w:szCs w:val="16"/>
              </w:rPr>
              <w:t>u</w:t>
            </w:r>
            <w:r>
              <w:rPr>
                <w:b/>
                <w:i/>
                <w:color w:val="000000"/>
                <w:sz w:val="16"/>
                <w:szCs w:val="16"/>
              </w:rPr>
              <w:t>t</w:t>
            </w:r>
            <w:r w:rsidRPr="005300C5">
              <w:rPr>
                <w:b/>
                <w:i/>
                <w:color w:val="000000"/>
                <w:sz w:val="16"/>
                <w:szCs w:val="16"/>
              </w:rPr>
              <w:t>es)</w:t>
            </w:r>
          </w:p>
        </w:tc>
        <w:tc>
          <w:tcPr>
            <w:tcW w:w="25.0%" w:type="pct"/>
            <w:tcBorders>
              <w:top w:val="double" w:sz="4" w:space="0" w:color="auto"/>
              <w:start w:val="double" w:sz="4" w:space="0" w:color="auto"/>
              <w:bottom w:val="double" w:sz="4" w:space="0" w:color="auto"/>
              <w:end w:val="double" w:sz="4" w:space="0" w:color="auto"/>
            </w:tcBorders>
            <w:shd w:val="clear" w:color="auto" w:fill="FFFFFF" w:themeFill="background1"/>
            <w:noWrap/>
            <w:vAlign w:val="center"/>
          </w:tcPr>
          <w:p w14:paraId="64B4DDB8" w14:textId="77777777" w:rsidR="00E075F7" w:rsidRPr="005300C5" w:rsidRDefault="00E075F7" w:rsidP="00E075F7">
            <w:pPr>
              <w:rPr>
                <w:b/>
                <w:color w:val="000000"/>
                <w:sz w:val="16"/>
                <w:szCs w:val="16"/>
              </w:rPr>
            </w:pPr>
            <w:r w:rsidRPr="005300C5">
              <w:rPr>
                <w:rFonts w:eastAsia="Times New Roman"/>
                <w:b/>
                <w:color w:val="000000"/>
                <w:sz w:val="16"/>
                <w:szCs w:val="16"/>
                <w:lang w:eastAsia="zh-CN"/>
              </w:rPr>
              <w:t xml:space="preserve">Travel time (Minutes) </w:t>
            </w:r>
            <w:r>
              <w:rPr>
                <w:rFonts w:eastAsia="Times New Roman"/>
                <w:b/>
                <w:color w:val="000000"/>
                <w:sz w:val="16"/>
                <w:szCs w:val="16"/>
                <w:lang w:eastAsia="zh-CN"/>
              </w:rPr>
              <w:br/>
            </w:r>
            <m:oMath>
              <m:r>
                <m:rPr>
                  <m:sty m:val="b"/>
                </m:rPr>
                <w:rPr>
                  <w:rFonts w:ascii="Cambria Math" w:eastAsia="Times New Roman" w:hAnsi="Cambria Math"/>
                  <w:color w:val="000000"/>
                  <w:sz w:val="16"/>
                  <w:szCs w:val="16"/>
                  <w:lang w:eastAsia="zh-CN"/>
                </w:rPr>
                <m:t>×</m:t>
              </m:r>
            </m:oMath>
            <w:r w:rsidRPr="005300C5">
              <w:rPr>
                <w:rFonts w:eastAsia="Times New Roman"/>
                <w:b/>
                <w:color w:val="000000"/>
                <w:sz w:val="16"/>
                <w:szCs w:val="16"/>
                <w:lang w:eastAsia="zh-CN"/>
              </w:rPr>
              <w:t xml:space="preserve">  Income </w:t>
            </w:r>
            <w:r>
              <w:rPr>
                <w:rFonts w:eastAsia="Times New Roman"/>
                <w:b/>
                <w:color w:val="000000"/>
                <w:sz w:val="16"/>
                <w:szCs w:val="16"/>
                <w:lang w:eastAsia="zh-CN"/>
              </w:rPr>
              <w:br/>
            </w:r>
            <w:r w:rsidRPr="005300C5">
              <w:rPr>
                <w:rFonts w:eastAsia="Times New Roman"/>
                <w:b/>
                <w:color w:val="000000"/>
                <w:sz w:val="16"/>
                <w:szCs w:val="16"/>
                <w:lang w:eastAsia="zh-CN"/>
              </w:rPr>
              <w:t>&gt;€40,000</w:t>
            </w:r>
          </w:p>
        </w:tc>
      </w:tr>
      <w:tr w:rsidR="00E075F7" w:rsidRPr="00055F45" w14:paraId="59650D56" w14:textId="77777777" w:rsidTr="00E075F7">
        <w:trPr>
          <w:trHeight w:val="454"/>
        </w:trPr>
        <w:tc>
          <w:tcPr>
            <w:tcW w:w="25.0%" w:type="pct"/>
            <w:tcBorders>
              <w:top w:val="double" w:sz="4" w:space="0" w:color="auto"/>
              <w:start w:val="double" w:sz="4" w:space="0" w:color="auto"/>
              <w:bottom w:val="double" w:sz="4" w:space="0" w:color="auto"/>
              <w:end w:val="double" w:sz="4" w:space="0" w:color="auto"/>
            </w:tcBorders>
            <w:shd w:val="clear" w:color="auto" w:fill="FFFFFF" w:themeFill="background1"/>
            <w:noWrap/>
            <w:vAlign w:val="center"/>
            <w:hideMark/>
          </w:tcPr>
          <w:p w14:paraId="767E7B6E" w14:textId="77777777" w:rsidR="00E075F7" w:rsidRPr="005300C5" w:rsidRDefault="00E075F7" w:rsidP="00E075F7">
            <w:pPr>
              <w:rPr>
                <w:rFonts w:eastAsia="Times New Roman"/>
                <w:b/>
                <w:bCs/>
                <w:sz w:val="16"/>
                <w:szCs w:val="16"/>
                <w:lang w:eastAsia="zh-CN"/>
              </w:rPr>
            </w:pPr>
            <w:r w:rsidRPr="005300C5">
              <w:rPr>
                <w:rFonts w:eastAsia="Times New Roman"/>
                <w:b/>
                <w:bCs/>
                <w:sz w:val="16"/>
                <w:szCs w:val="16"/>
                <w:lang w:eastAsia="zh-CN"/>
              </w:rPr>
              <w:t>Housing costs</w:t>
            </w:r>
          </w:p>
          <w:p w14:paraId="6D522C0F" w14:textId="77777777" w:rsidR="00E075F7" w:rsidRPr="004F68EF" w:rsidRDefault="00E075F7" w:rsidP="00E075F7">
            <w:pPr>
              <w:rPr>
                <w:rFonts w:eastAsia="Times New Roman"/>
                <w:b/>
                <w:bCs/>
                <w:sz w:val="16"/>
                <w:szCs w:val="16"/>
                <w:lang w:eastAsia="zh-CN"/>
              </w:rPr>
            </w:pPr>
            <w:r w:rsidRPr="005300C5">
              <w:rPr>
                <w:b/>
                <w:i/>
                <w:color w:val="000000"/>
                <w:sz w:val="16"/>
                <w:szCs w:val="16"/>
              </w:rPr>
              <w:t>(€)</w:t>
            </w:r>
          </w:p>
        </w:tc>
        <w:tc>
          <w:tcPr>
            <w:tcW w:w="17.0%" w:type="pct"/>
            <w:tcBorders>
              <w:top w:val="double" w:sz="4" w:space="0" w:color="auto"/>
              <w:start w:val="double" w:sz="4" w:space="0" w:color="auto"/>
              <w:bottom w:val="single" w:sz="4" w:space="0" w:color="BFBFBF" w:themeColor="background1" w:themeShade="BF"/>
              <w:end w:val="single" w:sz="4" w:space="0" w:color="BFBFBF" w:themeColor="background1" w:themeShade="BF"/>
            </w:tcBorders>
            <w:shd w:val="clear" w:color="auto" w:fill="FFFFFF" w:themeFill="background1"/>
            <w:noWrap/>
            <w:vAlign w:val="center"/>
            <w:hideMark/>
          </w:tcPr>
          <w:p w14:paraId="04713A75" w14:textId="77777777" w:rsidR="00E075F7" w:rsidRPr="004F68EF" w:rsidRDefault="00E075F7" w:rsidP="00E075F7">
            <w:pPr>
              <w:rPr>
                <w:rFonts w:eastAsia="Times New Roman"/>
                <w:b/>
                <w:bCs/>
                <w:sz w:val="16"/>
                <w:szCs w:val="16"/>
                <w:lang w:eastAsia="zh-CN"/>
              </w:rPr>
            </w:pPr>
            <w:r w:rsidRPr="004F68EF">
              <w:rPr>
                <w:color w:val="000000"/>
                <w:sz w:val="16"/>
                <w:szCs w:val="16"/>
              </w:rPr>
              <w:t>1</w:t>
            </w:r>
          </w:p>
        </w:tc>
        <w:tc>
          <w:tcPr>
            <w:tcW w:w="16.0%" w:type="pct"/>
            <w:tcBorders>
              <w:top w:val="double" w:sz="4" w:space="0" w:color="auto"/>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FFFFFF" w:themeFill="background1"/>
            <w:noWrap/>
            <w:vAlign w:val="center"/>
            <w:hideMark/>
          </w:tcPr>
          <w:p w14:paraId="06DC497D" w14:textId="77777777" w:rsidR="00E075F7" w:rsidRPr="004F68EF" w:rsidRDefault="00E075F7" w:rsidP="00E075F7">
            <w:pPr>
              <w:rPr>
                <w:rFonts w:eastAsia="Times New Roman"/>
                <w:b/>
                <w:bCs/>
                <w:sz w:val="16"/>
                <w:szCs w:val="16"/>
                <w:lang w:eastAsia="zh-CN"/>
              </w:rPr>
            </w:pPr>
            <w:r w:rsidRPr="004F68EF">
              <w:rPr>
                <w:color w:val="000000"/>
                <w:sz w:val="16"/>
                <w:szCs w:val="16"/>
              </w:rPr>
              <w:t>2.24</w:t>
            </w:r>
          </w:p>
        </w:tc>
        <w:tc>
          <w:tcPr>
            <w:tcW w:w="15.0%" w:type="pct"/>
            <w:tcBorders>
              <w:top w:val="double" w:sz="4" w:space="0" w:color="auto"/>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FFFFFF" w:themeFill="background1"/>
            <w:noWrap/>
            <w:vAlign w:val="center"/>
            <w:hideMark/>
          </w:tcPr>
          <w:p w14:paraId="4BFBEF9D" w14:textId="77777777" w:rsidR="00E075F7" w:rsidRPr="004F68EF" w:rsidRDefault="00E075F7" w:rsidP="00E075F7">
            <w:pPr>
              <w:rPr>
                <w:rFonts w:eastAsia="Times New Roman"/>
                <w:b/>
                <w:bCs/>
                <w:sz w:val="16"/>
                <w:szCs w:val="16"/>
                <w:lang w:eastAsia="zh-CN"/>
              </w:rPr>
            </w:pPr>
            <w:r w:rsidRPr="004F68EF">
              <w:rPr>
                <w:color w:val="000000"/>
                <w:sz w:val="16"/>
                <w:szCs w:val="16"/>
              </w:rPr>
              <w:t>0.06</w:t>
            </w:r>
          </w:p>
        </w:tc>
        <w:tc>
          <w:tcPr>
            <w:tcW w:w="25.0%" w:type="pct"/>
            <w:tcBorders>
              <w:top w:val="double" w:sz="4" w:space="0" w:color="auto"/>
              <w:start w:val="single" w:sz="4" w:space="0" w:color="BFBFBF" w:themeColor="background1" w:themeShade="BF"/>
              <w:bottom w:val="single" w:sz="4" w:space="0" w:color="BFBFBF" w:themeColor="background1" w:themeShade="BF"/>
              <w:end w:val="double" w:sz="4" w:space="0" w:color="auto"/>
            </w:tcBorders>
            <w:shd w:val="clear" w:color="auto" w:fill="FFFFFF" w:themeFill="background1"/>
            <w:noWrap/>
            <w:vAlign w:val="center"/>
            <w:hideMark/>
          </w:tcPr>
          <w:p w14:paraId="1B244483" w14:textId="77777777" w:rsidR="00E075F7" w:rsidRPr="004F68EF" w:rsidRDefault="00E075F7" w:rsidP="00E075F7">
            <w:pPr>
              <w:rPr>
                <w:rFonts w:eastAsia="Times New Roman"/>
                <w:b/>
                <w:bCs/>
                <w:sz w:val="16"/>
                <w:szCs w:val="16"/>
                <w:lang w:eastAsia="zh-CN"/>
              </w:rPr>
            </w:pPr>
            <w:r w:rsidRPr="004F68EF">
              <w:rPr>
                <w:color w:val="000000"/>
                <w:sz w:val="16"/>
                <w:szCs w:val="16"/>
              </w:rPr>
              <w:t>0.23</w:t>
            </w:r>
          </w:p>
        </w:tc>
      </w:tr>
      <w:tr w:rsidR="00E075F7" w:rsidRPr="00055F45" w14:paraId="55068B5D" w14:textId="77777777" w:rsidTr="00E075F7">
        <w:trPr>
          <w:trHeight w:val="454"/>
        </w:trPr>
        <w:tc>
          <w:tcPr>
            <w:tcW w:w="25.0%" w:type="pct"/>
            <w:tcBorders>
              <w:top w:val="double" w:sz="4" w:space="0" w:color="auto"/>
              <w:start w:val="double" w:sz="4" w:space="0" w:color="auto"/>
              <w:bottom w:val="double" w:sz="4" w:space="0" w:color="auto"/>
              <w:end w:val="double" w:sz="4" w:space="0" w:color="auto"/>
            </w:tcBorders>
            <w:shd w:val="clear" w:color="auto" w:fill="FFFFFF" w:themeFill="background1"/>
            <w:noWrap/>
            <w:vAlign w:val="center"/>
            <w:hideMark/>
          </w:tcPr>
          <w:p w14:paraId="14BD7B7B" w14:textId="77777777" w:rsidR="00E075F7" w:rsidRPr="005300C5" w:rsidRDefault="00E075F7" w:rsidP="00E075F7">
            <w:pPr>
              <w:rPr>
                <w:rFonts w:eastAsia="Times New Roman"/>
                <w:b/>
                <w:bCs/>
                <w:sz w:val="16"/>
                <w:szCs w:val="16"/>
                <w:lang w:eastAsia="zh-CN"/>
              </w:rPr>
            </w:pPr>
            <w:r w:rsidRPr="005300C5">
              <w:rPr>
                <w:rFonts w:eastAsia="Times New Roman"/>
                <w:b/>
                <w:bCs/>
                <w:sz w:val="16"/>
                <w:szCs w:val="16"/>
                <w:lang w:eastAsia="zh-CN"/>
              </w:rPr>
              <w:t>Travel costs</w:t>
            </w:r>
          </w:p>
          <w:p w14:paraId="4436CBFD" w14:textId="77777777" w:rsidR="00E075F7" w:rsidRPr="004F68EF" w:rsidRDefault="00E075F7" w:rsidP="00E075F7">
            <w:pPr>
              <w:rPr>
                <w:rFonts w:eastAsia="Times New Roman"/>
                <w:b/>
                <w:bCs/>
                <w:sz w:val="16"/>
                <w:szCs w:val="16"/>
                <w:lang w:eastAsia="zh-CN"/>
              </w:rPr>
            </w:pPr>
            <w:r w:rsidRPr="005300C5">
              <w:rPr>
                <w:b/>
                <w:i/>
                <w:color w:val="000000"/>
                <w:sz w:val="16"/>
                <w:szCs w:val="16"/>
              </w:rPr>
              <w:t>(€)</w:t>
            </w:r>
          </w:p>
        </w:tc>
        <w:tc>
          <w:tcPr>
            <w:tcW w:w="17.0%" w:type="pct"/>
            <w:tcBorders>
              <w:top w:val="single" w:sz="4" w:space="0" w:color="BFBFBF" w:themeColor="background1" w:themeShade="BF"/>
              <w:start w:val="double" w:sz="4" w:space="0" w:color="auto"/>
              <w:bottom w:val="single" w:sz="4" w:space="0" w:color="BFBFBF" w:themeColor="background1" w:themeShade="BF"/>
              <w:end w:val="single" w:sz="4" w:space="0" w:color="BFBFBF" w:themeColor="background1" w:themeShade="BF"/>
            </w:tcBorders>
            <w:shd w:val="clear" w:color="auto" w:fill="FFFFFF" w:themeFill="background1"/>
            <w:noWrap/>
            <w:vAlign w:val="center"/>
            <w:hideMark/>
          </w:tcPr>
          <w:p w14:paraId="053C8C7E" w14:textId="77777777" w:rsidR="00E075F7" w:rsidRPr="004F68EF" w:rsidRDefault="00E075F7" w:rsidP="00E075F7">
            <w:pPr>
              <w:rPr>
                <w:rFonts w:eastAsia="Times New Roman"/>
                <w:b/>
                <w:bCs/>
                <w:sz w:val="16"/>
                <w:szCs w:val="16"/>
                <w:lang w:eastAsia="zh-CN"/>
              </w:rPr>
            </w:pPr>
            <w:r w:rsidRPr="004F68EF">
              <w:rPr>
                <w:color w:val="000000"/>
                <w:sz w:val="16"/>
                <w:szCs w:val="16"/>
              </w:rPr>
              <w:t>0.45</w:t>
            </w:r>
          </w:p>
        </w:tc>
        <w:tc>
          <w:tcPr>
            <w:tcW w:w="16.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FFFFFF" w:themeFill="background1"/>
            <w:noWrap/>
            <w:vAlign w:val="center"/>
            <w:hideMark/>
          </w:tcPr>
          <w:p w14:paraId="7EE6809B" w14:textId="77777777" w:rsidR="00E075F7" w:rsidRPr="004F68EF" w:rsidRDefault="00E075F7" w:rsidP="00E075F7">
            <w:pPr>
              <w:rPr>
                <w:rFonts w:eastAsia="Times New Roman"/>
                <w:b/>
                <w:bCs/>
                <w:sz w:val="16"/>
                <w:szCs w:val="16"/>
                <w:lang w:eastAsia="zh-CN"/>
              </w:rPr>
            </w:pPr>
            <w:r w:rsidRPr="004F68EF">
              <w:rPr>
                <w:color w:val="000000"/>
                <w:sz w:val="16"/>
                <w:szCs w:val="16"/>
              </w:rPr>
              <w:t>1</w:t>
            </w:r>
          </w:p>
        </w:tc>
        <w:tc>
          <w:tcPr>
            <w:tcW w:w="15.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FFFFFF" w:themeFill="background1"/>
            <w:noWrap/>
            <w:vAlign w:val="center"/>
            <w:hideMark/>
          </w:tcPr>
          <w:p w14:paraId="6BE0BB68" w14:textId="77777777" w:rsidR="00E075F7" w:rsidRPr="004F68EF" w:rsidRDefault="00E075F7" w:rsidP="00E075F7">
            <w:pPr>
              <w:rPr>
                <w:rFonts w:eastAsia="Times New Roman"/>
                <w:b/>
                <w:bCs/>
                <w:sz w:val="16"/>
                <w:szCs w:val="16"/>
                <w:lang w:eastAsia="zh-CN"/>
              </w:rPr>
            </w:pPr>
            <w:r w:rsidRPr="004F68EF">
              <w:rPr>
                <w:color w:val="000000"/>
                <w:sz w:val="16"/>
                <w:szCs w:val="16"/>
              </w:rPr>
              <w:t>0.03</w:t>
            </w:r>
          </w:p>
        </w:tc>
        <w:tc>
          <w:tcPr>
            <w:tcW w:w="25.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shd w:val="clear" w:color="auto" w:fill="FFFFFF" w:themeFill="background1"/>
            <w:noWrap/>
            <w:vAlign w:val="center"/>
            <w:hideMark/>
          </w:tcPr>
          <w:p w14:paraId="278283C9" w14:textId="77777777" w:rsidR="00E075F7" w:rsidRPr="004F68EF" w:rsidRDefault="00E075F7" w:rsidP="00E075F7">
            <w:pPr>
              <w:rPr>
                <w:rFonts w:eastAsia="Times New Roman"/>
                <w:b/>
                <w:bCs/>
                <w:sz w:val="16"/>
                <w:szCs w:val="16"/>
                <w:lang w:eastAsia="zh-CN"/>
              </w:rPr>
            </w:pPr>
            <w:r w:rsidRPr="004F68EF">
              <w:rPr>
                <w:color w:val="000000"/>
                <w:sz w:val="16"/>
                <w:szCs w:val="16"/>
              </w:rPr>
              <w:t>0.10</w:t>
            </w:r>
          </w:p>
        </w:tc>
      </w:tr>
      <w:tr w:rsidR="00E075F7" w:rsidRPr="00055F45" w14:paraId="72D32E95" w14:textId="77777777" w:rsidTr="00E075F7">
        <w:trPr>
          <w:trHeight w:val="454"/>
        </w:trPr>
        <w:tc>
          <w:tcPr>
            <w:tcW w:w="25.0%" w:type="pct"/>
            <w:tcBorders>
              <w:top w:val="double" w:sz="4" w:space="0" w:color="auto"/>
              <w:start w:val="double" w:sz="4" w:space="0" w:color="auto"/>
              <w:bottom w:val="double" w:sz="4" w:space="0" w:color="auto"/>
              <w:end w:val="double" w:sz="4" w:space="0" w:color="auto"/>
            </w:tcBorders>
            <w:shd w:val="clear" w:color="auto" w:fill="FFFFFF" w:themeFill="background1"/>
            <w:noWrap/>
            <w:vAlign w:val="center"/>
            <w:hideMark/>
          </w:tcPr>
          <w:p w14:paraId="771D445A" w14:textId="77777777" w:rsidR="00E075F7" w:rsidRPr="005300C5" w:rsidRDefault="00E075F7" w:rsidP="00E075F7">
            <w:pPr>
              <w:rPr>
                <w:rFonts w:eastAsia="Times New Roman"/>
                <w:b/>
                <w:bCs/>
                <w:sz w:val="16"/>
                <w:szCs w:val="16"/>
                <w:lang w:eastAsia="zh-CN"/>
              </w:rPr>
            </w:pPr>
            <w:r w:rsidRPr="005300C5">
              <w:rPr>
                <w:rFonts w:eastAsia="Times New Roman"/>
                <w:b/>
                <w:bCs/>
                <w:sz w:val="16"/>
                <w:szCs w:val="16"/>
                <w:lang w:eastAsia="zh-CN"/>
              </w:rPr>
              <w:t>Travel time</w:t>
            </w:r>
          </w:p>
          <w:p w14:paraId="38D41B2B" w14:textId="77777777" w:rsidR="00E075F7" w:rsidRPr="004F68EF" w:rsidRDefault="00E075F7" w:rsidP="00E075F7">
            <w:pPr>
              <w:rPr>
                <w:rFonts w:eastAsia="Times New Roman"/>
                <w:b/>
                <w:bCs/>
                <w:sz w:val="16"/>
                <w:szCs w:val="16"/>
                <w:lang w:eastAsia="zh-CN"/>
              </w:rPr>
            </w:pPr>
            <w:r w:rsidRPr="005300C5">
              <w:rPr>
                <w:b/>
                <w:i/>
                <w:color w:val="000000"/>
                <w:sz w:val="16"/>
                <w:szCs w:val="16"/>
              </w:rPr>
              <w:t>(Minutes)</w:t>
            </w:r>
          </w:p>
        </w:tc>
        <w:tc>
          <w:tcPr>
            <w:tcW w:w="17.0%" w:type="pct"/>
            <w:tcBorders>
              <w:top w:val="single" w:sz="4" w:space="0" w:color="BFBFBF" w:themeColor="background1" w:themeShade="BF"/>
              <w:start w:val="double" w:sz="4" w:space="0" w:color="auto"/>
              <w:bottom w:val="single" w:sz="4" w:space="0" w:color="BFBFBF" w:themeColor="background1" w:themeShade="BF"/>
              <w:end w:val="single" w:sz="4" w:space="0" w:color="BFBFBF" w:themeColor="background1" w:themeShade="BF"/>
            </w:tcBorders>
            <w:shd w:val="clear" w:color="auto" w:fill="FFFFFF" w:themeFill="background1"/>
            <w:noWrap/>
            <w:vAlign w:val="center"/>
            <w:hideMark/>
          </w:tcPr>
          <w:p w14:paraId="3C231ECE" w14:textId="77777777" w:rsidR="00E075F7" w:rsidRPr="004F68EF" w:rsidRDefault="00E075F7" w:rsidP="00E075F7">
            <w:pPr>
              <w:rPr>
                <w:rFonts w:eastAsia="Times New Roman"/>
                <w:b/>
                <w:bCs/>
                <w:sz w:val="16"/>
                <w:szCs w:val="16"/>
                <w:lang w:eastAsia="zh-CN"/>
              </w:rPr>
            </w:pPr>
            <w:r w:rsidRPr="004F68EF">
              <w:rPr>
                <w:color w:val="000000"/>
                <w:sz w:val="16"/>
                <w:szCs w:val="16"/>
              </w:rPr>
              <w:t>16.11</w:t>
            </w:r>
          </w:p>
        </w:tc>
        <w:tc>
          <w:tcPr>
            <w:tcW w:w="16.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FFFFFF" w:themeFill="background1"/>
            <w:noWrap/>
            <w:vAlign w:val="center"/>
            <w:hideMark/>
          </w:tcPr>
          <w:p w14:paraId="2A61AB0A" w14:textId="77777777" w:rsidR="00E075F7" w:rsidRPr="004F68EF" w:rsidRDefault="00E075F7" w:rsidP="00E075F7">
            <w:pPr>
              <w:rPr>
                <w:rFonts w:eastAsia="Times New Roman"/>
                <w:b/>
                <w:bCs/>
                <w:sz w:val="16"/>
                <w:szCs w:val="16"/>
                <w:lang w:eastAsia="zh-CN"/>
              </w:rPr>
            </w:pPr>
            <w:r w:rsidRPr="004F68EF">
              <w:rPr>
                <w:color w:val="000000"/>
                <w:sz w:val="16"/>
                <w:szCs w:val="16"/>
              </w:rPr>
              <w:t>36.02</w:t>
            </w:r>
          </w:p>
        </w:tc>
        <w:tc>
          <w:tcPr>
            <w:tcW w:w="15.0%" w:type="pct"/>
            <w:tc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tcBorders>
            <w:shd w:val="clear" w:color="auto" w:fill="FFFFFF" w:themeFill="background1"/>
            <w:noWrap/>
            <w:vAlign w:val="center"/>
            <w:hideMark/>
          </w:tcPr>
          <w:p w14:paraId="7FEB6F2D" w14:textId="77777777" w:rsidR="00E075F7" w:rsidRPr="004F68EF" w:rsidRDefault="00E075F7" w:rsidP="00E075F7">
            <w:pPr>
              <w:rPr>
                <w:rFonts w:eastAsia="Times New Roman"/>
                <w:b/>
                <w:bCs/>
                <w:sz w:val="16"/>
                <w:szCs w:val="16"/>
                <w:lang w:eastAsia="zh-CN"/>
              </w:rPr>
            </w:pPr>
            <w:r w:rsidRPr="004F68EF">
              <w:rPr>
                <w:color w:val="000000"/>
                <w:sz w:val="16"/>
                <w:szCs w:val="16"/>
              </w:rPr>
              <w:t>1</w:t>
            </w:r>
          </w:p>
        </w:tc>
        <w:tc>
          <w:tcPr>
            <w:tcW w:w="25.0%" w:type="pct"/>
            <w:tcBorders>
              <w:top w:val="single" w:sz="4" w:space="0" w:color="BFBFBF" w:themeColor="background1" w:themeShade="BF"/>
              <w:start w:val="single" w:sz="4" w:space="0" w:color="BFBFBF" w:themeColor="background1" w:themeShade="BF"/>
              <w:bottom w:val="single" w:sz="4" w:space="0" w:color="BFBFBF" w:themeColor="background1" w:themeShade="BF"/>
              <w:end w:val="double" w:sz="4" w:space="0" w:color="auto"/>
            </w:tcBorders>
            <w:shd w:val="clear" w:color="auto" w:fill="FFFFFF" w:themeFill="background1"/>
            <w:noWrap/>
            <w:vAlign w:val="center"/>
            <w:hideMark/>
          </w:tcPr>
          <w:p w14:paraId="06151BAB" w14:textId="77777777" w:rsidR="00E075F7" w:rsidRPr="004F68EF" w:rsidRDefault="00E075F7" w:rsidP="00E075F7">
            <w:pPr>
              <w:rPr>
                <w:rFonts w:eastAsia="Times New Roman"/>
                <w:b/>
                <w:bCs/>
                <w:sz w:val="16"/>
                <w:szCs w:val="16"/>
                <w:lang w:eastAsia="zh-CN"/>
              </w:rPr>
            </w:pPr>
            <w:r w:rsidRPr="004F68EF">
              <w:rPr>
                <w:color w:val="000000"/>
                <w:sz w:val="16"/>
                <w:szCs w:val="16"/>
              </w:rPr>
              <w:t>-</w:t>
            </w:r>
          </w:p>
        </w:tc>
      </w:tr>
      <w:tr w:rsidR="00E075F7" w:rsidRPr="00055F45" w14:paraId="4E4480A3" w14:textId="77777777" w:rsidTr="00E075F7">
        <w:trPr>
          <w:trHeight w:val="454"/>
        </w:trPr>
        <w:tc>
          <w:tcPr>
            <w:tcW w:w="25.0%" w:type="pct"/>
            <w:tcBorders>
              <w:top w:val="double" w:sz="4" w:space="0" w:color="auto"/>
              <w:start w:val="double" w:sz="4" w:space="0" w:color="auto"/>
              <w:bottom w:val="double" w:sz="4" w:space="0" w:color="auto"/>
              <w:end w:val="double" w:sz="4" w:space="0" w:color="auto"/>
            </w:tcBorders>
            <w:shd w:val="clear" w:color="auto" w:fill="FFFFFF" w:themeFill="background1"/>
            <w:noWrap/>
            <w:vAlign w:val="center"/>
            <w:hideMark/>
          </w:tcPr>
          <w:p w14:paraId="2AAF0490" w14:textId="77777777" w:rsidR="00E075F7" w:rsidRPr="004F68EF" w:rsidRDefault="00E075F7" w:rsidP="00E075F7">
            <w:pPr>
              <w:rPr>
                <w:rFonts w:eastAsia="Times New Roman"/>
                <w:b/>
                <w:bCs/>
                <w:sz w:val="16"/>
                <w:szCs w:val="16"/>
                <w:lang w:eastAsia="zh-CN"/>
              </w:rPr>
            </w:pPr>
            <w:r w:rsidRPr="005300C5">
              <w:rPr>
                <w:rFonts w:eastAsia="Times New Roman"/>
                <w:b/>
                <w:color w:val="000000"/>
                <w:sz w:val="16"/>
                <w:szCs w:val="16"/>
                <w:lang w:eastAsia="zh-CN"/>
              </w:rPr>
              <w:t xml:space="preserve">Travel time (Minutes) </w:t>
            </w:r>
            <w:r>
              <w:rPr>
                <w:rFonts w:eastAsia="Times New Roman"/>
                <w:b/>
                <w:color w:val="000000"/>
                <w:sz w:val="16"/>
                <w:szCs w:val="16"/>
                <w:lang w:eastAsia="zh-CN"/>
              </w:rPr>
              <w:br/>
            </w:r>
            <m:oMath>
              <m:r>
                <m:rPr>
                  <m:sty m:val="b"/>
                </m:rPr>
                <w:rPr>
                  <w:rFonts w:ascii="Cambria Math" w:eastAsia="Times New Roman" w:hAnsi="Cambria Math"/>
                  <w:color w:val="000000"/>
                  <w:sz w:val="16"/>
                  <w:szCs w:val="16"/>
                  <w:lang w:eastAsia="zh-CN"/>
                </w:rPr>
                <m:t>×</m:t>
              </m:r>
            </m:oMath>
            <w:r w:rsidRPr="005300C5">
              <w:rPr>
                <w:rFonts w:eastAsia="Times New Roman"/>
                <w:b/>
                <w:color w:val="000000"/>
                <w:sz w:val="16"/>
                <w:szCs w:val="16"/>
                <w:lang w:eastAsia="zh-CN"/>
              </w:rPr>
              <w:t xml:space="preserve">  Income </w:t>
            </w:r>
            <w:r>
              <w:rPr>
                <w:rFonts w:eastAsia="Times New Roman"/>
                <w:b/>
                <w:color w:val="000000"/>
                <w:sz w:val="16"/>
                <w:szCs w:val="16"/>
                <w:lang w:eastAsia="zh-CN"/>
              </w:rPr>
              <w:br/>
            </w:r>
            <w:r w:rsidRPr="005300C5">
              <w:rPr>
                <w:rFonts w:eastAsia="Times New Roman"/>
                <w:b/>
                <w:color w:val="000000"/>
                <w:sz w:val="16"/>
                <w:szCs w:val="16"/>
                <w:lang w:eastAsia="zh-CN"/>
              </w:rPr>
              <w:t>&gt;€40,000</w:t>
            </w:r>
          </w:p>
        </w:tc>
        <w:tc>
          <w:tcPr>
            <w:tcW w:w="17.0%" w:type="pct"/>
            <w:tcBorders>
              <w:top w:val="single" w:sz="4" w:space="0" w:color="BFBFBF" w:themeColor="background1" w:themeShade="BF"/>
              <w:start w:val="double" w:sz="4" w:space="0" w:color="auto"/>
              <w:bottom w:val="double" w:sz="4" w:space="0" w:color="auto"/>
              <w:end w:val="single" w:sz="4" w:space="0" w:color="BFBFBF" w:themeColor="background1" w:themeShade="BF"/>
            </w:tcBorders>
            <w:shd w:val="clear" w:color="auto" w:fill="FFFFFF" w:themeFill="background1"/>
            <w:noWrap/>
            <w:vAlign w:val="center"/>
            <w:hideMark/>
          </w:tcPr>
          <w:p w14:paraId="174EDAA9" w14:textId="77777777" w:rsidR="00E075F7" w:rsidRPr="004F68EF" w:rsidRDefault="00E075F7" w:rsidP="00E075F7">
            <w:pPr>
              <w:rPr>
                <w:rFonts w:eastAsia="Times New Roman"/>
                <w:b/>
                <w:bCs/>
                <w:sz w:val="16"/>
                <w:szCs w:val="16"/>
                <w:lang w:eastAsia="zh-CN"/>
              </w:rPr>
            </w:pPr>
            <w:r w:rsidRPr="004F68EF">
              <w:rPr>
                <w:color w:val="000000"/>
                <w:sz w:val="16"/>
                <w:szCs w:val="16"/>
              </w:rPr>
              <w:t>4.42</w:t>
            </w:r>
          </w:p>
        </w:tc>
        <w:tc>
          <w:tcPr>
            <w:tcW w:w="16.0%" w:type="pct"/>
            <w:tcBorders>
              <w:top w:val="single" w:sz="4" w:space="0" w:color="BFBFBF" w:themeColor="background1" w:themeShade="BF"/>
              <w:start w:val="single" w:sz="4" w:space="0" w:color="BFBFBF" w:themeColor="background1" w:themeShade="BF"/>
              <w:bottom w:val="double" w:sz="4" w:space="0" w:color="auto"/>
              <w:end w:val="single" w:sz="4" w:space="0" w:color="BFBFBF" w:themeColor="background1" w:themeShade="BF"/>
            </w:tcBorders>
            <w:shd w:val="clear" w:color="auto" w:fill="FFFFFF" w:themeFill="background1"/>
            <w:noWrap/>
            <w:vAlign w:val="center"/>
            <w:hideMark/>
          </w:tcPr>
          <w:p w14:paraId="472750C6" w14:textId="77777777" w:rsidR="00E075F7" w:rsidRPr="004F68EF" w:rsidRDefault="00E075F7" w:rsidP="00E075F7">
            <w:pPr>
              <w:rPr>
                <w:rFonts w:eastAsia="Times New Roman"/>
                <w:b/>
                <w:bCs/>
                <w:sz w:val="16"/>
                <w:szCs w:val="16"/>
                <w:lang w:eastAsia="zh-CN"/>
              </w:rPr>
            </w:pPr>
            <w:r w:rsidRPr="004F68EF">
              <w:rPr>
                <w:color w:val="000000"/>
                <w:sz w:val="16"/>
                <w:szCs w:val="16"/>
              </w:rPr>
              <w:t>9.87</w:t>
            </w:r>
          </w:p>
        </w:tc>
        <w:tc>
          <w:tcPr>
            <w:tcW w:w="15.0%" w:type="pct"/>
            <w:tcBorders>
              <w:top w:val="single" w:sz="4" w:space="0" w:color="BFBFBF" w:themeColor="background1" w:themeShade="BF"/>
              <w:start w:val="single" w:sz="4" w:space="0" w:color="BFBFBF" w:themeColor="background1" w:themeShade="BF"/>
              <w:bottom w:val="double" w:sz="4" w:space="0" w:color="auto"/>
              <w:end w:val="single" w:sz="4" w:space="0" w:color="BFBFBF" w:themeColor="background1" w:themeShade="BF"/>
            </w:tcBorders>
            <w:shd w:val="clear" w:color="auto" w:fill="FFFFFF" w:themeFill="background1"/>
            <w:noWrap/>
            <w:vAlign w:val="center"/>
            <w:hideMark/>
          </w:tcPr>
          <w:p w14:paraId="4A528B6E" w14:textId="77777777" w:rsidR="00E075F7" w:rsidRPr="004F68EF" w:rsidRDefault="00E075F7" w:rsidP="00E075F7">
            <w:pPr>
              <w:rPr>
                <w:rFonts w:eastAsia="Times New Roman"/>
                <w:b/>
                <w:bCs/>
                <w:sz w:val="16"/>
                <w:szCs w:val="16"/>
                <w:lang w:eastAsia="zh-CN"/>
              </w:rPr>
            </w:pPr>
            <w:r w:rsidRPr="004F68EF">
              <w:rPr>
                <w:color w:val="000000"/>
                <w:sz w:val="16"/>
                <w:szCs w:val="16"/>
              </w:rPr>
              <w:t>-</w:t>
            </w:r>
          </w:p>
        </w:tc>
        <w:tc>
          <w:tcPr>
            <w:tcW w:w="25.0%" w:type="pct"/>
            <w:tcBorders>
              <w:top w:val="single" w:sz="4" w:space="0" w:color="BFBFBF" w:themeColor="background1" w:themeShade="BF"/>
              <w:start w:val="single" w:sz="4" w:space="0" w:color="BFBFBF" w:themeColor="background1" w:themeShade="BF"/>
              <w:bottom w:val="double" w:sz="4" w:space="0" w:color="auto"/>
              <w:end w:val="double" w:sz="4" w:space="0" w:color="auto"/>
            </w:tcBorders>
            <w:shd w:val="clear" w:color="auto" w:fill="FFFFFF" w:themeFill="background1"/>
            <w:noWrap/>
            <w:vAlign w:val="center"/>
            <w:hideMark/>
          </w:tcPr>
          <w:p w14:paraId="5BBBCA15" w14:textId="77777777" w:rsidR="00E075F7" w:rsidRPr="004F68EF" w:rsidRDefault="00E075F7" w:rsidP="00E075F7">
            <w:pPr>
              <w:rPr>
                <w:rFonts w:eastAsia="Times New Roman"/>
                <w:b/>
                <w:bCs/>
                <w:sz w:val="16"/>
                <w:szCs w:val="16"/>
                <w:lang w:eastAsia="zh-CN"/>
              </w:rPr>
            </w:pPr>
            <w:r w:rsidRPr="004F68EF">
              <w:rPr>
                <w:color w:val="000000"/>
                <w:sz w:val="16"/>
                <w:szCs w:val="16"/>
              </w:rPr>
              <w:t>1</w:t>
            </w:r>
          </w:p>
        </w:tc>
      </w:tr>
    </w:tbl>
    <w:p w14:paraId="4702E619" w14:textId="086487D7" w:rsidR="004F68EF" w:rsidRDefault="004F68EF">
      <w:pPr>
        <w:jc w:val="start"/>
        <w:rPr>
          <w:bCs/>
        </w:rPr>
      </w:pPr>
    </w:p>
    <w:p w14:paraId="555928E5" w14:textId="2B59F1B7" w:rsidR="004E7903" w:rsidRPr="004E7903" w:rsidRDefault="004E7903" w:rsidP="004E7903">
      <w:pPr>
        <w:pStyle w:val="Plattetekst"/>
        <w:ind w:firstLine="0pt"/>
        <w:rPr>
          <w:bCs/>
        </w:rPr>
      </w:pPr>
      <w:r w:rsidRPr="00103DA8">
        <w:rPr>
          <w:bCs/>
        </w:rPr>
        <w:t>mobility hub neighborhood more often than car users in other income groups and choose another mode than the car for commuting in the new situation.</w:t>
      </w:r>
    </w:p>
    <w:p w14:paraId="2BDA8C56" w14:textId="22348EDB" w:rsidR="00103DA8" w:rsidRPr="00103DA8" w:rsidRDefault="00103DA8" w:rsidP="00103DA8">
      <w:pPr>
        <w:pStyle w:val="Plattetekst"/>
        <w:numPr>
          <w:ilvl w:val="0"/>
          <w:numId w:val="27"/>
        </w:numPr>
        <w:rPr>
          <w:bCs/>
          <w:i/>
          <w:lang w:val="nl-NL"/>
        </w:rPr>
      </w:pPr>
      <w:r>
        <w:rPr>
          <w:bCs/>
          <w:i/>
          <w:lang w:val="nl-NL"/>
        </w:rPr>
        <w:t>Residential location attributes</w:t>
      </w:r>
    </w:p>
    <w:p w14:paraId="7A467CAE" w14:textId="1E3DCD4C" w:rsidR="00103DA8" w:rsidRPr="00103DA8" w:rsidRDefault="00103DA8" w:rsidP="00103DA8">
      <w:pPr>
        <w:pStyle w:val="Plattetekst"/>
        <w:rPr>
          <w:bCs/>
          <w:lang w:val="en-US"/>
        </w:rPr>
      </w:pPr>
      <w:r w:rsidRPr="00103DA8">
        <w:rPr>
          <w:bCs/>
          <w:lang w:val="en-US"/>
        </w:rPr>
        <w:t>The distance to the city center is found to negatively affect the utility of the bicycle as a commute mode choice in the mobility hub residential location (β=-0.1</w:t>
      </w:r>
      <w:r w:rsidR="007B604F">
        <w:rPr>
          <w:bCs/>
          <w:lang w:val="en-US"/>
        </w:rPr>
        <w:t>4</w:t>
      </w:r>
      <w:r w:rsidRPr="00103DA8">
        <w:rPr>
          <w:bCs/>
          <w:lang w:val="en-US"/>
        </w:rPr>
        <w:t>, t=-1.82). This suggests that bicycle users appreciate being closer to the city center. This result is similar to findings from past studies</w:t>
      </w:r>
      <w:r w:rsidR="006D4B1C">
        <w:rPr>
          <w:bCs/>
          <w:lang w:val="en-US"/>
        </w:rPr>
        <w:t xml:space="preserve"> </w:t>
      </w:r>
      <w:r w:rsidR="006D4B1C">
        <w:rPr>
          <w:bCs/>
          <w:lang w:val="en-US"/>
        </w:rPr>
        <w:fldChar w:fldCharType="begin" w:fldLock="1"/>
      </w:r>
      <w:r w:rsidR="00A92DA0">
        <w:rPr>
          <w:bCs/>
          <w:lang w:val="en-US"/>
        </w:rPr>
        <w:instrText>ADDIN CSL_CITATION {"citationItems":[{"id":"ITEM-1","itemData":{"DOI":"10.1007/s11116-012-9399-4","author":[{"dropping-particle":"","family":"Heinen","given":"Eva","non-dropping-particle":"","parse-names":false,"suffix":""},{"dropping-particle":"","family":"Maat","given":"Kees","non-dropping-particle":"","parse-names":false,"suffix":""},{"dropping-particle":"Van","family":"Wee","given":"Bert","non-dropping-particle":"","parse-names":false,"suffix":""}],"id":"ITEM-1","issued":{"date-parts":[["2013"]]},"page":"23-43","title":"The effect of work-related factors on the bicycle commute mode choice in the Netherlands","type":"article-journal"},"uris":["http://www.mendeley.com/documents/?uuid=6bf07fa7-d8ee-43e9-baf0-18ea96d797b7"]}],"mendeley":{"formattedCitation":"[59]","plainTextFormattedCitation":"[59]","previouslyFormattedCitation":"[59]"},"properties":{"noteIndex":0},"schema":"https://github.com/citation-style-language/schema/raw/master/csl-citation.json"}</w:instrText>
      </w:r>
      <w:r w:rsidR="006D4B1C">
        <w:rPr>
          <w:bCs/>
          <w:lang w:val="en-US"/>
        </w:rPr>
        <w:fldChar w:fldCharType="separate"/>
      </w:r>
      <w:r w:rsidR="00A92DA0" w:rsidRPr="00A92DA0">
        <w:rPr>
          <w:bCs/>
          <w:noProof/>
          <w:lang w:val="en-US"/>
        </w:rPr>
        <w:t>[59]</w:t>
      </w:r>
      <w:r w:rsidR="006D4B1C">
        <w:rPr>
          <w:bCs/>
          <w:lang w:val="en-US"/>
        </w:rPr>
        <w:fldChar w:fldCharType="end"/>
      </w:r>
      <w:r w:rsidRPr="00103DA8">
        <w:rPr>
          <w:bCs/>
          <w:lang w:val="en-US"/>
        </w:rPr>
        <w:t xml:space="preserve">. </w:t>
      </w:r>
    </w:p>
    <w:p w14:paraId="7D2A1D50" w14:textId="057B89CC" w:rsidR="00103DA8" w:rsidRPr="00103DA8" w:rsidRDefault="00103DA8" w:rsidP="00103DA8">
      <w:pPr>
        <w:pStyle w:val="Plattetekst"/>
        <w:rPr>
          <w:bCs/>
          <w:lang w:val="en-US"/>
        </w:rPr>
      </w:pPr>
      <w:r w:rsidRPr="00103DA8">
        <w:rPr>
          <w:bCs/>
          <w:lang w:val="en-US"/>
        </w:rPr>
        <w:t>The housing costs are also found to negatively affect all options except the current/car option (β=-0.17, t=</w:t>
      </w:r>
      <w:r w:rsidR="00881B5B">
        <w:rPr>
          <w:bCs/>
          <w:lang w:val="en-US"/>
        </w:rPr>
        <w:br/>
      </w:r>
      <w:r w:rsidRPr="00103DA8">
        <w:rPr>
          <w:bCs/>
          <w:lang w:val="en-US"/>
        </w:rPr>
        <w:t>-3.77). This means that a decrease in the housing costs increases the probability of all other alternatives to be chosen significantly more than the probability of the current/car option. Looking at the elasticity of the housing costs (T</w:t>
      </w:r>
      <w:r w:rsidR="00881B5B">
        <w:rPr>
          <w:bCs/>
          <w:lang w:val="en-US"/>
        </w:rPr>
        <w:t>ABLE</w:t>
      </w:r>
      <w:r w:rsidRPr="00103DA8">
        <w:rPr>
          <w:bCs/>
          <w:lang w:val="en-US"/>
        </w:rPr>
        <w:t xml:space="preserve"> 5.2), it becomes clear that those who choose the neighborhood with mobility hubs are insensitive to price changes. However, when in the current residential situation, the housing costs increase by €100,- per month, the utility of this location reduces by 13.4% (i.e. change in the elasticity). This shows that the move of respondents is dependent on their current housing costs. Past studies generally found that housing </w:t>
      </w:r>
      <w:r w:rsidRPr="00103DA8">
        <w:rPr>
          <w:bCs/>
          <w:lang w:val="en-US"/>
        </w:rPr>
        <w:t xml:space="preserve">costs have a negative influence on the utility of a residential location </w:t>
      </w:r>
      <w:r w:rsidRPr="00103DA8">
        <w:rPr>
          <w:bCs/>
          <w:lang w:val="en-US"/>
        </w:rPr>
        <w:fldChar w:fldCharType="begin" w:fldLock="1"/>
      </w:r>
      <w:r w:rsidR="00A92DA0">
        <w:rPr>
          <w:bCs/>
          <w:lang w:val="en-US"/>
        </w:rPr>
        <w:instrText>ADDIN CSL_CITATION {"citationItems":[{"id":"ITEM-1","itemData":{"DOI":"10.1016/j.trb.2009.02.002","author":[{"dropping-particle":"","family":"Pinjari","given":"Abdul R","non-dropping-particle":"","parse-names":false,"suffix":""},{"dropping-particle":"","family":"Bhat","given":"Chandra","non-dropping-particle":"","parse-names":false,"suffix":""},{"dropping-particle":"","family":"Hensher","given":"David A","non-dropping-particle":"","parse-names":false,"suffix":""}],"id":"ITEM-1","issue":"August","issued":{"date-parts":[["2009"]]},"title":"Residential self-selection effects in an activity time-use behavior model","type":"article-journal"},"uris":["http://www.mendeley.com/documents/?uuid=b9f6c494-28fa-45db-94d4-4b16f978c6a9"]},{"id":"ITEM-2","itemData":{"DOI":"10.1007/978-3-662-07809-9_9","abstract":"This paper argues the case, that self-selection effects are pervasive in spatial and transport-related decision making. This argument is not new, but the recent interest in appropriate models of change and of daily behaviour under constraints brings it to forefront of interest again. Using descriptive examples and two choice models (set of mobility tools of a household and housing location choice) the paper demonstrates these effects empirically. While the statistically proper solution is the development of self-selection models, which make the decisions about the constraints endogenous to the system, this strategy is difficult in this context due to the long time-horizons/long histories of the relevant decisions. In this paper the constraints were described with variables reflecting those previous decisions. In the model of the mobility tool choice: housing location (type of location, distance to nearest public transport stop; housing costs; distances to work and shopping); in the model of residential choice: distance to previous residential location, type of previous location, distances to work and education). All are significant and have the expected signs.","author":[{"dropping-particle":"","family":"Axhausen","given":"Kay W.","non-dropping-particle":"","parse-names":false,"suffix":""},{"dropping-particle":"","family":"König","given":"Arnd","non-dropping-particle":"","parse-names":false,"suffix":""},{"dropping-particle":"","family":"Scott","given":"Darren M.","non-dropping-particle":"","parse-names":false,"suffix":""},{"dropping-particle":"","family":"Jürgens","given":"Claudia","non-dropping-particle":"","parse-names":false,"suffix":""}],"container-title":"Human Behaviour and Traffic Networks","id":"ITEM-2","issued":{"date-parts":[["2004"]]},"title":"Locations, commitments and activity spaces","type":"chapter"},"uris":["http://www.mendeley.com/documents/?uuid=dcd0d280-0e62-4a67-ab64-381090a7f8ce"]}],"mendeley":{"formattedCitation":"[22], [60]","plainTextFormattedCitation":"[22], [60]","previouslyFormattedCitation":"[22], [60]"},"properties":{"noteIndex":0},"schema":"https://github.com/citation-style-language/schema/raw/master/csl-citation.json"}</w:instrText>
      </w:r>
      <w:r w:rsidRPr="00103DA8">
        <w:rPr>
          <w:bCs/>
          <w:lang w:val="en-US"/>
        </w:rPr>
        <w:fldChar w:fldCharType="separate"/>
      </w:r>
      <w:r w:rsidR="00A92DA0" w:rsidRPr="00A92DA0">
        <w:rPr>
          <w:bCs/>
          <w:noProof/>
          <w:lang w:val="en-US"/>
        </w:rPr>
        <w:t>[22], [60]</w:t>
      </w:r>
      <w:r w:rsidRPr="00103DA8">
        <w:rPr>
          <w:bCs/>
        </w:rPr>
        <w:fldChar w:fldCharType="end"/>
      </w:r>
      <w:r w:rsidRPr="00103DA8">
        <w:rPr>
          <w:bCs/>
          <w:lang w:val="en-US"/>
        </w:rPr>
        <w:t xml:space="preserve">. </w:t>
      </w:r>
    </w:p>
    <w:p w14:paraId="53B37AE0" w14:textId="35A47B47" w:rsidR="00103DA8" w:rsidRDefault="00103DA8" w:rsidP="00103DA8">
      <w:pPr>
        <w:pStyle w:val="Plattetekst"/>
        <w:rPr>
          <w:bCs/>
          <w:lang w:val="en-US"/>
        </w:rPr>
      </w:pPr>
      <w:r w:rsidRPr="00103DA8">
        <w:rPr>
          <w:bCs/>
          <w:lang w:val="en-US"/>
        </w:rPr>
        <w:t>In the discussion of the descriptive statistics, it is highlighted that respondents prefer terraced houses and detached houses over apartments. This result holds in the model. With the apartment dummy as the reference, the terraced house and detached house dummies have a positive effect on the utility (respectively β=0.5</w:t>
      </w:r>
      <w:r w:rsidR="007B604F">
        <w:rPr>
          <w:bCs/>
          <w:lang w:val="en-US"/>
        </w:rPr>
        <w:t>1</w:t>
      </w:r>
      <w:r w:rsidRPr="00103DA8">
        <w:rPr>
          <w:bCs/>
          <w:lang w:val="en-US"/>
        </w:rPr>
        <w:t xml:space="preserve">, t=2.38 and β=0.91, t=3.23). Since the car/current option is the reference for all other options, this result can be interpreted as having the exact opposite effect than all other alternatives. In the existing body of literature, no exclusive results are available on preferences towards housing type and differences exist between studies based on geographical location </w:t>
      </w:r>
      <w:r w:rsidRPr="00103DA8">
        <w:rPr>
          <w:bCs/>
          <w:lang w:val="en-US"/>
        </w:rPr>
        <w:fldChar w:fldCharType="begin" w:fldLock="1"/>
      </w:r>
      <w:r w:rsidR="00517676">
        <w:rPr>
          <w:bCs/>
          <w:lang w:val="en-US"/>
        </w:rPr>
        <w:instrText>ADDIN CSL_CITATION {"citationItems":[{"id":"ITEM-1","itemData":{"DOI":"10.5198/jtlu.v7i2.740","ISSN":"19387849","abstract":"Geospatial data available to researchers has increased tremendously over the last several decades, opening up opportunities to define residential locationinmultipleways.?ishas ledtoamyriad of variables todefine “location” inresidential locationchoicemodels. Inthispaper, we propose a common classification for location variables and categorize findings from a wide range of studies. We find similar preferences but different measurement methods andmarket segments for locations across different study regions. Recent studies consider the residential unit as choice alternative,making it possible to include a detailed description of the built environment. However, these studies are still limited in number and the inclusion of socioeconomic environment is more common. Transport land-use models can benefit from the inclusion of points of interest, such as schools, network distances, and the distance to previous locations. For the results of location choice models to be transferable to different disciplines, and avoidmulti-collinearity, it is necessary to present differentmodel specifications, including variables of interest in different disciplines","author":[{"dropping-particle":"","family":"Schirmer","given":"Patrick M.","non-dropping-particle":"","parse-names":false,"suffix":""},{"dropping-particle":"","family":"Eggermond","given":"Michael A.B.","non-dropping-particle":"van","parse-names":false,"suffix":""},{"dropping-particle":"","family":"Axhausen","given":"Kay W.","non-dropping-particle":"","parse-names":false,"suffix":""}],"container-title":"Journal of Transport and Land Use","id":"ITEM-1","issue":"2","issued":{"date-parts":[["2014"]]},"page":"3-21","title":"The role of location in residential location choice models: A review of literature","type":"article-journal","volume":"7"},"uris":["http://www.mendeley.com/documents/?uuid=b1f73105-4218-41be-bb9d-386621ffde7a"]}],"mendeley":{"formattedCitation":"[21]","plainTextFormattedCitation":"[21]","previouslyFormattedCitation":"[21]"},"properties":{"noteIndex":0},"schema":"https://github.com/citation-style-language/schema/raw/master/csl-citation.json"}</w:instrText>
      </w:r>
      <w:r w:rsidRPr="00103DA8">
        <w:rPr>
          <w:bCs/>
          <w:lang w:val="en-US"/>
        </w:rPr>
        <w:fldChar w:fldCharType="separate"/>
      </w:r>
      <w:r w:rsidR="00F02ABA" w:rsidRPr="00F02ABA">
        <w:rPr>
          <w:bCs/>
          <w:noProof/>
          <w:lang w:val="en-US"/>
        </w:rPr>
        <w:t>[21]</w:t>
      </w:r>
      <w:r w:rsidRPr="00103DA8">
        <w:rPr>
          <w:bCs/>
        </w:rPr>
        <w:fldChar w:fldCharType="end"/>
      </w:r>
      <w:r w:rsidRPr="00103DA8">
        <w:rPr>
          <w:bCs/>
          <w:lang w:val="en-US"/>
        </w:rPr>
        <w:t xml:space="preserve">. </w:t>
      </w:r>
    </w:p>
    <w:p w14:paraId="277DC41C" w14:textId="77777777" w:rsidR="00103DA8" w:rsidRPr="00103DA8" w:rsidRDefault="00103DA8" w:rsidP="00103DA8">
      <w:pPr>
        <w:pStyle w:val="Plattetekst"/>
        <w:numPr>
          <w:ilvl w:val="0"/>
          <w:numId w:val="27"/>
        </w:numPr>
        <w:rPr>
          <w:bCs/>
          <w:i/>
          <w:lang w:val="en-US"/>
        </w:rPr>
      </w:pPr>
      <w:r>
        <w:rPr>
          <w:bCs/>
          <w:i/>
          <w:lang w:val="en-US"/>
        </w:rPr>
        <w:t>Travel attributes</w:t>
      </w:r>
    </w:p>
    <w:p w14:paraId="1ED92CC2" w14:textId="021A3314" w:rsidR="00103DA8" w:rsidRPr="00103DA8" w:rsidRDefault="00103DA8" w:rsidP="00103DA8">
      <w:pPr>
        <w:pStyle w:val="Plattetekst"/>
        <w:rPr>
          <w:bCs/>
        </w:rPr>
      </w:pPr>
      <w:r w:rsidRPr="00103DA8">
        <w:rPr>
          <w:bCs/>
        </w:rPr>
        <w:t xml:space="preserve">Model results show that travel costs have a negative influence on all alternatives (β=-0.39, t=-0.108). The directionality is to be expected since a flat increase in the costs should logically lower the utility of an alternative. Within the current residential situation, car users are more sensitive to a price change of €100,- per month than users of public transit (elasticity of 13.4% and 6.1% respectively). Within the mobility hub neighborhood, the car users and public transit users are more sensitive to the same price change (elasticity of  28.8% and 42.3% respectively). Notably, the sensitivity of public transit users to changes in the travel cost is higher in this case, which indicates that the respondents are more sensitive to the price of public transit when they take up public transit use after moving than when they continue using public transit. </w:t>
      </w:r>
    </w:p>
    <w:p w14:paraId="0C96C600" w14:textId="3262BEFD" w:rsidR="00103DA8" w:rsidRDefault="00103DA8" w:rsidP="00103DA8">
      <w:pPr>
        <w:pStyle w:val="Plattetekst"/>
        <w:rPr>
          <w:bCs/>
        </w:rPr>
      </w:pPr>
      <w:r w:rsidRPr="00103DA8">
        <w:rPr>
          <w:bCs/>
        </w:rPr>
        <w:t>Travel time also has a negative influence on all alternatives (β=-0.1</w:t>
      </w:r>
      <w:r w:rsidR="007B604F" w:rsidRPr="007B604F">
        <w:rPr>
          <w:bCs/>
          <w:lang w:val="en-US"/>
        </w:rPr>
        <w:t>1</w:t>
      </w:r>
      <w:r w:rsidRPr="00103DA8">
        <w:rPr>
          <w:bCs/>
        </w:rPr>
        <w:t xml:space="preserve">, t=-3.11). This finding is not surprising, since a lower accessibility of the work location is generally found to negatively influence the value of a residential location </w:t>
      </w:r>
      <w:r w:rsidRPr="00103DA8">
        <w:rPr>
          <w:bCs/>
        </w:rPr>
        <w:fldChar w:fldCharType="begin" w:fldLock="1"/>
      </w:r>
      <w:r w:rsidR="00517676">
        <w:rPr>
          <w:bCs/>
        </w:rPr>
        <w:instrText>ADDIN CSL_CITATION {"citationItems":[{"id":"ITEM-1","itemData":{"DOI":"10.5198/jtlu.v7i2.740","ISSN":"19387849","abstract":"Geospatial data available to researchers has increased tremendously over the last several decades, opening up opportunities to define residential locationinmultipleways.?ishas ledtoamyriad of variables todefine “location” inresidential locationchoicemodels. Inthispaper, we propose a common classification for location variables and categorize findings from a wide range of studies. We find similar preferences but different measurement methods andmarket segments for locations across different study regions. Recent studies consider the residential unit as choice alternative,making it possible to include a detailed description of the built environment. However, these studies are still limited in number and the inclusion of socioeconomic environment is more common. Transport land-use models can benefit from the inclusion of points of interest, such as schools, network distances, and the distance to previous locations. For the results of location choice models to be transferable to different disciplines, and avoidmulti-collinearity, it is necessary to present differentmodel specifications, including variables of interest in different disciplines","author":[{"dropping-particle":"","family":"Schirmer","given":"Patrick M.","non-dropping-particle":"","parse-names":false,"suffix":""},{"dropping-particle":"","family":"Eggermond","given":"Michael A.B.","non-dropping-particle":"van","parse-names":false,"suffix":""},{"dropping-particle":"","family":"Axhausen","given":"Kay W.","non-dropping-particle":"","parse-names":false,"suffix":""}],"container-title":"Journal of Transport and Land Use","id":"ITEM-1","issue":"2","issued":{"date-parts":[["2014"]]},"page":"3-21","title":"The role of location in residential location choice models: A review of literature","type":"article-journal","volume":"7"},"uris":["http://www.mendeley.com/documents/?uuid=b1f73105-4218-41be-bb9d-386621ffde7a"]},{"id":"ITEM-2","itemData":{"DOI":"10.3929/ethz-a-010782581","ISBN":"8610828378018","abstract":"In the context of a land use – transport simulation for the Greater Zurich area that is currently being developed at ETH Zurich, multinomial logit models of residential location choice havebeen estimated. The estimations were based on two datasets: a household survey conducted in 2005 and real estate offers collected from the Internet in 2004 and 2005. Drawing on these data sources, a number of different variable combinations were tested in order to obtain models with satisfactory explanatory power. In addition, estimation results for specific household types werecompared. A core set of variables was used as a starting point to explore the significance of variouscharacteristics of household, dwelling and location. This core set was then tentatively extended by adding further variables. Variables that proved significant comprised mostly location-related attributes like various densities or travel time to city centre but also characteristics of municipalities like the rate of vacant rental units or the tax index and housing unit’s features such as price and size. Interaction terms with sociodemographic attributes of the decision-making households were introduced to improve the explanatory power of the models. More detailed results were obtained by estimating separate models for different household types. Those types were formed regarding sociodemographic and socioeconomic features. For choice set selection, random sampling was applied. This approach might later be extended to include stratified sampling strategies making use of similarities between chosen and non-chosen alternatives. For carrying out the sampling procedures a custom made Java programmewas developed. The models resulting from the estimation process are presented and evaluated in the paper athand.","author":[{"dropping-particle":"","family":"Bürgle","given":"Michaela","non-dropping-particle":"","parse-names":false,"suffix":""}],"container-title":"Swiss Transport Research Conference","id":"ITEM-2","issued":{"date-parts":[["2006"]]},"page":"12-19","title":"Residential location choice model for the Greater Zurich area","type":"article-journal"},"uris":["http://www.mendeley.com/documents/?uuid=285de8cb-cf79-4f44-8a6d-885c4d4bdb9a"]}],"mendeley":{"formattedCitation":"[21], [24]","plainTextFormattedCitation":"[21], [24]","previouslyFormattedCitation":"[21], [24]"},"properties":{"noteIndex":0},"schema":"https://github.com/citation-style-language/schema/raw/master/csl-citation.json"}</w:instrText>
      </w:r>
      <w:r w:rsidRPr="00103DA8">
        <w:rPr>
          <w:bCs/>
        </w:rPr>
        <w:fldChar w:fldCharType="separate"/>
      </w:r>
      <w:r w:rsidR="00F02ABA" w:rsidRPr="00F02ABA">
        <w:rPr>
          <w:bCs/>
          <w:noProof/>
        </w:rPr>
        <w:t>[21], [24]</w:t>
      </w:r>
      <w:r w:rsidRPr="00103DA8">
        <w:rPr>
          <w:bCs/>
        </w:rPr>
        <w:fldChar w:fldCharType="end"/>
      </w:r>
      <w:r w:rsidRPr="00103DA8">
        <w:rPr>
          <w:bCs/>
        </w:rPr>
        <w:t xml:space="preserve">. When the travel time is increased with 10 minutes, the utility of the car decreases the least while the utility of walking increases the most in both the current situation (Elasticity of 19% and 51% respectively) and the mobility hub situation (Elasticity of 20% and 61% respectively). The remaining residential area/mode combinations have a travel time elasticity ranging from 38% to 44%. The interaction between a high income and travel time also returns significant (β=-0.39, t=-2.58), which shows that for those with a high income travel time has an even stronger negative effect. </w:t>
      </w:r>
    </w:p>
    <w:p w14:paraId="0F36B855" w14:textId="77777777" w:rsidR="00103DA8" w:rsidRPr="00103DA8" w:rsidRDefault="00103DA8" w:rsidP="00103DA8">
      <w:pPr>
        <w:pStyle w:val="Plattetekst"/>
        <w:numPr>
          <w:ilvl w:val="0"/>
          <w:numId w:val="27"/>
        </w:numPr>
        <w:rPr>
          <w:bCs/>
          <w:i/>
          <w:lang w:val="en-US"/>
        </w:rPr>
      </w:pPr>
      <w:r w:rsidRPr="00103DA8">
        <w:rPr>
          <w:bCs/>
          <w:i/>
          <w:lang w:val="en-US"/>
        </w:rPr>
        <w:t>Trade-off</w:t>
      </w:r>
      <w:r>
        <w:rPr>
          <w:bCs/>
          <w:i/>
          <w:lang w:val="en-US"/>
        </w:rPr>
        <w:t xml:space="preserve"> effects</w:t>
      </w:r>
    </w:p>
    <w:p w14:paraId="414A4F8C" w14:textId="5E1557D1" w:rsidR="00103DA8" w:rsidRDefault="00103DA8" w:rsidP="00103DA8">
      <w:pPr>
        <w:pStyle w:val="Plattetekst"/>
        <w:rPr>
          <w:bCs/>
          <w:lang w:val="en-US"/>
        </w:rPr>
      </w:pPr>
      <w:r w:rsidRPr="00103DA8">
        <w:rPr>
          <w:bCs/>
          <w:lang w:val="en-US"/>
        </w:rPr>
        <w:t>The effects of the continuous variables are further analyzed by looking at the trade-offs between them (</w:t>
      </w:r>
      <w:r w:rsidR="007B604F">
        <w:rPr>
          <w:bCs/>
          <w:lang w:val="en-US"/>
        </w:rPr>
        <w:t>TABLE</w:t>
      </w:r>
      <w:r w:rsidRPr="00103DA8">
        <w:rPr>
          <w:bCs/>
          <w:lang w:val="en-US"/>
        </w:rPr>
        <w:t xml:space="preserve"> 5.2). Practically speaking, this means observing the change in the value of one variable when 1 unit is added to the value of another while keeping the utility constant. Interestingly, a change of €1,- in the housing costs requires a change of €2.24 in the travel costs to reach the same utility value. This means that the respondents are more sensitive to changes in housing costs than in travel costs. Since the trade-off is not 1, which should be expected since both costs add up to the total of monthly costs, the respondents show to have an irrational bias towards housing costs. Looking at the other trade-offs, when the housing costs increase with €1,- the travel time </w:t>
      </w:r>
      <w:r w:rsidRPr="00103DA8">
        <w:rPr>
          <w:bCs/>
          <w:lang w:val="en-US"/>
        </w:rPr>
        <w:lastRenderedPageBreak/>
        <w:t>needs to decrease with 3.6 seconds (0.06 minutes) to keep the utility constant. Then, a change of €100,- is generally worth 6 minutes to the respondents. For high income respondents a €1,- change in housing costs requires an additional travel time change of 13.8 seconds (0.23 minutes). Similarly, a €1,- change in travel costs requires a larger trade-off among individuals with a higher income than among individuals with a lower or middle income: The general trade-off is 1.8 seconds (0.3 minutes) against €1,-, while the trade-off among high-income respondents is an additional 6 seconds (0.1 minutes). These observations are unexpected, since it would seem logical that individuals with a higher income would be more willing to trade a flat amount of their income for better work accessibility than individuals with a lower or middle income. These findings are left unexplained.</w:t>
      </w:r>
    </w:p>
    <w:p w14:paraId="5ADA9050" w14:textId="77777777" w:rsidR="00103DA8" w:rsidRDefault="00805F38" w:rsidP="00103DA8">
      <w:pPr>
        <w:pStyle w:val="Kop1"/>
      </w:pPr>
      <w:r>
        <w:t>conclusion, limitations and reflection</w:t>
      </w:r>
    </w:p>
    <w:p w14:paraId="0DDF40D5" w14:textId="77777777" w:rsidR="00103DA8" w:rsidRPr="00103DA8" w:rsidRDefault="00103DA8" w:rsidP="00103DA8">
      <w:pPr>
        <w:pStyle w:val="Plattetekst"/>
        <w:rPr>
          <w:bCs/>
        </w:rPr>
      </w:pPr>
      <w:r w:rsidRPr="00103DA8">
        <w:rPr>
          <w:bCs/>
        </w:rPr>
        <w:t xml:space="preserve">This research has identified several factors that should be taken into consideration during the identification of target groups of mobility hubs in the Dutch context. </w:t>
      </w:r>
      <w:r w:rsidRPr="00103DA8">
        <w:rPr>
          <w:bCs/>
          <w:u w:val="single"/>
        </w:rPr>
        <w:t>First</w:t>
      </w:r>
      <w:r w:rsidRPr="00103DA8">
        <w:rPr>
          <w:bCs/>
        </w:rPr>
        <w:t xml:space="preserve">, the model results indicate that older adults reduce the probability of moving to the mobility hub residential area. This result supports the expectation that primarily the millennial group would be interested in the mobility hub lifestyle. </w:t>
      </w:r>
      <w:r w:rsidRPr="00103DA8">
        <w:rPr>
          <w:bCs/>
          <w:u w:val="single"/>
        </w:rPr>
        <w:t>Second</w:t>
      </w:r>
      <w:r w:rsidRPr="00103DA8">
        <w:rPr>
          <w:bCs/>
        </w:rPr>
        <w:t xml:space="preserve">, high-income respondents show to be particularly sensitive to travel time in their combined mode and residential choice.  Moreover, high-income respondents show a preference for public transit, cycling or walking over the car. An explanation lies in the fact that this study only targeted single worker households. The high-income singles in this study prefer not to maintain costly car ownership just for themselves. The results on the travel time and mode choice signal a possible preference of high-income respondents for using their income to improve their situation in other ways than mode choice, such as improving their accessibility by moving to higher priority residential locations. </w:t>
      </w:r>
      <w:r w:rsidRPr="00103DA8">
        <w:rPr>
          <w:bCs/>
          <w:u w:val="single"/>
        </w:rPr>
        <w:t>Third</w:t>
      </w:r>
      <w:r w:rsidRPr="00103DA8">
        <w:rPr>
          <w:bCs/>
        </w:rPr>
        <w:t xml:space="preserve">, the respondents do not seem to prioritize the parking conditions when considering a move. During the estimation of the model, these dropped for all alternatives, meaning this study could not find a significant effect of parking conditions on the combined residential and mode choice. </w:t>
      </w:r>
      <w:r w:rsidRPr="00103DA8">
        <w:rPr>
          <w:bCs/>
          <w:u w:val="single"/>
        </w:rPr>
        <w:t>Fourth</w:t>
      </w:r>
      <w:r w:rsidRPr="00103DA8">
        <w:rPr>
          <w:bCs/>
        </w:rPr>
        <w:t xml:space="preserve">, housing costs and travel costs are found to be important factors in the choice to move or not. Especially the housing costs are found to be a strong factor. </w:t>
      </w:r>
    </w:p>
    <w:p w14:paraId="48C6D0D8" w14:textId="77777777" w:rsidR="00103DA8" w:rsidRPr="00103DA8" w:rsidRDefault="00103DA8" w:rsidP="00103DA8">
      <w:pPr>
        <w:pStyle w:val="Plattetekst"/>
        <w:rPr>
          <w:bCs/>
        </w:rPr>
      </w:pPr>
      <w:r w:rsidRPr="00103DA8">
        <w:rPr>
          <w:bCs/>
        </w:rPr>
        <w:t xml:space="preserve">Based on the results in this study, it can be recommended that urban planners looking to attract households with working singles make a distinction between high-income households and other households in the Dutch context. High-income singles are shown to prefer anything but the car and to be more sensitive to high travel times than the other income groups and could, therefore, be ideal candidates for living in a residential area with mobility hubs. This research has not found any indication that differences within parking facilities have a significant impact on the willingness of respondents to move to a mobility hub. Rather, self-selection occurs where car users are relatively less often willing to switch to the mobility hub in the Dutch context. It could, therefore, be recommended that policymakers do not try to get car users to get rid of their car to move to mobility hubs but rather to target individuals who are currently not </w:t>
      </w:r>
      <w:r w:rsidRPr="00103DA8">
        <w:rPr>
          <w:bCs/>
        </w:rPr>
        <w:t>showing a preference for the car. These individuals are more likely to appreciate the lifestyle that mobility hubs offer.</w:t>
      </w:r>
    </w:p>
    <w:p w14:paraId="0E46C16B" w14:textId="397562F7" w:rsidR="00103DA8" w:rsidRPr="00103DA8" w:rsidRDefault="00103DA8" w:rsidP="00103DA8">
      <w:pPr>
        <w:pStyle w:val="Plattetekst"/>
        <w:rPr>
          <w:bCs/>
        </w:rPr>
      </w:pPr>
      <w:r w:rsidRPr="00103DA8">
        <w:rPr>
          <w:bCs/>
        </w:rPr>
        <w:t xml:space="preserve">The current study is not without limitations. Firstly, only single households are investigated, which means that the results are not relatable to any other household type. Neighborhoods with mobility hubs are not restricted to single households. Secondly, the sample size of the survey is small, limiting the number of explanatory variables the model could hold. As a result, only the most substantial factors are identified in this study while relevant lower-tier factors might remain unnoticed. </w:t>
      </w:r>
    </w:p>
    <w:p w14:paraId="4B76DC45" w14:textId="020D9159" w:rsidR="00103DA8" w:rsidRDefault="00103DA8" w:rsidP="00103DA8">
      <w:pPr>
        <w:pStyle w:val="Plattetekst"/>
        <w:rPr>
          <w:bCs/>
        </w:rPr>
      </w:pPr>
      <w:r w:rsidRPr="00103DA8">
        <w:rPr>
          <w:bCs/>
        </w:rPr>
        <w:t xml:space="preserve">Future studies are encouraged to pick up where this study left off. We believe that research on the demand for mobility hubs is an avenue well-worth pursuing. This paper has shown that combining residential </w:t>
      </w:r>
      <w:r w:rsidR="00501EA0" w:rsidRPr="00501EA0">
        <w:rPr>
          <w:bCs/>
          <w:lang w:val="en-US"/>
        </w:rPr>
        <w:t>sel</w:t>
      </w:r>
      <w:r w:rsidR="00501EA0">
        <w:rPr>
          <w:bCs/>
          <w:lang w:val="en-US"/>
        </w:rPr>
        <w:t>f-selection</w:t>
      </w:r>
      <w:r w:rsidRPr="00103DA8">
        <w:rPr>
          <w:bCs/>
        </w:rPr>
        <w:t xml:space="preserve"> and modal choice is a valid approach in this pursuit. Future research could expand on this by investigating the demand among multiple worker households, by studying non-work related travel and housing demand in mobility hub neighborhoods, or by further integrating the complexity of multimodal travel in the research design. </w:t>
      </w:r>
    </w:p>
    <w:p w14:paraId="0338FBE0" w14:textId="0A1D5059" w:rsidR="00CC162F" w:rsidRDefault="00CC162F" w:rsidP="00CC162F">
      <w:pPr>
        <w:pStyle w:val="Kop1"/>
        <w:numPr>
          <w:ilvl w:val="0"/>
          <w:numId w:val="0"/>
        </w:numPr>
      </w:pPr>
      <w:r>
        <w:t>contributions</w:t>
      </w:r>
    </w:p>
    <w:p w14:paraId="5D8DAB1E" w14:textId="29923384" w:rsidR="00CC162F" w:rsidRPr="00CC162F" w:rsidRDefault="00A92FC2" w:rsidP="001F45B5">
      <w:pPr>
        <w:pStyle w:val="Plattetekst"/>
        <w:rPr>
          <w:bCs/>
          <w:lang w:val="en-US"/>
        </w:rPr>
      </w:pPr>
      <w:r w:rsidRPr="00A92FC2">
        <w:rPr>
          <w:bCs/>
          <w:lang w:val="en-US"/>
        </w:rPr>
        <w:t>This paper was produced by the author, Eric Top.</w:t>
      </w:r>
      <w:r>
        <w:rPr>
          <w:bCs/>
          <w:lang w:val="en-US"/>
        </w:rPr>
        <w:t xml:space="preserve"> Support, feedback, and guidance was given by dr. Anae Sobhani, who </w:t>
      </w:r>
      <w:r w:rsidR="00711CE8">
        <w:rPr>
          <w:bCs/>
          <w:lang w:val="en-US"/>
        </w:rPr>
        <w:t>supervised the entirety of the research process and contributed to the survey design and data analysis</w:t>
      </w:r>
      <w:r>
        <w:rPr>
          <w:bCs/>
          <w:lang w:val="en-US"/>
        </w:rPr>
        <w:t>.</w:t>
      </w:r>
      <w:r w:rsidR="00711CE8">
        <w:rPr>
          <w:bCs/>
          <w:lang w:val="en-US"/>
        </w:rPr>
        <w:t xml:space="preserve"> </w:t>
      </w:r>
      <w:r w:rsidR="001F45B5">
        <w:rPr>
          <w:bCs/>
          <w:lang w:val="en-US"/>
        </w:rPr>
        <w:t>D</w:t>
      </w:r>
      <w:r w:rsidR="00711CE8">
        <w:rPr>
          <w:bCs/>
          <w:lang w:val="en-US"/>
        </w:rPr>
        <w:t>r.</w:t>
      </w:r>
      <w:r>
        <w:rPr>
          <w:bCs/>
          <w:lang w:val="en-US"/>
        </w:rPr>
        <w:t xml:space="preserve"> </w:t>
      </w:r>
      <w:r w:rsidR="00711CE8">
        <w:rPr>
          <w:bCs/>
          <w:lang w:val="en-US"/>
        </w:rPr>
        <w:t xml:space="preserve">Francisco Bahamonde Birke also made contributions to the data analysis. </w:t>
      </w:r>
      <w:r w:rsidR="001F45B5">
        <w:rPr>
          <w:bCs/>
          <w:lang w:val="en-US"/>
        </w:rPr>
        <w:t>D</w:t>
      </w:r>
      <w:r w:rsidR="00711CE8">
        <w:rPr>
          <w:bCs/>
          <w:lang w:val="en-US"/>
        </w:rPr>
        <w:t xml:space="preserve">r. Ahmad Sobhani and </w:t>
      </w:r>
      <w:r w:rsidR="001F45B5">
        <w:rPr>
          <w:bCs/>
          <w:lang w:val="en-US"/>
        </w:rPr>
        <w:t>D</w:t>
      </w:r>
      <w:r w:rsidR="00711CE8">
        <w:rPr>
          <w:bCs/>
          <w:lang w:val="en-US"/>
        </w:rPr>
        <w:t xml:space="preserve">r. Sina Shokoohyar assisted in the research design. </w:t>
      </w:r>
      <w:r w:rsidR="001F45B5">
        <w:rPr>
          <w:bCs/>
          <w:lang w:val="en-US"/>
        </w:rPr>
        <w:t>D</w:t>
      </w:r>
      <w:r w:rsidR="00711CE8">
        <w:rPr>
          <w:bCs/>
          <w:lang w:val="en-US"/>
        </w:rPr>
        <w:t>r. Nico Dogterom contributed to the data collection process.</w:t>
      </w:r>
    </w:p>
    <w:p w14:paraId="29ED17F6" w14:textId="77777777" w:rsidR="00805F38" w:rsidRPr="001F09EE" w:rsidRDefault="00805F38" w:rsidP="00805F38">
      <w:pPr>
        <w:pStyle w:val="Kop1"/>
        <w:numPr>
          <w:ilvl w:val="0"/>
          <w:numId w:val="0"/>
        </w:numPr>
      </w:pPr>
      <w:r w:rsidRPr="001F09EE">
        <w:t>Acknowledgment</w:t>
      </w:r>
    </w:p>
    <w:p w14:paraId="07BD0A7E" w14:textId="65285FAA" w:rsidR="00805F38" w:rsidRDefault="00805F38" w:rsidP="00805F38">
      <w:pPr>
        <w:pStyle w:val="Plattetekst"/>
        <w:rPr>
          <w:bCs/>
        </w:rPr>
      </w:pPr>
      <w:r w:rsidRPr="00805F38">
        <w:rPr>
          <w:bCs/>
        </w:rPr>
        <w:t>This paper was made possible by the support of Goudappel Coffeng who provided the means for the data collection and gave access to valuable insights in the planning practices surrounding mobility hubs</w:t>
      </w:r>
      <w:r w:rsidR="00675EFD" w:rsidRPr="00675EFD">
        <w:rPr>
          <w:bCs/>
          <w:lang w:val="en-US"/>
        </w:rPr>
        <w:t xml:space="preserve"> </w:t>
      </w:r>
      <w:r w:rsidR="00675EFD">
        <w:rPr>
          <w:bCs/>
          <w:lang w:val="en-US"/>
        </w:rPr>
        <w:t>and the Merwedekanaalzone</w:t>
      </w:r>
      <w:r w:rsidRPr="00805F38">
        <w:rPr>
          <w:bCs/>
        </w:rPr>
        <w:t xml:space="preserve">. </w:t>
      </w:r>
    </w:p>
    <w:p w14:paraId="7A483A3E" w14:textId="77777777" w:rsidR="00805F38" w:rsidRPr="001F09EE" w:rsidRDefault="00805F38" w:rsidP="00F02ABA">
      <w:pPr>
        <w:pStyle w:val="Kop1"/>
        <w:numPr>
          <w:ilvl w:val="0"/>
          <w:numId w:val="0"/>
        </w:numPr>
        <w:jc w:val="start"/>
      </w:pPr>
      <w:r w:rsidRPr="001F09EE">
        <w:t>References</w:t>
      </w:r>
    </w:p>
    <w:p w14:paraId="37D33522" w14:textId="7C629838" w:rsidR="00A92DA0" w:rsidRPr="00A92DA0" w:rsidRDefault="00E61426" w:rsidP="00A92DA0">
      <w:pPr>
        <w:widowControl w:val="0"/>
        <w:autoSpaceDE w:val="0"/>
        <w:autoSpaceDN w:val="0"/>
        <w:adjustRightInd w:val="0"/>
        <w:ind w:start="32pt" w:hanging="32pt"/>
        <w:jc w:val="start"/>
        <w:rPr>
          <w:noProof/>
          <w:szCs w:val="24"/>
        </w:rPr>
      </w:pPr>
      <w:r>
        <w:rPr>
          <w:lang w:val="nl-NL"/>
        </w:rPr>
        <w:fldChar w:fldCharType="begin" w:fldLock="1"/>
      </w:r>
      <w:r w:rsidRPr="001F09EE">
        <w:instrText xml:space="preserve">ADDIN Mendeley Bibliography CSL_BIBLIOGRAPHY </w:instrText>
      </w:r>
      <w:r>
        <w:rPr>
          <w:lang w:val="nl-NL"/>
        </w:rPr>
        <w:fldChar w:fldCharType="separate"/>
      </w:r>
      <w:r w:rsidR="00A92DA0" w:rsidRPr="00A92DA0">
        <w:rPr>
          <w:noProof/>
          <w:szCs w:val="24"/>
        </w:rPr>
        <w:t>[1]</w:t>
      </w:r>
      <w:r w:rsidR="00A92DA0" w:rsidRPr="00A92DA0">
        <w:rPr>
          <w:noProof/>
          <w:szCs w:val="24"/>
        </w:rPr>
        <w:tab/>
        <w:t>European Union, “Towards low carbon transport in Europe,” 2012.</w:t>
      </w:r>
    </w:p>
    <w:p w14:paraId="3CAA2D59"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[2]</w:t>
      </w:r>
      <w:r w:rsidRPr="00A92DA0">
        <w:rPr>
          <w:noProof/>
          <w:szCs w:val="24"/>
        </w:rPr>
        <w:tab/>
        <w:t>European Commission, “Communication from the commission to the european parliament, the council, the European economic and social committee and the committee of the regions: Closing the loop - An EU action plan for the circular economy,” 2019.</w:t>
      </w:r>
    </w:p>
    <w:p w14:paraId="679A7A8F"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[3]</w:t>
      </w:r>
      <w:r w:rsidRPr="00A92DA0">
        <w:rPr>
          <w:noProof/>
          <w:szCs w:val="24"/>
        </w:rPr>
        <w:tab/>
        <w:t xml:space="preserve">M. Miramontes, “Assessment of mobility stations Success factors and contributions to sustainable urban mobility,” </w:t>
      </w:r>
      <w:r w:rsidRPr="00A92DA0">
        <w:rPr>
          <w:i/>
          <w:iCs/>
          <w:noProof/>
          <w:szCs w:val="24"/>
        </w:rPr>
        <w:t>Dep. Civ. Geo Environ. Eng.</w:t>
      </w:r>
      <w:r w:rsidRPr="00A92DA0">
        <w:rPr>
          <w:noProof/>
          <w:szCs w:val="24"/>
        </w:rPr>
        <w:t>, vol. Dr.-Ing., no. December 2018, 2018.</w:t>
      </w:r>
    </w:p>
    <w:p w14:paraId="2C5CA7E0"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[4]</w:t>
      </w:r>
      <w:r w:rsidRPr="00A92DA0">
        <w:rPr>
          <w:noProof/>
          <w:szCs w:val="24"/>
        </w:rPr>
        <w:tab/>
        <w:t xml:space="preserve">M. Miramontes, M. Pfertner, H. S. Rayaprolu, M. Schreiner, and G. Wulfhorst, “Impacts of a multimodal mobility service on travel behavior and preferences: user insights from Munich’s first Mobility Station,” </w:t>
      </w:r>
      <w:r w:rsidRPr="00A92DA0">
        <w:rPr>
          <w:i/>
          <w:iCs/>
          <w:noProof/>
          <w:szCs w:val="24"/>
        </w:rPr>
        <w:t>Transportation (Amst).</w:t>
      </w:r>
      <w:r w:rsidRPr="00A92DA0">
        <w:rPr>
          <w:noProof/>
          <w:szCs w:val="24"/>
        </w:rPr>
        <w:t>, vol. 44, no. 6, pp. 1325–1342, 2017.</w:t>
      </w:r>
    </w:p>
    <w:p w14:paraId="79A113BD"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[5]</w:t>
      </w:r>
      <w:r w:rsidRPr="00A92DA0">
        <w:rPr>
          <w:noProof/>
          <w:szCs w:val="24"/>
        </w:rPr>
        <w:tab/>
        <w:t xml:space="preserve">G. Lyons, P. Hammond, and K. Mackay, “The </w:t>
      </w:r>
      <w:r w:rsidRPr="00A92DA0">
        <w:rPr>
          <w:noProof/>
          <w:szCs w:val="24"/>
        </w:rPr>
        <w:lastRenderedPageBreak/>
        <w:t xml:space="preserve">importance of user perspective in the evolution of MaaS,” </w:t>
      </w:r>
      <w:r w:rsidRPr="00A92DA0">
        <w:rPr>
          <w:i/>
          <w:iCs/>
          <w:noProof/>
          <w:szCs w:val="24"/>
        </w:rPr>
        <w:t>Transp. Res. Part A Policy Pract.</w:t>
      </w:r>
      <w:r w:rsidRPr="00A92DA0">
        <w:rPr>
          <w:noProof/>
          <w:szCs w:val="24"/>
        </w:rPr>
        <w:t>, vol. 121, no. January, pp. 22–36, 2019.</w:t>
      </w:r>
    </w:p>
    <w:p w14:paraId="337F31EC"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[6]</w:t>
      </w:r>
      <w:r w:rsidRPr="00A92DA0">
        <w:rPr>
          <w:noProof/>
          <w:szCs w:val="24"/>
        </w:rPr>
        <w:tab/>
        <w:t xml:space="preserve">J. Urry, </w:t>
      </w:r>
      <w:r w:rsidRPr="00A92DA0">
        <w:rPr>
          <w:i/>
          <w:iCs/>
          <w:noProof/>
          <w:szCs w:val="24"/>
        </w:rPr>
        <w:t>Mobilities</w:t>
      </w:r>
      <w:r w:rsidRPr="00A92DA0">
        <w:rPr>
          <w:noProof/>
          <w:szCs w:val="24"/>
        </w:rPr>
        <w:t>. Cambridge: Polity, 2007.</w:t>
      </w:r>
    </w:p>
    <w:p w14:paraId="31AAF2BE"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[7]</w:t>
      </w:r>
      <w:r w:rsidRPr="00A92DA0">
        <w:rPr>
          <w:noProof/>
          <w:szCs w:val="24"/>
        </w:rPr>
        <w:tab/>
        <w:t xml:space="preserve">P. Goodwin, “Peak travel, Peak car and the future of mobility,” </w:t>
      </w:r>
      <w:r w:rsidRPr="00A92DA0">
        <w:rPr>
          <w:i/>
          <w:iCs/>
          <w:noProof/>
          <w:szCs w:val="24"/>
        </w:rPr>
        <w:t>Int. Transp. Forum</w:t>
      </w:r>
      <w:r w:rsidRPr="00A92DA0">
        <w:rPr>
          <w:noProof/>
          <w:szCs w:val="24"/>
        </w:rPr>
        <w:t>, no. March, p. 41, 2012.</w:t>
      </w:r>
    </w:p>
    <w:p w14:paraId="062F2BDC"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[8]</w:t>
      </w:r>
      <w:r w:rsidRPr="00A92DA0">
        <w:rPr>
          <w:noProof/>
          <w:szCs w:val="24"/>
        </w:rPr>
        <w:tab/>
        <w:t>C. Focas and P. Christidis, “What drives car use in Europe?,” 2017.</w:t>
      </w:r>
    </w:p>
    <w:p w14:paraId="5AB23950"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[9]</w:t>
      </w:r>
      <w:r w:rsidRPr="00A92DA0">
        <w:rPr>
          <w:noProof/>
          <w:szCs w:val="24"/>
        </w:rPr>
        <w:tab/>
        <w:t xml:space="preserve">D. Deka, “The living, moving and travel behaviour of the growing American solo: Implications for cities,” </w:t>
      </w:r>
      <w:r w:rsidRPr="00A92DA0">
        <w:rPr>
          <w:i/>
          <w:iCs/>
          <w:noProof/>
          <w:szCs w:val="24"/>
        </w:rPr>
        <w:t>Urban Stud.</w:t>
      </w:r>
      <w:r w:rsidRPr="00A92DA0">
        <w:rPr>
          <w:noProof/>
          <w:szCs w:val="24"/>
        </w:rPr>
        <w:t>, vol. 51, no. 4, pp. 634–654, 2014.</w:t>
      </w:r>
    </w:p>
    <w:p w14:paraId="024D9A38" w14:textId="77777777" w:rsidR="00A92DA0" w:rsidRPr="00E82693" w:rsidRDefault="00A92DA0" w:rsidP="00A92DA0">
      <w:pPr>
        <w:widowControl w:val="0"/>
        <w:autoSpaceDE w:val="0"/>
        <w:autoSpaceDN w:val="0"/>
        <w:adjustRightInd w:val="0"/>
        <w:ind w:start="32pt" w:hanging="32pt"/>
        <w:jc w:val="start"/>
        <w:rPr>
          <w:noProof/>
          <w:szCs w:val="24"/>
          <w:lang w:val="nl-NL"/>
        </w:rPr>
      </w:pPr>
      <w:r w:rsidRPr="00E82693">
        <w:rPr>
          <w:noProof/>
          <w:szCs w:val="24"/>
          <w:lang w:val="nl-NL"/>
        </w:rPr>
        <w:t>[10]</w:t>
      </w:r>
      <w:r w:rsidRPr="00E82693">
        <w:rPr>
          <w:noProof/>
          <w:szCs w:val="24"/>
          <w:lang w:val="nl-NL"/>
        </w:rPr>
        <w:tab/>
        <w:t>P. Pfaffenbichler and F. Vorstandlechner, “Einfluss innovativer Konzepte und Mobilitätsdienstleistungen auf das Angebot und die Nutzung des öffentlichen Raums in urbanen Strukturen (IKARUS) - Endbericht,” 2016.</w:t>
      </w:r>
    </w:p>
    <w:p w14:paraId="7621F5E3"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[11]</w:t>
      </w:r>
      <w:r w:rsidRPr="00A92DA0">
        <w:rPr>
          <w:noProof/>
          <w:szCs w:val="24"/>
        </w:rPr>
        <w:tab/>
        <w:t xml:space="preserve">D. Bell, “Intermodal mobility hubs and user needs,” </w:t>
      </w:r>
      <w:r w:rsidRPr="00A92DA0">
        <w:rPr>
          <w:i/>
          <w:iCs/>
          <w:noProof/>
          <w:szCs w:val="24"/>
        </w:rPr>
        <w:t>Soc. Sci.</w:t>
      </w:r>
      <w:r w:rsidRPr="00A92DA0">
        <w:rPr>
          <w:noProof/>
          <w:szCs w:val="24"/>
        </w:rPr>
        <w:t>, vol. 8, no. 2, 2019.</w:t>
      </w:r>
    </w:p>
    <w:p w14:paraId="0FE2F15E"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[12]</w:t>
      </w:r>
      <w:r w:rsidRPr="00A92DA0">
        <w:rPr>
          <w:noProof/>
          <w:szCs w:val="24"/>
        </w:rPr>
        <w:tab/>
        <w:t xml:space="preserve">A. Monzón, S. Hernández, and F. Di Ciommo, “Efficient urban interchanges: The city-HUB model,” </w:t>
      </w:r>
      <w:r w:rsidRPr="00A92DA0">
        <w:rPr>
          <w:i/>
          <w:iCs/>
          <w:noProof/>
          <w:szCs w:val="24"/>
        </w:rPr>
        <w:t>Transp. Res. Procedia</w:t>
      </w:r>
      <w:r w:rsidRPr="00A92DA0">
        <w:rPr>
          <w:noProof/>
          <w:szCs w:val="24"/>
        </w:rPr>
        <w:t>, vol. 14, pp. 1124–1133, 2016.</w:t>
      </w:r>
    </w:p>
    <w:p w14:paraId="10525CEC"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[13]</w:t>
      </w:r>
      <w:r w:rsidRPr="00A92DA0">
        <w:rPr>
          <w:noProof/>
          <w:szCs w:val="24"/>
        </w:rPr>
        <w:tab/>
        <w:t xml:space="preserve">I. Yatskiv and E. Budilovich, “A comprehensive analysis of the planned multimodal public transportation HUB,” </w:t>
      </w:r>
      <w:r w:rsidRPr="00A92DA0">
        <w:rPr>
          <w:i/>
          <w:iCs/>
          <w:noProof/>
          <w:szCs w:val="24"/>
        </w:rPr>
        <w:t>Transp. Res. Procedia</w:t>
      </w:r>
      <w:r w:rsidRPr="00A92DA0">
        <w:rPr>
          <w:noProof/>
          <w:szCs w:val="24"/>
        </w:rPr>
        <w:t>, vol. 24, pp. 50–57, 2017.</w:t>
      </w:r>
    </w:p>
    <w:p w14:paraId="42C37EEF"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[14]</w:t>
      </w:r>
      <w:r w:rsidRPr="00A92DA0">
        <w:rPr>
          <w:noProof/>
          <w:szCs w:val="24"/>
        </w:rPr>
        <w:tab/>
        <w:t>M. G. Boarnet, “A broader context for land use and travel behavior , and a research agenda,” vol. 4363, 2011.</w:t>
      </w:r>
    </w:p>
    <w:p w14:paraId="60E96F50"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[15]</w:t>
      </w:r>
      <w:r w:rsidRPr="00A92DA0">
        <w:rPr>
          <w:noProof/>
          <w:szCs w:val="24"/>
        </w:rPr>
        <w:tab/>
        <w:t xml:space="preserve">X. Cao, P. L. Mokhtarian, and S. L. Handy, “Examining the impacts of residential self-selection on travel behaviour: A focus on empirical findings,” </w:t>
      </w:r>
      <w:r w:rsidRPr="00A92DA0">
        <w:rPr>
          <w:i/>
          <w:iCs/>
          <w:noProof/>
          <w:szCs w:val="24"/>
        </w:rPr>
        <w:t>Transport Reviews</w:t>
      </w:r>
      <w:r w:rsidRPr="00A92DA0">
        <w:rPr>
          <w:noProof/>
          <w:szCs w:val="24"/>
        </w:rPr>
        <w:t>, vol. 29, no. 3. pp. 359–395, 2009.</w:t>
      </w:r>
    </w:p>
    <w:p w14:paraId="76603DC1"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[16]</w:t>
      </w:r>
      <w:r w:rsidRPr="00A92DA0">
        <w:rPr>
          <w:noProof/>
          <w:szCs w:val="24"/>
        </w:rPr>
        <w:tab/>
        <w:t xml:space="preserve">R. Cervero, </w:t>
      </w:r>
      <w:r w:rsidRPr="00A92DA0">
        <w:rPr>
          <w:i/>
          <w:iCs/>
          <w:noProof/>
          <w:szCs w:val="24"/>
        </w:rPr>
        <w:t>Transit-oriented development in the United States: experiences, challenges, and prospects</w:t>
      </w:r>
      <w:r w:rsidRPr="00A92DA0">
        <w:rPr>
          <w:noProof/>
          <w:szCs w:val="24"/>
        </w:rPr>
        <w:t>. Transportation Research Board, National Research Council, 2004.</w:t>
      </w:r>
    </w:p>
    <w:p w14:paraId="652E1251"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[17]</w:t>
      </w:r>
      <w:r w:rsidRPr="00A92DA0">
        <w:rPr>
          <w:noProof/>
          <w:szCs w:val="24"/>
        </w:rPr>
        <w:tab/>
        <w:t xml:space="preserve">Y. R. Jabareen, “Sustainable urban form: Their typologies, models, and concepts,” </w:t>
      </w:r>
      <w:r w:rsidRPr="00A92DA0">
        <w:rPr>
          <w:i/>
          <w:iCs/>
          <w:noProof/>
          <w:szCs w:val="24"/>
        </w:rPr>
        <w:t>Urban Des. Str. Sq. Third Ed.</w:t>
      </w:r>
      <w:r w:rsidRPr="00A92DA0">
        <w:rPr>
          <w:noProof/>
          <w:szCs w:val="24"/>
        </w:rPr>
        <w:t>, no. 3, pp. 189–207, 2007.</w:t>
      </w:r>
    </w:p>
    <w:p w14:paraId="33819B59"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[18]</w:t>
      </w:r>
      <w:r w:rsidRPr="00A92DA0">
        <w:rPr>
          <w:noProof/>
          <w:szCs w:val="24"/>
        </w:rPr>
        <w:tab/>
        <w:t xml:space="preserve">J. Green, R. Steinbach, E. Garnett, and N. Christie, “Automobility reconfigured ? Ironic seductions and mundane freedoms in 16 – 21 year olds ’ accounts of car driving and ownership,” </w:t>
      </w:r>
      <w:r w:rsidRPr="00A92DA0">
        <w:rPr>
          <w:i/>
          <w:iCs/>
          <w:noProof/>
          <w:szCs w:val="24"/>
        </w:rPr>
        <w:t>Mobilities</w:t>
      </w:r>
      <w:r w:rsidRPr="00A92DA0">
        <w:rPr>
          <w:noProof/>
          <w:szCs w:val="24"/>
        </w:rPr>
        <w:t>, vol. 0101, pp. 1–15, 2018.</w:t>
      </w:r>
    </w:p>
    <w:p w14:paraId="0E316AB8"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[19]</w:t>
      </w:r>
      <w:r w:rsidRPr="00A92DA0">
        <w:rPr>
          <w:noProof/>
          <w:szCs w:val="24"/>
        </w:rPr>
        <w:tab/>
        <w:t xml:space="preserve">J. Scheiner and C. Holz-Rau, “Travel mode choice: Affected by objective or subjective determinants?,” </w:t>
      </w:r>
      <w:r w:rsidRPr="00A92DA0">
        <w:rPr>
          <w:i/>
          <w:iCs/>
          <w:noProof/>
          <w:szCs w:val="24"/>
        </w:rPr>
        <w:t>Transportation (Amst).</w:t>
      </w:r>
      <w:r w:rsidRPr="00A92DA0">
        <w:rPr>
          <w:noProof/>
          <w:szCs w:val="24"/>
        </w:rPr>
        <w:t>, vol. 34, no. 4, pp. 487–511, 2007.</w:t>
      </w:r>
    </w:p>
    <w:p w14:paraId="18D7CFF7"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[20]</w:t>
      </w:r>
      <w:r w:rsidRPr="00A92DA0">
        <w:rPr>
          <w:noProof/>
          <w:szCs w:val="24"/>
        </w:rPr>
        <w:tab/>
        <w:t xml:space="preserve">T. Kuhnimhof, R. Buehler, M. Wirtz, and D. Kalinowska, “Travel trends among young adults in Germany : increasing multimodality and declining car use for men,” </w:t>
      </w:r>
      <w:r w:rsidRPr="00A92DA0">
        <w:rPr>
          <w:i/>
          <w:iCs/>
          <w:noProof/>
          <w:szCs w:val="24"/>
        </w:rPr>
        <w:t>J. Transp. Geogr.</w:t>
      </w:r>
      <w:r w:rsidRPr="00A92DA0">
        <w:rPr>
          <w:noProof/>
          <w:szCs w:val="24"/>
        </w:rPr>
        <w:t>, vol. 24, pp. 443–450, 2012.</w:t>
      </w:r>
    </w:p>
    <w:p w14:paraId="2A51F645"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[21]</w:t>
      </w:r>
      <w:r w:rsidRPr="00A92DA0">
        <w:rPr>
          <w:noProof/>
          <w:szCs w:val="24"/>
        </w:rPr>
        <w:tab/>
        <w:t xml:space="preserve">P. M. Schirmer, M. A. B. van Eggermond, and K. W. Axhausen, “The role of location in residential location choice models: A review of </w:t>
      </w:r>
      <w:r w:rsidRPr="00A92DA0">
        <w:rPr>
          <w:noProof/>
          <w:szCs w:val="24"/>
        </w:rPr>
        <w:t xml:space="preserve">literature,” </w:t>
      </w:r>
      <w:r w:rsidRPr="00A92DA0">
        <w:rPr>
          <w:i/>
          <w:iCs/>
          <w:noProof/>
          <w:szCs w:val="24"/>
        </w:rPr>
        <w:t>J. Transp. Land Use</w:t>
      </w:r>
      <w:r w:rsidRPr="00A92DA0">
        <w:rPr>
          <w:noProof/>
          <w:szCs w:val="24"/>
        </w:rPr>
        <w:t>, vol. 7, no. 2, pp. 3–21, 2014.</w:t>
      </w:r>
    </w:p>
    <w:p w14:paraId="2561901B"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[22]</w:t>
      </w:r>
      <w:r w:rsidRPr="00A92DA0">
        <w:rPr>
          <w:noProof/>
          <w:szCs w:val="24"/>
        </w:rPr>
        <w:tab/>
        <w:t xml:space="preserve">K. W. Axhausen, A. König, D. M. Scott, and C. Jürgens, “Locations, commitments and activity spaces,” in </w:t>
      </w:r>
      <w:r w:rsidRPr="00A92DA0">
        <w:rPr>
          <w:i/>
          <w:iCs/>
          <w:noProof/>
          <w:szCs w:val="24"/>
        </w:rPr>
        <w:t>Human Behaviour and Traffic Networks</w:t>
      </w:r>
      <w:r w:rsidRPr="00A92DA0">
        <w:rPr>
          <w:noProof/>
          <w:szCs w:val="24"/>
        </w:rPr>
        <w:t>, 2004.</w:t>
      </w:r>
    </w:p>
    <w:p w14:paraId="2AE229E3"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[23]</w:t>
      </w:r>
      <w:r w:rsidRPr="00A92DA0">
        <w:rPr>
          <w:noProof/>
          <w:szCs w:val="24"/>
        </w:rPr>
        <w:tab/>
        <w:t xml:space="preserve">A. Frenkel, E. Bendit, and S. Kaplan, “Residential location choice of knowledge-workers: The role of amenities, workplace and lifestyle,” </w:t>
      </w:r>
      <w:r w:rsidRPr="00A92DA0">
        <w:rPr>
          <w:i/>
          <w:iCs/>
          <w:noProof/>
          <w:szCs w:val="24"/>
        </w:rPr>
        <w:t>Cities</w:t>
      </w:r>
      <w:r w:rsidRPr="00A92DA0">
        <w:rPr>
          <w:noProof/>
          <w:szCs w:val="24"/>
        </w:rPr>
        <w:t>, vol. 35, pp. 33–41, 2013.</w:t>
      </w:r>
    </w:p>
    <w:p w14:paraId="416DA748"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[24]</w:t>
      </w:r>
      <w:r w:rsidRPr="00A92DA0">
        <w:rPr>
          <w:noProof/>
          <w:szCs w:val="24"/>
        </w:rPr>
        <w:tab/>
        <w:t xml:space="preserve">M. Bürgle, “Residential location choice model for the Greater Zurich area,” </w:t>
      </w:r>
      <w:r w:rsidRPr="00A92DA0">
        <w:rPr>
          <w:i/>
          <w:iCs/>
          <w:noProof/>
          <w:szCs w:val="24"/>
        </w:rPr>
        <w:t>Swiss Transp. Res. Conf.</w:t>
      </w:r>
      <w:r w:rsidRPr="00A92DA0">
        <w:rPr>
          <w:noProof/>
          <w:szCs w:val="24"/>
        </w:rPr>
        <w:t>, pp. 12–19, 2006.</w:t>
      </w:r>
    </w:p>
    <w:p w14:paraId="26B74961"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[25]</w:t>
      </w:r>
      <w:r w:rsidRPr="00A92DA0">
        <w:rPr>
          <w:noProof/>
          <w:szCs w:val="24"/>
        </w:rPr>
        <w:tab/>
        <w:t xml:space="preserve">S. Akbari and K. N. Habib, “An econometric investigation on the relationship between modal accessibility and the home–work spatial configuration of two-commuter households,” </w:t>
      </w:r>
      <w:r w:rsidRPr="00A92DA0">
        <w:rPr>
          <w:i/>
          <w:iCs/>
          <w:noProof/>
          <w:szCs w:val="24"/>
        </w:rPr>
        <w:t>Transp. A Transp. Sci.</w:t>
      </w:r>
      <w:r w:rsidRPr="00A92DA0">
        <w:rPr>
          <w:noProof/>
          <w:szCs w:val="24"/>
        </w:rPr>
        <w:t>, vol. 11, no. 10, pp. 897–917, 2015.</w:t>
      </w:r>
    </w:p>
    <w:p w14:paraId="6086C802"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[26]</w:t>
      </w:r>
      <w:r w:rsidRPr="00A92DA0">
        <w:rPr>
          <w:noProof/>
          <w:szCs w:val="24"/>
        </w:rPr>
        <w:tab/>
        <w:t xml:space="preserve">X. Guan and D. Wang, “Residential self-selection in the built environment-travel behavior connection: Whose self-selection?,” </w:t>
      </w:r>
      <w:r w:rsidRPr="00A92DA0">
        <w:rPr>
          <w:i/>
          <w:iCs/>
          <w:noProof/>
          <w:szCs w:val="24"/>
        </w:rPr>
        <w:t>Transp. Res. Part D Transp. Environ.</w:t>
      </w:r>
      <w:r w:rsidRPr="00A92DA0">
        <w:rPr>
          <w:noProof/>
          <w:szCs w:val="24"/>
        </w:rPr>
        <w:t>, vol. 67, no. November 2018, pp. 16–32, 2019.</w:t>
      </w:r>
    </w:p>
    <w:p w14:paraId="2DB3D04A"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[27]</w:t>
      </w:r>
      <w:r w:rsidRPr="00A92DA0">
        <w:rPr>
          <w:noProof/>
          <w:szCs w:val="24"/>
        </w:rPr>
        <w:tab/>
        <w:t xml:space="preserve">I. Baraklianos, L. Bouzouina, P. Bonnel, and H. Aissaoui, “Does the accessibility measure influence the results of residential location choice modelling?,” </w:t>
      </w:r>
      <w:r w:rsidRPr="00A92DA0">
        <w:rPr>
          <w:i/>
          <w:iCs/>
          <w:noProof/>
          <w:szCs w:val="24"/>
        </w:rPr>
        <w:t>Transportation (Amst).</w:t>
      </w:r>
      <w:r w:rsidRPr="00A92DA0">
        <w:rPr>
          <w:noProof/>
          <w:szCs w:val="24"/>
        </w:rPr>
        <w:t>, 2018.</w:t>
      </w:r>
    </w:p>
    <w:p w14:paraId="664A7F5F"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[28]</w:t>
      </w:r>
      <w:r w:rsidRPr="00A92DA0">
        <w:rPr>
          <w:noProof/>
          <w:szCs w:val="24"/>
        </w:rPr>
        <w:tab/>
        <w:t xml:space="preserve">M. Kamruzzaman, J. De Vos, G. Currie, B. Giles-Corti, and G. Turrell, “Spatial biases in residential mobility: Implications for travel behaviour research,” </w:t>
      </w:r>
      <w:r w:rsidRPr="00A92DA0">
        <w:rPr>
          <w:i/>
          <w:iCs/>
          <w:noProof/>
          <w:szCs w:val="24"/>
        </w:rPr>
        <w:t>Travel Behav. Soc.</w:t>
      </w:r>
      <w:r w:rsidRPr="00A92DA0">
        <w:rPr>
          <w:noProof/>
          <w:szCs w:val="24"/>
        </w:rPr>
        <w:t>, vol. 18, no. December 2018, pp. 15–28, 2020.</w:t>
      </w:r>
    </w:p>
    <w:p w14:paraId="53054D35"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[29]</w:t>
      </w:r>
      <w:r w:rsidRPr="00A92DA0">
        <w:rPr>
          <w:noProof/>
          <w:szCs w:val="24"/>
        </w:rPr>
        <w:tab/>
        <w:t xml:space="preserve">P. Waddell, “Accessibility and residential location: The interaction of workplace, residential mobility, tenure, and location choices,” </w:t>
      </w:r>
      <w:r w:rsidRPr="00A92DA0">
        <w:rPr>
          <w:i/>
          <w:iCs/>
          <w:noProof/>
          <w:szCs w:val="24"/>
        </w:rPr>
        <w:t>Lincoln L. Inst. TRED Conf.</w:t>
      </w:r>
      <w:r w:rsidRPr="00A92DA0">
        <w:rPr>
          <w:noProof/>
          <w:szCs w:val="24"/>
        </w:rPr>
        <w:t>, no. October, pp. 1–19, 1996.</w:t>
      </w:r>
    </w:p>
    <w:p w14:paraId="0D6FC119"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[30]</w:t>
      </w:r>
      <w:r w:rsidRPr="00A92DA0">
        <w:rPr>
          <w:noProof/>
          <w:szCs w:val="24"/>
        </w:rPr>
        <w:tab/>
        <w:t xml:space="preserve">A. Zolfaghari, A. Sivakumar, and J. Polak, “Simplified probabilistic choice set formation models in a residential location choice context,” </w:t>
      </w:r>
      <w:r w:rsidRPr="00A92DA0">
        <w:rPr>
          <w:i/>
          <w:iCs/>
          <w:noProof/>
          <w:szCs w:val="24"/>
        </w:rPr>
        <w:t>J. Choice Model.</w:t>
      </w:r>
      <w:r w:rsidRPr="00A92DA0">
        <w:rPr>
          <w:noProof/>
          <w:szCs w:val="24"/>
        </w:rPr>
        <w:t>, vol. 9, no. 1, pp. 3–13, 2013.</w:t>
      </w:r>
    </w:p>
    <w:p w14:paraId="134FA391"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[31]</w:t>
      </w:r>
      <w:r w:rsidRPr="00A92DA0">
        <w:rPr>
          <w:noProof/>
          <w:szCs w:val="24"/>
        </w:rPr>
        <w:tab/>
        <w:t xml:space="preserve">A. De Witte, J. Hollevoet, F. Dobruszkes, M. Hubert, and C. Macharis, “Linking modal choice to motility: A comprehensive review,” </w:t>
      </w:r>
      <w:r w:rsidRPr="00A92DA0">
        <w:rPr>
          <w:i/>
          <w:iCs/>
          <w:noProof/>
          <w:szCs w:val="24"/>
        </w:rPr>
        <w:t>Transp. Res. Part A Policy Pract.</w:t>
      </w:r>
      <w:r w:rsidRPr="00A92DA0">
        <w:rPr>
          <w:noProof/>
          <w:szCs w:val="24"/>
        </w:rPr>
        <w:t>, vol. 49, pp. 329–341, 2013.</w:t>
      </w:r>
    </w:p>
    <w:p w14:paraId="7142B017"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[32]</w:t>
      </w:r>
      <w:r w:rsidRPr="00A92DA0">
        <w:rPr>
          <w:noProof/>
          <w:szCs w:val="24"/>
        </w:rPr>
        <w:tab/>
        <w:t xml:space="preserve">J. Ko, S. Lee, and M. Byun, “Exploring factors associated with commute mode choice: An application of city-level general social survey data,” </w:t>
      </w:r>
      <w:r w:rsidRPr="00A92DA0">
        <w:rPr>
          <w:i/>
          <w:iCs/>
          <w:noProof/>
          <w:szCs w:val="24"/>
        </w:rPr>
        <w:t>Transp. Policy</w:t>
      </w:r>
      <w:r w:rsidRPr="00A92DA0">
        <w:rPr>
          <w:noProof/>
          <w:szCs w:val="24"/>
        </w:rPr>
        <w:t>, vol. 75, no. November 2018, pp. 36–46, 2019.</w:t>
      </w:r>
    </w:p>
    <w:p w14:paraId="266A47F6"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[33]</w:t>
      </w:r>
      <w:r w:rsidRPr="00A92DA0">
        <w:rPr>
          <w:noProof/>
          <w:szCs w:val="24"/>
        </w:rPr>
        <w:tab/>
        <w:t xml:space="preserve">T. Schwanen, F. M. Dieleman, and M. Dijst, “The impact of metropolitan structure on commute behavior in the Netherlands: A multilevel approach,” </w:t>
      </w:r>
      <w:r w:rsidRPr="00A92DA0">
        <w:rPr>
          <w:i/>
          <w:iCs/>
          <w:noProof/>
          <w:szCs w:val="24"/>
        </w:rPr>
        <w:t>Growth Change</w:t>
      </w:r>
      <w:r w:rsidRPr="00A92DA0">
        <w:rPr>
          <w:noProof/>
          <w:szCs w:val="24"/>
        </w:rPr>
        <w:t>, vol. 35, no. 3, pp. 304–333, 2004.</w:t>
      </w:r>
    </w:p>
    <w:p w14:paraId="56576788"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[34]</w:t>
      </w:r>
      <w:r w:rsidRPr="00A92DA0">
        <w:rPr>
          <w:noProof/>
          <w:szCs w:val="24"/>
        </w:rPr>
        <w:tab/>
        <w:t xml:space="preserve">R. Crane and L. Takahashi, “Sex changes everything,” </w:t>
      </w:r>
      <w:r w:rsidRPr="00A92DA0">
        <w:rPr>
          <w:i/>
          <w:iCs/>
          <w:noProof/>
          <w:szCs w:val="24"/>
        </w:rPr>
        <w:t>Public Work. Manag. Policy</w:t>
      </w:r>
      <w:r w:rsidRPr="00A92DA0">
        <w:rPr>
          <w:noProof/>
          <w:szCs w:val="24"/>
        </w:rPr>
        <w:t>, vol. 13, no. 4, pp. 328–337, 2009.</w:t>
      </w:r>
    </w:p>
    <w:p w14:paraId="722BAAF7"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[35]</w:t>
      </w:r>
      <w:r w:rsidRPr="00A92DA0">
        <w:rPr>
          <w:noProof/>
          <w:szCs w:val="24"/>
        </w:rPr>
        <w:tab/>
        <w:t xml:space="preserve">T. Schwanen and P. L. Mokhtarian, “The extent </w:t>
      </w:r>
      <w:r w:rsidRPr="00A92DA0">
        <w:rPr>
          <w:noProof/>
          <w:szCs w:val="24"/>
        </w:rPr>
        <w:lastRenderedPageBreak/>
        <w:t xml:space="preserve">and determinants of dissonance between actual and preferred residential neighborhood type,” </w:t>
      </w:r>
      <w:r w:rsidRPr="00A92DA0">
        <w:rPr>
          <w:i/>
          <w:iCs/>
          <w:noProof/>
          <w:szCs w:val="24"/>
        </w:rPr>
        <w:t>Environ. Plan. B Plan. Des.</w:t>
      </w:r>
      <w:r w:rsidRPr="00A92DA0">
        <w:rPr>
          <w:noProof/>
          <w:szCs w:val="24"/>
        </w:rPr>
        <w:t>, vol. 31, no. 5, pp. 759–784, 2004.</w:t>
      </w:r>
    </w:p>
    <w:p w14:paraId="104AA86A"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[36]</w:t>
      </w:r>
      <w:r w:rsidRPr="00A92DA0">
        <w:rPr>
          <w:noProof/>
          <w:szCs w:val="24"/>
        </w:rPr>
        <w:tab/>
        <w:t xml:space="preserve">J. De Vos, B. Derudder, V. Van Acker, and F. Witlox, “Reducing car use: Changing attitudes or relocating? The influence of residential dissonance on travel behavior,” </w:t>
      </w:r>
      <w:r w:rsidRPr="00A92DA0">
        <w:rPr>
          <w:i/>
          <w:iCs/>
          <w:noProof/>
          <w:szCs w:val="24"/>
        </w:rPr>
        <w:t>J. Transp. Geogr.</w:t>
      </w:r>
      <w:r w:rsidRPr="00A92DA0">
        <w:rPr>
          <w:noProof/>
          <w:szCs w:val="24"/>
        </w:rPr>
        <w:t>, vol. 22, pp. 1–9, 2012.</w:t>
      </w:r>
    </w:p>
    <w:p w14:paraId="1B2BA687"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[37]</w:t>
      </w:r>
      <w:r w:rsidRPr="00A92DA0">
        <w:rPr>
          <w:noProof/>
          <w:szCs w:val="24"/>
        </w:rPr>
        <w:tab/>
        <w:t xml:space="preserve">D. Ettema and R. Nieuwenhuis, “Residential self-selection and travel behaviour: What are the effects of attitudes, reasons for location choice and the built environment?,” </w:t>
      </w:r>
      <w:r w:rsidRPr="00A92DA0">
        <w:rPr>
          <w:i/>
          <w:iCs/>
          <w:noProof/>
          <w:szCs w:val="24"/>
        </w:rPr>
        <w:t>J. Transp. Geogr.</w:t>
      </w:r>
      <w:r w:rsidRPr="00A92DA0">
        <w:rPr>
          <w:noProof/>
          <w:szCs w:val="24"/>
        </w:rPr>
        <w:t>, vol. 59, pp. 146–155, 2017.</w:t>
      </w:r>
    </w:p>
    <w:p w14:paraId="74A04F79"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[38]</w:t>
      </w:r>
      <w:r w:rsidRPr="00A92DA0">
        <w:rPr>
          <w:noProof/>
          <w:szCs w:val="24"/>
        </w:rPr>
        <w:tab/>
        <w:t xml:space="preserve">B. van Wee and M. Boarnet, “Reaction to the paper Tempest in a Teapot: The exaggerated problem of transport-related residential self-selection as a source of error in empirical studies,” </w:t>
      </w:r>
      <w:r w:rsidRPr="00A92DA0">
        <w:rPr>
          <w:i/>
          <w:iCs/>
          <w:noProof/>
          <w:szCs w:val="24"/>
        </w:rPr>
        <w:t>J. Transp. Land Use</w:t>
      </w:r>
      <w:r w:rsidRPr="00A92DA0">
        <w:rPr>
          <w:noProof/>
          <w:szCs w:val="24"/>
        </w:rPr>
        <w:t>, vol. 7, no. 3, pp. 81–86, 2014.</w:t>
      </w:r>
    </w:p>
    <w:p w14:paraId="4515CB45"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[39]</w:t>
      </w:r>
      <w:r w:rsidRPr="00A92DA0">
        <w:rPr>
          <w:noProof/>
          <w:szCs w:val="24"/>
        </w:rPr>
        <w:tab/>
        <w:t xml:space="preserve">B. van Wee, “Self-selection: A key to a better understanding of location choices, travel behaviour and transport externalities?,” </w:t>
      </w:r>
      <w:r w:rsidRPr="00A92DA0">
        <w:rPr>
          <w:i/>
          <w:iCs/>
          <w:noProof/>
          <w:szCs w:val="24"/>
        </w:rPr>
        <w:t>Transp. Rev.</w:t>
      </w:r>
      <w:r w:rsidRPr="00A92DA0">
        <w:rPr>
          <w:noProof/>
          <w:szCs w:val="24"/>
        </w:rPr>
        <w:t>, vol. 29, no. 3, pp. 279–292, 2009.</w:t>
      </w:r>
    </w:p>
    <w:p w14:paraId="7023E8B6"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[40]</w:t>
      </w:r>
      <w:r w:rsidRPr="00A92DA0">
        <w:rPr>
          <w:noProof/>
          <w:szCs w:val="24"/>
        </w:rPr>
        <w:tab/>
        <w:t xml:space="preserve">J. Guo, T. Feng, and H. J. P. Timmermans, “Modeling co ‑ dependent choice of workplace , residence and commuting mode using an error component mixed logit model,” </w:t>
      </w:r>
      <w:r w:rsidRPr="00A92DA0">
        <w:rPr>
          <w:i/>
          <w:iCs/>
          <w:noProof/>
          <w:szCs w:val="24"/>
        </w:rPr>
        <w:t>Transportation (Amst).</w:t>
      </w:r>
      <w:r w:rsidRPr="00A92DA0">
        <w:rPr>
          <w:noProof/>
          <w:szCs w:val="24"/>
        </w:rPr>
        <w:t>, no. 0123456789, 2018.</w:t>
      </w:r>
    </w:p>
    <w:p w14:paraId="2CA3755F" w14:textId="77777777" w:rsidR="00A92DA0" w:rsidRPr="00E82693" w:rsidRDefault="00A92DA0" w:rsidP="00A92DA0">
      <w:pPr>
        <w:widowControl w:val="0"/>
        <w:autoSpaceDE w:val="0"/>
        <w:autoSpaceDN w:val="0"/>
        <w:adjustRightInd w:val="0"/>
        <w:ind w:start="32pt" w:hanging="32pt"/>
        <w:jc w:val="start"/>
        <w:rPr>
          <w:noProof/>
          <w:szCs w:val="24"/>
          <w:lang w:val="nl-NL"/>
        </w:rPr>
      </w:pPr>
      <w:r w:rsidRPr="00A92DA0">
        <w:rPr>
          <w:noProof/>
          <w:szCs w:val="24"/>
        </w:rPr>
        <w:t>[41]</w:t>
      </w:r>
      <w:r w:rsidRPr="00A92DA0">
        <w:rPr>
          <w:noProof/>
          <w:szCs w:val="24"/>
        </w:rPr>
        <w:tab/>
        <w:t xml:space="preserve">A. Ardeshiri and A. Vij, “Lifestyles , residential location , and transport mode use : A hierarchical latent class choice model,” </w:t>
      </w:r>
      <w:r w:rsidRPr="00A92DA0">
        <w:rPr>
          <w:i/>
          <w:iCs/>
          <w:noProof/>
          <w:szCs w:val="24"/>
        </w:rPr>
        <w:t xml:space="preserve">Transp. </w:t>
      </w:r>
      <w:r w:rsidRPr="00E82693">
        <w:rPr>
          <w:i/>
          <w:iCs/>
          <w:noProof/>
          <w:szCs w:val="24"/>
          <w:lang w:val="nl-NL"/>
        </w:rPr>
        <w:t>Res. Part A</w:t>
      </w:r>
      <w:r w:rsidRPr="00E82693">
        <w:rPr>
          <w:noProof/>
          <w:szCs w:val="24"/>
          <w:lang w:val="nl-NL"/>
        </w:rPr>
        <w:t>, vol. 126, no. September 2018, pp. 342–359, 2019.</w:t>
      </w:r>
    </w:p>
    <w:p w14:paraId="15DA7CAE" w14:textId="77777777" w:rsidR="00A92DA0" w:rsidRPr="00A92DA0" w:rsidRDefault="00A92DA0" w:rsidP="00A92DA0">
      <w:pPr>
        <w:widowControl w:val="0"/>
        <w:autoSpaceDE w:val="0"/>
        <w:autoSpaceDN w:val="0"/>
        <w:adjustRightInd w:val="0"/>
        <w:ind w:start="32pt" w:hanging="32pt"/>
        <w:jc w:val="start"/>
        <w:rPr>
          <w:noProof/>
          <w:szCs w:val="24"/>
        </w:rPr>
      </w:pPr>
      <w:r w:rsidRPr="00E82693">
        <w:rPr>
          <w:noProof/>
          <w:szCs w:val="24"/>
          <w:lang w:val="nl-NL"/>
        </w:rPr>
        <w:t>[42]</w:t>
      </w:r>
      <w:r w:rsidRPr="00E82693">
        <w:rPr>
          <w:noProof/>
          <w:szCs w:val="24"/>
          <w:lang w:val="nl-NL"/>
        </w:rPr>
        <w:tab/>
        <w:t xml:space="preserve">Gemeente Utrecht, “Merwedekanaalzone,” 2019. </w:t>
      </w:r>
      <w:r w:rsidRPr="00A92DA0">
        <w:rPr>
          <w:noProof/>
          <w:szCs w:val="24"/>
        </w:rPr>
        <w:t>[Online]. Available: https://www.utrecht.nl/wonen-en-leven/bouwen/bouwprojecten/merwedekanaalzone/.</w:t>
      </w:r>
    </w:p>
    <w:p w14:paraId="79EDD767"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[43]</w:t>
      </w:r>
      <w:r w:rsidRPr="00A92DA0">
        <w:rPr>
          <w:noProof/>
          <w:szCs w:val="24"/>
        </w:rPr>
        <w:tab/>
        <w:t>R. A. Cavalcante, “Freight market interactions simulation (FREMIS): An agent- based modeling framework,” University of Toronto, 2013.</w:t>
      </w:r>
    </w:p>
    <w:p w14:paraId="346D9376"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[44]</w:t>
      </w:r>
      <w:r w:rsidRPr="00A92DA0">
        <w:rPr>
          <w:noProof/>
          <w:szCs w:val="24"/>
        </w:rPr>
        <w:tab/>
        <w:t xml:space="preserve">J. Surprenant-Legault, Z. Patterson, and A. M. El-Geneidy, “Commuting trade-offs and distance reduction in two-worker households,” </w:t>
      </w:r>
      <w:r w:rsidRPr="00A92DA0">
        <w:rPr>
          <w:i/>
          <w:iCs/>
          <w:noProof/>
          <w:szCs w:val="24"/>
        </w:rPr>
        <w:t>Transp. Res. Part A Policy Pract.</w:t>
      </w:r>
      <w:r w:rsidRPr="00A92DA0">
        <w:rPr>
          <w:noProof/>
          <w:szCs w:val="24"/>
        </w:rPr>
        <w:t>, vol. 51, pp. 12–28, 2013.</w:t>
      </w:r>
    </w:p>
    <w:p w14:paraId="6ABEF83F"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[45]</w:t>
      </w:r>
      <w:r w:rsidRPr="00A92DA0">
        <w:rPr>
          <w:noProof/>
          <w:szCs w:val="24"/>
        </w:rPr>
        <w:tab/>
        <w:t xml:space="preserve">J. J. Louviere, D. A. Hensher, J. D. Swait, and W. Adamowicz, </w:t>
      </w:r>
      <w:r w:rsidRPr="00A92DA0">
        <w:rPr>
          <w:i/>
          <w:iCs/>
          <w:noProof/>
          <w:szCs w:val="24"/>
        </w:rPr>
        <w:t>Stated Choice Methods</w:t>
      </w:r>
      <w:r w:rsidRPr="00A92DA0">
        <w:rPr>
          <w:noProof/>
          <w:szCs w:val="24"/>
        </w:rPr>
        <w:t>. 2000.</w:t>
      </w:r>
    </w:p>
    <w:p w14:paraId="3B4675AF"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[46]</w:t>
      </w:r>
      <w:r w:rsidRPr="00A92DA0">
        <w:rPr>
          <w:noProof/>
          <w:szCs w:val="24"/>
        </w:rPr>
        <w:tab/>
        <w:t xml:space="preserve">D. Pearmain and J. Swanson, </w:t>
      </w:r>
      <w:r w:rsidRPr="00A92DA0">
        <w:rPr>
          <w:i/>
          <w:iCs/>
          <w:noProof/>
          <w:szCs w:val="24"/>
        </w:rPr>
        <w:t>Stated Preference Techniques. A guide to practice.</w:t>
      </w:r>
      <w:r w:rsidRPr="00A92DA0">
        <w:rPr>
          <w:noProof/>
          <w:szCs w:val="24"/>
        </w:rPr>
        <w:t>, 1st ed. London: Davies e Gleave Ltd., 1990.</w:t>
      </w:r>
    </w:p>
    <w:p w14:paraId="191D8A87"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[47]</w:t>
      </w:r>
      <w:r w:rsidRPr="00A92DA0">
        <w:rPr>
          <w:noProof/>
          <w:szCs w:val="24"/>
        </w:rPr>
        <w:tab/>
        <w:t xml:space="preserve">W. H. Greene and D. A. Hensher, “A latent class model for discrete choice analysis: Contrasts with mixed logit,” </w:t>
      </w:r>
      <w:r w:rsidRPr="00A92DA0">
        <w:rPr>
          <w:i/>
          <w:iCs/>
          <w:noProof/>
          <w:szCs w:val="24"/>
        </w:rPr>
        <w:t>Transp. Res. Part B Methodol.</w:t>
      </w:r>
      <w:r w:rsidRPr="00A92DA0">
        <w:rPr>
          <w:noProof/>
          <w:szCs w:val="24"/>
        </w:rPr>
        <w:t>, vol. 37, no. 8, pp. 681–698, 2003.</w:t>
      </w:r>
    </w:p>
    <w:p w14:paraId="1D580941"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[48]</w:t>
      </w:r>
      <w:r w:rsidRPr="00A92DA0">
        <w:rPr>
          <w:noProof/>
          <w:szCs w:val="24"/>
        </w:rPr>
        <w:tab/>
        <w:t xml:space="preserve">L. L. Thurstone, “A law of comparative judgment,” </w:t>
      </w:r>
      <w:r w:rsidRPr="00A92DA0">
        <w:rPr>
          <w:i/>
          <w:iCs/>
          <w:noProof/>
          <w:szCs w:val="24"/>
        </w:rPr>
        <w:t>Psychol. Rev.</w:t>
      </w:r>
      <w:r w:rsidRPr="00A92DA0">
        <w:rPr>
          <w:noProof/>
          <w:szCs w:val="24"/>
        </w:rPr>
        <w:t>, 1927.</w:t>
      </w:r>
    </w:p>
    <w:p w14:paraId="5567BC88"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[49]</w:t>
      </w:r>
      <w:r w:rsidRPr="00A92DA0">
        <w:rPr>
          <w:noProof/>
          <w:szCs w:val="24"/>
        </w:rPr>
        <w:tab/>
        <w:t xml:space="preserve">D. McFadden, “Conditional logit analysis of qualitative choice behavior,” </w:t>
      </w:r>
      <w:r w:rsidRPr="00A92DA0">
        <w:rPr>
          <w:i/>
          <w:iCs/>
          <w:noProof/>
          <w:szCs w:val="24"/>
        </w:rPr>
        <w:t>Frontiers in Econometrics</w:t>
      </w:r>
      <w:r w:rsidRPr="00A92DA0">
        <w:rPr>
          <w:noProof/>
          <w:szCs w:val="24"/>
        </w:rPr>
        <w:t>. 1973.</w:t>
      </w:r>
    </w:p>
    <w:p w14:paraId="07B896E9"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[50]</w:t>
      </w:r>
      <w:r w:rsidRPr="00A92DA0">
        <w:rPr>
          <w:noProof/>
          <w:szCs w:val="24"/>
        </w:rPr>
        <w:tab/>
        <w:t xml:space="preserve">M. Gaudry, T. A. Domencich, and D. McFadden, “Urban Travel Demand: A Behavioral Analysis,” </w:t>
      </w:r>
      <w:r w:rsidRPr="00A92DA0">
        <w:rPr>
          <w:i/>
          <w:iCs/>
          <w:noProof/>
          <w:szCs w:val="24"/>
        </w:rPr>
        <w:t>Can. J. Econ.</w:t>
      </w:r>
      <w:r w:rsidRPr="00A92DA0">
        <w:rPr>
          <w:noProof/>
          <w:szCs w:val="24"/>
        </w:rPr>
        <w:t>, 1977.</w:t>
      </w:r>
    </w:p>
    <w:p w14:paraId="4F821287"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[51]</w:t>
      </w:r>
      <w:r w:rsidRPr="00A92DA0">
        <w:rPr>
          <w:noProof/>
          <w:szCs w:val="24"/>
        </w:rPr>
        <w:tab/>
        <w:t xml:space="preserve">K. E. Train, </w:t>
      </w:r>
      <w:r w:rsidRPr="00A92DA0">
        <w:rPr>
          <w:i/>
          <w:iCs/>
          <w:noProof/>
          <w:szCs w:val="24"/>
        </w:rPr>
        <w:t>Discrete choice methods with simulation, second edition</w:t>
      </w:r>
      <w:r w:rsidRPr="00A92DA0">
        <w:rPr>
          <w:noProof/>
          <w:szCs w:val="24"/>
        </w:rPr>
        <w:t>, vol. 9780521766. 2009.</w:t>
      </w:r>
    </w:p>
    <w:p w14:paraId="4C0DB37D"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[52]</w:t>
      </w:r>
      <w:r w:rsidRPr="00A92DA0">
        <w:rPr>
          <w:noProof/>
          <w:szCs w:val="24"/>
        </w:rPr>
        <w:tab/>
        <w:t xml:space="preserve">J. de D. Ortúzar and L. G. Willumsen, </w:t>
      </w:r>
      <w:r w:rsidRPr="00A92DA0">
        <w:rPr>
          <w:i/>
          <w:iCs/>
          <w:noProof/>
          <w:szCs w:val="24"/>
        </w:rPr>
        <w:t>Modelling Transport</w:t>
      </w:r>
      <w:r w:rsidRPr="00A92DA0">
        <w:rPr>
          <w:noProof/>
          <w:szCs w:val="24"/>
        </w:rPr>
        <w:t>. 2011.</w:t>
      </w:r>
    </w:p>
    <w:p w14:paraId="44AB9235"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[53]</w:t>
      </w:r>
      <w:r w:rsidRPr="00A92DA0">
        <w:rPr>
          <w:noProof/>
          <w:szCs w:val="24"/>
        </w:rPr>
        <w:tab/>
        <w:t xml:space="preserve">H. C. W. L. Williams, “On the Formation of Travel Demand Models and Economic Evaluation Measures of User Benefit,” </w:t>
      </w:r>
      <w:r w:rsidRPr="00A92DA0">
        <w:rPr>
          <w:i/>
          <w:iCs/>
          <w:noProof/>
          <w:szCs w:val="24"/>
        </w:rPr>
        <w:t>Environ. Plan. A Econ. Sp.</w:t>
      </w:r>
      <w:r w:rsidRPr="00A92DA0">
        <w:rPr>
          <w:noProof/>
          <w:szCs w:val="24"/>
        </w:rPr>
        <w:t>, 1977.</w:t>
      </w:r>
    </w:p>
    <w:p w14:paraId="0514E641"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[54]</w:t>
      </w:r>
      <w:r w:rsidRPr="00A92DA0">
        <w:rPr>
          <w:noProof/>
          <w:szCs w:val="24"/>
        </w:rPr>
        <w:tab/>
        <w:t xml:space="preserve">J. A. Carrasco and J. De Dios Ortuzar, “Review and assessment of the nested logit model,” </w:t>
      </w:r>
      <w:r w:rsidRPr="00A92DA0">
        <w:rPr>
          <w:i/>
          <w:iCs/>
          <w:noProof/>
          <w:szCs w:val="24"/>
        </w:rPr>
        <w:t>Transp. Rev.</w:t>
      </w:r>
      <w:r w:rsidRPr="00A92DA0">
        <w:rPr>
          <w:noProof/>
          <w:szCs w:val="24"/>
        </w:rPr>
        <w:t>, vol. 22, no. 2, pp. 197–218, 2002.</w:t>
      </w:r>
    </w:p>
    <w:p w14:paraId="0DD20DC7"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[55]</w:t>
      </w:r>
      <w:r w:rsidRPr="00A92DA0">
        <w:rPr>
          <w:noProof/>
          <w:szCs w:val="24"/>
        </w:rPr>
        <w:tab/>
        <w:t xml:space="preserve">M. Bierlaire, “PandasBiogeme: a short introduction,” </w:t>
      </w:r>
      <w:r w:rsidRPr="00A92DA0">
        <w:rPr>
          <w:i/>
          <w:iCs/>
          <w:noProof/>
          <w:szCs w:val="24"/>
        </w:rPr>
        <w:t>Tech. Rep. TRANSP-OR 181219</w:t>
      </w:r>
      <w:r w:rsidRPr="00A92DA0">
        <w:rPr>
          <w:noProof/>
          <w:szCs w:val="24"/>
        </w:rPr>
        <w:t>, 2018.</w:t>
      </w:r>
    </w:p>
    <w:p w14:paraId="4E674DAE"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[56]</w:t>
      </w:r>
      <w:r w:rsidRPr="00A92DA0">
        <w:rPr>
          <w:noProof/>
          <w:szCs w:val="24"/>
        </w:rPr>
        <w:tab/>
        <w:t>V. Cantillo, J. de D. Ortúzar, and H. Williams, “Modeling discrete choices in the presence of inertia and serial correlation,” vol. 41, no. 2, pp. 195–205, 2007.</w:t>
      </w:r>
    </w:p>
    <w:p w14:paraId="6C1BE380"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[57]</w:t>
      </w:r>
      <w:r w:rsidRPr="00A92DA0">
        <w:rPr>
          <w:noProof/>
          <w:szCs w:val="24"/>
        </w:rPr>
        <w:tab/>
        <w:t xml:space="preserve">M. Hyland, C. Frei, A. Frei, and H. S. Mahmassani, “Riders on the storm: Exploring weather and seasonality effects on commute mode choice in Chicago,” </w:t>
      </w:r>
      <w:r w:rsidRPr="00A92DA0">
        <w:rPr>
          <w:i/>
          <w:iCs/>
          <w:noProof/>
          <w:szCs w:val="24"/>
        </w:rPr>
        <w:t>Travel Behav. Soc.</w:t>
      </w:r>
      <w:r w:rsidRPr="00A92DA0">
        <w:rPr>
          <w:noProof/>
          <w:szCs w:val="24"/>
        </w:rPr>
        <w:t>, vol. 13, no. May, pp. 44–60, 2018.</w:t>
      </w:r>
    </w:p>
    <w:p w14:paraId="04F396CC"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[58]</w:t>
      </w:r>
      <w:r w:rsidRPr="00A92DA0">
        <w:rPr>
          <w:noProof/>
          <w:szCs w:val="24"/>
        </w:rPr>
        <w:tab/>
        <w:t xml:space="preserve">D. Ton, D. C. Duives, O. Cats, S. Hoogendoorn-Lanser, and S. P. Hoogendoorn, “Cycling or walking? Determinants of mode choice in the Netherlands,” </w:t>
      </w:r>
      <w:r w:rsidRPr="00A92DA0">
        <w:rPr>
          <w:i/>
          <w:iCs/>
          <w:noProof/>
          <w:szCs w:val="24"/>
        </w:rPr>
        <w:t>Transp. Res. Part A Policy Pract.</w:t>
      </w:r>
      <w:r w:rsidRPr="00A92DA0">
        <w:rPr>
          <w:noProof/>
          <w:szCs w:val="24"/>
        </w:rPr>
        <w:t>, vol. 123, no. August 2018, pp. 7–23, 2019.</w:t>
      </w:r>
    </w:p>
    <w:p w14:paraId="0FECB5CD" w14:textId="77777777" w:rsidR="00A92DA0" w:rsidRPr="00A92DA0" w:rsidRDefault="00A92DA0" w:rsidP="00A92DA0">
      <w:pPr>
        <w:widowControl w:val="0"/>
        <w:autoSpaceDE w:val="0"/>
        <w:autoSpaceDN w:val="0"/>
        <w:adjustRightInd w:val="0"/>
        <w:ind w:start="32pt" w:hanging="32pt"/>
        <w:jc w:val="start"/>
        <w:rPr>
          <w:noProof/>
          <w:szCs w:val="24"/>
        </w:rPr>
      </w:pPr>
      <w:r w:rsidRPr="00A92DA0">
        <w:rPr>
          <w:noProof/>
          <w:szCs w:val="24"/>
        </w:rPr>
        <w:t>[59]</w:t>
      </w:r>
      <w:r w:rsidRPr="00A92DA0">
        <w:rPr>
          <w:noProof/>
          <w:szCs w:val="24"/>
        </w:rPr>
        <w:tab/>
        <w:t>E. Heinen, K. Maat, and B. Van Wee, “The effect of work-related factors on the bicycle commute mode choice in the Netherlands,” pp. 23–43, 2013.</w:t>
      </w:r>
    </w:p>
    <w:p w14:paraId="07073AF7" w14:textId="77777777" w:rsidR="00A92DA0" w:rsidRPr="00A92DA0" w:rsidRDefault="00A92DA0" w:rsidP="00A92DA0">
      <w:pPr>
        <w:widowControl w:val="0"/>
        <w:autoSpaceDE w:val="0"/>
        <w:autoSpaceDN w:val="0"/>
        <w:adjustRightInd w:val="0"/>
        <w:ind w:start="32pt" w:hanging="32pt"/>
        <w:jc w:val="start"/>
        <w:rPr>
          <w:noProof/>
        </w:rPr>
      </w:pPr>
      <w:r w:rsidRPr="00A92DA0">
        <w:rPr>
          <w:noProof/>
          <w:szCs w:val="24"/>
        </w:rPr>
        <w:t>[60]</w:t>
      </w:r>
      <w:r w:rsidRPr="00A92DA0">
        <w:rPr>
          <w:noProof/>
          <w:szCs w:val="24"/>
        </w:rPr>
        <w:tab/>
        <w:t>A. R. Pinjari, C. Bhat, and D. A. Hensher, “Residential self-selection effects in an activity time-use behavior model,” no. August, 2009.</w:t>
      </w:r>
    </w:p>
    <w:p w14:paraId="14388FBE" w14:textId="113AB745" w:rsidR="00E61426" w:rsidRDefault="00E61426" w:rsidP="00F02ABA">
      <w:pPr>
        <w:jc w:val="start"/>
        <w:rPr>
          <w:lang w:val="nl-NL"/>
        </w:rPr>
      </w:pPr>
      <w:r>
        <w:rPr>
          <w:lang w:val="nl-NL"/>
        </w:rPr>
        <w:fldChar w:fldCharType="end"/>
      </w:r>
    </w:p>
    <w:sectPr w:rsidR="00E61426" w:rsidSect="00675EFD">
      <w:type w:val="continuous"/>
      <w:pgSz w:w="595.30pt" w:h="841.90pt" w:code="9"/>
      <w:pgMar w:top="53.85pt" w:right="53.85pt" w:bottom="72pt" w:left="72pt" w:header="36pt" w:footer="36pt" w:gutter="0pt"/>
      <w:cols w:num="2" w:space="18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endnote w:type="separator" w:id="-1">
    <w:p w14:paraId="6861F8E0" w14:textId="77777777" w:rsidR="00694733" w:rsidRDefault="00694733" w:rsidP="001A3B3D">
      <w:r>
        <w:separator/>
      </w:r>
    </w:p>
  </w:endnote>
  <w:endnote w:type="continuationSeparator" w:id="0">
    <w:p w14:paraId="33684DA1" w14:textId="77777777" w:rsidR="00694733" w:rsidRDefault="00694733"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libri">
    <w:panose1 w:val="020F0502020204030204"/>
    <w:charset w:characterSet="iso-8859-1"/>
    <w:family w:val="swiss"/>
    <w:pitch w:val="variable"/>
    <w:sig w:usb0="E1002AFF" w:usb1="4000ACFF" w:usb2="00000009" w:usb3="00000000" w:csb0="000001FF" w:csb1="00000000"/>
  </w:font>
  <w:font w:name="Arial">
    <w:panose1 w:val="020B0604020202020204"/>
    <w:charset w:characterSet="iso-8859-1"/>
    <w:family w:val="swiss"/>
    <w:pitch w:val="variable"/>
    <w:sig w:usb0="E0002AFF" w:usb1="C0007843" w:usb2="00000009" w:usb3="00000000" w:csb0="000001FF" w:csb1="00000000"/>
  </w:font>
  <w:font w:name="Segoe UI">
    <w:panose1 w:val="020B0502040204020203"/>
    <w:charset w:characterSet="iso-8859-1"/>
    <w:family w:val="swiss"/>
    <w:pitch w:val="variable"/>
    <w:sig w:usb0="E4002EFF" w:usb1="C000E47F" w:usb2="00000009" w:usb3="00000000" w:csb0="000001FF" w:csb1="00000000"/>
  </w:font>
  <w:font w:name="DengXian">
    <w:altName w:val="等线"/>
    <w:panose1 w:val="02010600030101010101"/>
    <w:charset w:characterSet="GBK"/>
    <w:family w:val="auto"/>
    <w:pitch w:val="variable"/>
    <w:sig w:usb0="A00002BF" w:usb1="38CF7CFA" w:usb2="00000016" w:usb3="00000000" w:csb0="0004000F" w:csb1="00000000"/>
  </w:font>
  <w:font w:name="Cambria Math">
    <w:panose1 w:val="02040503050406030204"/>
    <w:charset w:characterSet="iso-8859-1"/>
    <w:family w:val="roman"/>
    <w:pitch w:val="variable"/>
    <w:sig w:usb0="E00002FF" w:usb1="420024FF" w:usb2="00000000" w:usb3="00000000" w:csb0="0000019F" w:csb1="00000000"/>
  </w:font>
  <w:font w:name="DengXian Light">
    <w:altName w:val="等线 Light"/>
    <w:panose1 w:val="02010600030101010101"/>
    <w:charset w:characterSet="GBK"/>
    <w:family w:val="auto"/>
    <w:pitch w:val="variable"/>
    <w:sig w:usb0="A00002BF" w:usb1="38CF7CFA" w:usb2="00000016" w:usb3="00000000" w:csb0="0004000F" w:csb1="00000000"/>
  </w:font>
  <w:font w:name="Calibri Light">
    <w:panose1 w:val="020F0302020204030204"/>
    <w:charset w:characterSet="iso-8859-1"/>
    <w:family w:val="swiss"/>
    <w:pitch w:val="variable"/>
    <w:sig w:usb0="E0002A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2A164368" w14:textId="3D71F85E" w:rsidR="00A92FC2" w:rsidRPr="006F6D3D" w:rsidRDefault="00A92FC2" w:rsidP="0056610F">
    <w:pPr>
      <w:pStyle w:val="Voettekst"/>
      <w:jc w:val="start"/>
      <w:rPr>
        <w:sz w:val="16"/>
        <w:szCs w:val="16"/>
      </w:rPr>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footnote w:type="separator" w:id="-1">
    <w:p w14:paraId="342D9275" w14:textId="77777777" w:rsidR="00694733" w:rsidRDefault="00694733" w:rsidP="001A3B3D">
      <w:r>
        <w:separator/>
      </w:r>
    </w:p>
  </w:footnote>
  <w:footnote w:type="continuationSeparator" w:id="0">
    <w:p w14:paraId="00755256" w14:textId="77777777" w:rsidR="00694733" w:rsidRDefault="00694733" w:rsidP="001A3B3D">
      <w:r>
        <w:continuationSeparator/>
      </w:r>
    </w:p>
  </w:footnote>
  <w:footnote w:id="1">
    <w:p w14:paraId="63D6E32D" w14:textId="77777777" w:rsidR="00A92FC2" w:rsidRPr="00337EE8" w:rsidRDefault="00A92FC2" w:rsidP="007D1DDC">
      <w:pPr>
        <w:snapToGrid w:val="0"/>
        <w:spacing w:line="13.80pt" w:lineRule="auto"/>
        <w:contextualSpacing/>
        <w:jc w:val="both"/>
        <w:rPr>
          <w:rFonts w:ascii="Symbol" w:hAnsi="Symbol"/>
        </w:rPr>
      </w:pPr>
      <w:r w:rsidRPr="00BC4E3E">
        <w:rPr>
          <w:rStyle w:val="Voetnootmarkering"/>
        </w:rPr>
        <w:footnoteRef/>
      </w:r>
      <w:r w:rsidRPr="00BC4E3E">
        <w:t xml:space="preserve"> Note that the EV1 distribution is not closed under addition. Consequentially, the shape of the distribution </w:t>
      </w:r>
      <w:r>
        <w:t xml:space="preserve">followed by </w:t>
      </w:r>
      <w:r w:rsidRPr="00337EE8">
        <w:rPr>
          <w:rFonts w:ascii="Symbol" w:hAnsi="Symbol"/>
          <w:i/>
        </w:rPr>
        <w:t></w:t>
      </w:r>
      <w:r>
        <w:rPr>
          <w:i/>
          <w:vertAlign w:val="subscript"/>
        </w:rPr>
        <w:t>nq</w:t>
      </w:r>
      <w:r w:rsidRPr="00BC4E3E">
        <w:t xml:space="preserve"> changes depending on the values </w:t>
      </w:r>
      <w:r w:rsidRPr="00337EE8">
        <w:rPr>
          <w:rFonts w:ascii="Symbol" w:hAnsi="Symbol"/>
          <w:i/>
        </w:rPr>
        <w:t></w:t>
      </w:r>
      <w:r w:rsidRPr="00FA2583">
        <w:rPr>
          <w:rFonts w:ascii="Symbol" w:hAnsi="Symbol"/>
          <w:i/>
          <w:vertAlign w:val="subscript"/>
        </w:rPr>
        <w:t></w:t>
      </w:r>
      <w:r>
        <w:t xml:space="preserve"> and </w:t>
      </w:r>
      <w:r w:rsidRPr="00337EE8">
        <w:rPr>
          <w:rFonts w:ascii="Symbol" w:hAnsi="Symbol"/>
          <w:i/>
        </w:rPr>
        <w:t></w:t>
      </w:r>
      <w:r>
        <w:t xml:space="preserve">. This distribution guarantees that </w:t>
      </w:r>
      <w:r w:rsidRPr="00337EE8">
        <w:rPr>
          <w:rFonts w:ascii="Symbol" w:hAnsi="Symbol"/>
          <w:i/>
        </w:rPr>
        <w:t></w:t>
      </w:r>
      <w:r w:rsidRPr="00337EE8">
        <w:rPr>
          <w:i/>
          <w:vertAlign w:val="subscript"/>
        </w:rPr>
        <w:t>iq</w:t>
      </w:r>
      <w:r>
        <w:rPr>
          <w:i/>
          <w:vertAlign w:val="subscript"/>
        </w:rPr>
        <w:t xml:space="preserve"> </w:t>
      </w:r>
      <w:r>
        <w:t xml:space="preserve">be identically (but not independently) distributed </w:t>
      </w:r>
      <w:r w:rsidRPr="00337EE8">
        <w:t>across all alternatives in the choice</w:t>
      </w:r>
      <w:r>
        <w:t xml:space="preserve">-set, following an EV1 distribution with equal mode and with scale parameter </w:t>
      </w:r>
      <w:r w:rsidRPr="00337EE8">
        <w:rPr>
          <w:rFonts w:ascii="Symbol" w:hAnsi="Symbol"/>
          <w:i/>
        </w:rPr>
        <w:t></w:t>
      </w:r>
      <w:r>
        <w:t>.</w:t>
      </w:r>
    </w:p>
    <w:p w14:paraId="45D62E48" w14:textId="77777777" w:rsidR="00A92FC2" w:rsidRPr="00BC4E3E" w:rsidRDefault="00A92FC2" w:rsidP="007D1DDC">
      <w:pPr>
        <w:pStyle w:val="Voetnoottekst"/>
        <w:rPr>
          <w:lang w:val="en-US"/>
        </w:rPr>
      </w:pP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170071A"/>
    <w:multiLevelType w:val="hybridMultilevel"/>
    <w:tmpl w:val="D3003D7A"/>
    <w:lvl w:ilvl="0" w:tplc="C6D680E8">
      <w:start w:val="1"/>
      <w:numFmt w:val="lowerLetter"/>
      <w:lvlText w:val="%1."/>
      <w:lvlJc w:val="start"/>
      <w:pPr>
        <w:ind w:start="32.40pt" w:hanging="18pt"/>
      </w:pPr>
      <w:rPr>
        <w:rFonts w:hint="default"/>
      </w:rPr>
    </w:lvl>
    <w:lvl w:ilvl="1" w:tplc="04090019" w:tentative="1">
      <w:start w:val="1"/>
      <w:numFmt w:val="lowerLetter"/>
      <w:lvlText w:val="%2."/>
      <w:lvlJc w:val="start"/>
      <w:pPr>
        <w:ind w:start="68.40pt" w:hanging="18pt"/>
      </w:pPr>
    </w:lvl>
    <w:lvl w:ilvl="2" w:tplc="0409001B" w:tentative="1">
      <w:start w:val="1"/>
      <w:numFmt w:val="lowerRoman"/>
      <w:lvlText w:val="%3."/>
      <w:lvlJc w:val="end"/>
      <w:pPr>
        <w:ind w:start="104.40pt" w:hanging="9pt"/>
      </w:pPr>
    </w:lvl>
    <w:lvl w:ilvl="3" w:tplc="0409000F" w:tentative="1">
      <w:start w:val="1"/>
      <w:numFmt w:val="decimal"/>
      <w:lvlText w:val="%4."/>
      <w:lvlJc w:val="start"/>
      <w:pPr>
        <w:ind w:start="140.40pt" w:hanging="18pt"/>
      </w:pPr>
    </w:lvl>
    <w:lvl w:ilvl="4" w:tplc="04090019" w:tentative="1">
      <w:start w:val="1"/>
      <w:numFmt w:val="lowerLetter"/>
      <w:lvlText w:val="%5."/>
      <w:lvlJc w:val="start"/>
      <w:pPr>
        <w:ind w:start="176.40pt" w:hanging="18pt"/>
      </w:pPr>
    </w:lvl>
    <w:lvl w:ilvl="5" w:tplc="0409001B" w:tentative="1">
      <w:start w:val="1"/>
      <w:numFmt w:val="lowerRoman"/>
      <w:lvlText w:val="%6."/>
      <w:lvlJc w:val="end"/>
      <w:pPr>
        <w:ind w:start="212.40pt" w:hanging="9pt"/>
      </w:pPr>
    </w:lvl>
    <w:lvl w:ilvl="6" w:tplc="0409000F" w:tentative="1">
      <w:start w:val="1"/>
      <w:numFmt w:val="decimal"/>
      <w:lvlText w:val="%7."/>
      <w:lvlJc w:val="start"/>
      <w:pPr>
        <w:ind w:start="248.40pt" w:hanging="18pt"/>
      </w:pPr>
    </w:lvl>
    <w:lvl w:ilvl="7" w:tplc="04090019" w:tentative="1">
      <w:start w:val="1"/>
      <w:numFmt w:val="lowerLetter"/>
      <w:lvlText w:val="%8."/>
      <w:lvlJc w:val="start"/>
      <w:pPr>
        <w:ind w:start="284.40pt" w:hanging="18pt"/>
      </w:pPr>
    </w:lvl>
    <w:lvl w:ilvl="8" w:tplc="0409001B" w:tentative="1">
      <w:start w:val="1"/>
      <w:numFmt w:val="lowerRoman"/>
      <w:lvlText w:val="%9."/>
      <w:lvlJc w:val="end"/>
      <w:pPr>
        <w:ind w:start="320.40pt" w:hanging="9pt"/>
      </w:pPr>
    </w:lvl>
  </w:abstractNum>
  <w:abstractNum w:abstractNumId="14"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5"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6"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7" w15:restartNumberingAfterBreak="0">
    <w:nsid w:val="415D3F2E"/>
    <w:multiLevelType w:val="multilevel"/>
    <w:tmpl w:val="2D2A19EC"/>
    <w:lvl w:ilvl="0">
      <w:numFmt w:val="decimal"/>
      <w:lvlText w:val="%1."/>
      <w:lvlJc w:val="start"/>
      <w:pPr>
        <w:ind w:start="36pt" w:hanging="18pt"/>
      </w:pPr>
      <w:rPr>
        <w:rFonts w:hint="default"/>
        <w:lang w:val="en-US"/>
      </w:rPr>
    </w:lvl>
    <w:lvl w:ilvl="1">
      <w:start w:val="1"/>
      <w:numFmt w:val="decimal"/>
      <w:isLgl/>
      <w:lvlText w:val="%1.%2."/>
      <w:lvlJc w:val="start"/>
      <w:pPr>
        <w:ind w:start="36pt" w:hanging="18pt"/>
      </w:pPr>
      <w:rPr>
        <w:rFonts w:hint="default"/>
      </w:rPr>
    </w:lvl>
    <w:lvl w:ilvl="2">
      <w:start w:val="1"/>
      <w:numFmt w:val="decimal"/>
      <w:isLgl/>
      <w:lvlText w:val="%1.%2.%3."/>
      <w:lvlJc w:val="start"/>
      <w:pPr>
        <w:ind w:start="54pt" w:hanging="36pt"/>
      </w:pPr>
      <w:rPr>
        <w:rFonts w:hint="default"/>
        <w:i/>
      </w:rPr>
    </w:lvl>
    <w:lvl w:ilvl="3">
      <w:start w:val="1"/>
      <w:numFmt w:val="decimal"/>
      <w:isLgl/>
      <w:lvlText w:val="%1.%2.%3.%4."/>
      <w:lvlJc w:val="start"/>
      <w:pPr>
        <w:ind w:start="54pt" w:hanging="36pt"/>
      </w:pPr>
      <w:rPr>
        <w:rFonts w:hint="default"/>
      </w:rPr>
    </w:lvl>
    <w:lvl w:ilvl="4">
      <w:start w:val="1"/>
      <w:numFmt w:val="decimal"/>
      <w:isLgl/>
      <w:lvlText w:val="%1.%2.%3.%4.%5."/>
      <w:lvlJc w:val="start"/>
      <w:pPr>
        <w:ind w:start="72pt" w:hanging="54pt"/>
      </w:pPr>
      <w:rPr>
        <w:rFonts w:hint="default"/>
      </w:rPr>
    </w:lvl>
    <w:lvl w:ilvl="5">
      <w:start w:val="1"/>
      <w:numFmt w:val="decimal"/>
      <w:isLgl/>
      <w:lvlText w:val="%1.%2.%3.%4.%5.%6."/>
      <w:lvlJc w:val="start"/>
      <w:pPr>
        <w:ind w:start="72pt" w:hanging="54pt"/>
      </w:pPr>
      <w:rPr>
        <w:rFonts w:hint="default"/>
      </w:rPr>
    </w:lvl>
    <w:lvl w:ilvl="6">
      <w:start w:val="1"/>
      <w:numFmt w:val="decimal"/>
      <w:isLgl/>
      <w:lvlText w:val="%1.%2.%3.%4.%5.%6.%7."/>
      <w:lvlJc w:val="start"/>
      <w:pPr>
        <w:ind w:start="90pt" w:hanging="72pt"/>
      </w:pPr>
      <w:rPr>
        <w:rFonts w:hint="default"/>
      </w:rPr>
    </w:lvl>
    <w:lvl w:ilvl="7">
      <w:start w:val="1"/>
      <w:numFmt w:val="decimal"/>
      <w:isLgl/>
      <w:lvlText w:val="%1.%2.%3.%4.%5.%6.%7.%8."/>
      <w:lvlJc w:val="start"/>
      <w:pPr>
        <w:ind w:start="90pt" w:hanging="72pt"/>
      </w:pPr>
      <w:rPr>
        <w:rFonts w:hint="default"/>
      </w:rPr>
    </w:lvl>
    <w:lvl w:ilvl="8">
      <w:start w:val="1"/>
      <w:numFmt w:val="decimal"/>
      <w:isLgl/>
      <w:lvlText w:val="%1.%2.%3.%4.%5.%6.%7.%8.%9."/>
      <w:lvlJc w:val="start"/>
      <w:pPr>
        <w:ind w:start="108pt" w:hanging="90pt"/>
      </w:pPr>
      <w:rPr>
        <w:rFonts w:hint="default"/>
      </w:rPr>
    </w:lvl>
  </w:abstractNum>
  <w:abstractNum w:abstractNumId="18" w15:restartNumberingAfterBreak="0">
    <w:nsid w:val="4189603E"/>
    <w:multiLevelType w:val="multilevel"/>
    <w:tmpl w:val="0AB06E12"/>
    <w:lvl w:ilvl="0">
      <w:start w:val="1"/>
      <w:numFmt w:val="upperRoman"/>
      <w:pStyle w:val="Kop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Kop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Kop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Kop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9" w15:restartNumberingAfterBreak="0">
    <w:nsid w:val="482B66BF"/>
    <w:multiLevelType w:val="hybridMultilevel"/>
    <w:tmpl w:val="512ED6D8"/>
    <w:lvl w:ilvl="0" w:tplc="4A38D558">
      <w:start w:val="1"/>
      <w:numFmt w:val="lowerLetter"/>
      <w:lvlText w:val="%1."/>
      <w:lvlJc w:val="start"/>
      <w:pPr>
        <w:ind w:start="32.40pt" w:hanging="18pt"/>
      </w:pPr>
      <w:rPr>
        <w:rFonts w:hint="default"/>
      </w:rPr>
    </w:lvl>
    <w:lvl w:ilvl="1" w:tplc="04090019" w:tentative="1">
      <w:start w:val="1"/>
      <w:numFmt w:val="lowerLetter"/>
      <w:lvlText w:val="%2."/>
      <w:lvlJc w:val="start"/>
      <w:pPr>
        <w:ind w:start="68.40pt" w:hanging="18pt"/>
      </w:pPr>
    </w:lvl>
    <w:lvl w:ilvl="2" w:tplc="0409001B" w:tentative="1">
      <w:start w:val="1"/>
      <w:numFmt w:val="lowerRoman"/>
      <w:lvlText w:val="%3."/>
      <w:lvlJc w:val="end"/>
      <w:pPr>
        <w:ind w:start="104.40pt" w:hanging="9pt"/>
      </w:pPr>
    </w:lvl>
    <w:lvl w:ilvl="3" w:tplc="0409000F" w:tentative="1">
      <w:start w:val="1"/>
      <w:numFmt w:val="decimal"/>
      <w:lvlText w:val="%4."/>
      <w:lvlJc w:val="start"/>
      <w:pPr>
        <w:ind w:start="140.40pt" w:hanging="18pt"/>
      </w:pPr>
    </w:lvl>
    <w:lvl w:ilvl="4" w:tplc="04090019" w:tentative="1">
      <w:start w:val="1"/>
      <w:numFmt w:val="lowerLetter"/>
      <w:lvlText w:val="%5."/>
      <w:lvlJc w:val="start"/>
      <w:pPr>
        <w:ind w:start="176.40pt" w:hanging="18pt"/>
      </w:pPr>
    </w:lvl>
    <w:lvl w:ilvl="5" w:tplc="0409001B" w:tentative="1">
      <w:start w:val="1"/>
      <w:numFmt w:val="lowerRoman"/>
      <w:lvlText w:val="%6."/>
      <w:lvlJc w:val="end"/>
      <w:pPr>
        <w:ind w:start="212.40pt" w:hanging="9pt"/>
      </w:pPr>
    </w:lvl>
    <w:lvl w:ilvl="6" w:tplc="0409000F" w:tentative="1">
      <w:start w:val="1"/>
      <w:numFmt w:val="decimal"/>
      <w:lvlText w:val="%7."/>
      <w:lvlJc w:val="start"/>
      <w:pPr>
        <w:ind w:start="248.40pt" w:hanging="18pt"/>
      </w:pPr>
    </w:lvl>
    <w:lvl w:ilvl="7" w:tplc="04090019" w:tentative="1">
      <w:start w:val="1"/>
      <w:numFmt w:val="lowerLetter"/>
      <w:lvlText w:val="%8."/>
      <w:lvlJc w:val="start"/>
      <w:pPr>
        <w:ind w:start="284.40pt" w:hanging="18pt"/>
      </w:pPr>
    </w:lvl>
    <w:lvl w:ilvl="8" w:tplc="0409001B" w:tentative="1">
      <w:start w:val="1"/>
      <w:numFmt w:val="lowerRoman"/>
      <w:lvlText w:val="%9."/>
      <w:lvlJc w:val="end"/>
      <w:pPr>
        <w:ind w:start="320.40pt" w:hanging="9pt"/>
      </w:pPr>
    </w:lvl>
  </w:abstractNum>
  <w:abstractNum w:abstractNumId="20"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1"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2"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3"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abstractNumId w:val="15"/>
  </w:num>
  <w:num w:numId="2">
    <w:abstractNumId w:val="22"/>
  </w:num>
  <w:num w:numId="3">
    <w:abstractNumId w:val="14"/>
  </w:num>
  <w:num w:numId="4">
    <w:abstractNumId w:val="18"/>
  </w:num>
  <w:num w:numId="5">
    <w:abstractNumId w:val="18"/>
  </w:num>
  <w:num w:numId="6">
    <w:abstractNumId w:val="18"/>
  </w:num>
  <w:num w:numId="7">
    <w:abstractNumId w:val="18"/>
  </w:num>
  <w:num w:numId="8">
    <w:abstractNumId w:val="21"/>
  </w:num>
  <w:num w:numId="9">
    <w:abstractNumId w:val="23"/>
  </w:num>
  <w:num w:numId="10">
    <w:abstractNumId w:val="16"/>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0"/>
  </w:num>
  <w:num w:numId="25">
    <w:abstractNumId w:val="17"/>
  </w:num>
  <w:num w:numId="26">
    <w:abstractNumId w:val="19"/>
  </w:num>
  <w:num w:numId="27">
    <w:abstractNumId w:val="13"/>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NDYxNjI1NDU3MjVT0lEKTi0uzszPAykwrAUAFlYXFSwAAAA="/>
  </w:docVars>
  <w:rsids>
    <w:rsidRoot w:val="009303D9"/>
    <w:rsid w:val="0004781E"/>
    <w:rsid w:val="000675DE"/>
    <w:rsid w:val="0008758A"/>
    <w:rsid w:val="000C1E68"/>
    <w:rsid w:val="00101D2F"/>
    <w:rsid w:val="00103DA8"/>
    <w:rsid w:val="001069DD"/>
    <w:rsid w:val="00125B96"/>
    <w:rsid w:val="001A2EFD"/>
    <w:rsid w:val="001A3B3D"/>
    <w:rsid w:val="001B5C74"/>
    <w:rsid w:val="001B67DC"/>
    <w:rsid w:val="001C1B02"/>
    <w:rsid w:val="001C7897"/>
    <w:rsid w:val="001E4BFB"/>
    <w:rsid w:val="001F09EE"/>
    <w:rsid w:val="001F45B5"/>
    <w:rsid w:val="00215BDD"/>
    <w:rsid w:val="002254A9"/>
    <w:rsid w:val="00233D97"/>
    <w:rsid w:val="002347A2"/>
    <w:rsid w:val="00237509"/>
    <w:rsid w:val="00240D72"/>
    <w:rsid w:val="002474E5"/>
    <w:rsid w:val="002850E3"/>
    <w:rsid w:val="002A771A"/>
    <w:rsid w:val="002B6A4B"/>
    <w:rsid w:val="002D1C48"/>
    <w:rsid w:val="002D7517"/>
    <w:rsid w:val="002E6C20"/>
    <w:rsid w:val="0030233F"/>
    <w:rsid w:val="0030560B"/>
    <w:rsid w:val="00354FCF"/>
    <w:rsid w:val="00357F65"/>
    <w:rsid w:val="003A19E2"/>
    <w:rsid w:val="003A2BD5"/>
    <w:rsid w:val="003A4A86"/>
    <w:rsid w:val="003B2B40"/>
    <w:rsid w:val="003B4E04"/>
    <w:rsid w:val="003F5A08"/>
    <w:rsid w:val="00415924"/>
    <w:rsid w:val="00420716"/>
    <w:rsid w:val="004325FB"/>
    <w:rsid w:val="004432BA"/>
    <w:rsid w:val="0044407E"/>
    <w:rsid w:val="00447BB9"/>
    <w:rsid w:val="0046031D"/>
    <w:rsid w:val="00473AC9"/>
    <w:rsid w:val="00494232"/>
    <w:rsid w:val="004A4430"/>
    <w:rsid w:val="004B1B2E"/>
    <w:rsid w:val="004B3AB8"/>
    <w:rsid w:val="004D72B5"/>
    <w:rsid w:val="004E33F6"/>
    <w:rsid w:val="004E7903"/>
    <w:rsid w:val="004F68EF"/>
    <w:rsid w:val="00501EA0"/>
    <w:rsid w:val="00517676"/>
    <w:rsid w:val="005300C5"/>
    <w:rsid w:val="00551B7F"/>
    <w:rsid w:val="0056610F"/>
    <w:rsid w:val="00570452"/>
    <w:rsid w:val="00575BCA"/>
    <w:rsid w:val="005A5BE9"/>
    <w:rsid w:val="005B0344"/>
    <w:rsid w:val="005B520E"/>
    <w:rsid w:val="005E2800"/>
    <w:rsid w:val="005E51B2"/>
    <w:rsid w:val="005E6F42"/>
    <w:rsid w:val="00605825"/>
    <w:rsid w:val="006108C3"/>
    <w:rsid w:val="00636A31"/>
    <w:rsid w:val="00645D22"/>
    <w:rsid w:val="006505A7"/>
    <w:rsid w:val="00651A08"/>
    <w:rsid w:val="00654204"/>
    <w:rsid w:val="00670434"/>
    <w:rsid w:val="00675EFD"/>
    <w:rsid w:val="00694733"/>
    <w:rsid w:val="006B6B66"/>
    <w:rsid w:val="006B741F"/>
    <w:rsid w:val="006C342D"/>
    <w:rsid w:val="006D4B1C"/>
    <w:rsid w:val="006F6D3D"/>
    <w:rsid w:val="00711CE8"/>
    <w:rsid w:val="00715BEA"/>
    <w:rsid w:val="00740EEA"/>
    <w:rsid w:val="00794804"/>
    <w:rsid w:val="007B33F1"/>
    <w:rsid w:val="007B604F"/>
    <w:rsid w:val="007B6DDA"/>
    <w:rsid w:val="007C0308"/>
    <w:rsid w:val="007C2FF2"/>
    <w:rsid w:val="007D1DDC"/>
    <w:rsid w:val="007D6232"/>
    <w:rsid w:val="007E29B4"/>
    <w:rsid w:val="007F1F99"/>
    <w:rsid w:val="007F56CD"/>
    <w:rsid w:val="007F768F"/>
    <w:rsid w:val="00805F38"/>
    <w:rsid w:val="0080791D"/>
    <w:rsid w:val="00814BFE"/>
    <w:rsid w:val="00836367"/>
    <w:rsid w:val="00842673"/>
    <w:rsid w:val="008641E4"/>
    <w:rsid w:val="00873603"/>
    <w:rsid w:val="00877347"/>
    <w:rsid w:val="00881B5B"/>
    <w:rsid w:val="00884E71"/>
    <w:rsid w:val="0088780E"/>
    <w:rsid w:val="008A2C7D"/>
    <w:rsid w:val="008A604D"/>
    <w:rsid w:val="008B5B8D"/>
    <w:rsid w:val="008B5D58"/>
    <w:rsid w:val="008B6524"/>
    <w:rsid w:val="008C4B23"/>
    <w:rsid w:val="008F6E2C"/>
    <w:rsid w:val="009149F5"/>
    <w:rsid w:val="009303D9"/>
    <w:rsid w:val="00933C64"/>
    <w:rsid w:val="00943956"/>
    <w:rsid w:val="00947EE6"/>
    <w:rsid w:val="00950C0C"/>
    <w:rsid w:val="009716E4"/>
    <w:rsid w:val="00972203"/>
    <w:rsid w:val="009957EE"/>
    <w:rsid w:val="009F1D79"/>
    <w:rsid w:val="00A059B3"/>
    <w:rsid w:val="00A13CD9"/>
    <w:rsid w:val="00A22BD4"/>
    <w:rsid w:val="00A92DA0"/>
    <w:rsid w:val="00A92FC2"/>
    <w:rsid w:val="00AE3409"/>
    <w:rsid w:val="00B11A60"/>
    <w:rsid w:val="00B22613"/>
    <w:rsid w:val="00B44A76"/>
    <w:rsid w:val="00B6330E"/>
    <w:rsid w:val="00B740C1"/>
    <w:rsid w:val="00B768D1"/>
    <w:rsid w:val="00BA1025"/>
    <w:rsid w:val="00BA6E60"/>
    <w:rsid w:val="00BC3420"/>
    <w:rsid w:val="00BD670B"/>
    <w:rsid w:val="00BE7D3C"/>
    <w:rsid w:val="00BF5FF6"/>
    <w:rsid w:val="00C0207F"/>
    <w:rsid w:val="00C16117"/>
    <w:rsid w:val="00C3075A"/>
    <w:rsid w:val="00C43782"/>
    <w:rsid w:val="00C85738"/>
    <w:rsid w:val="00C919A4"/>
    <w:rsid w:val="00CA4392"/>
    <w:rsid w:val="00CB2CC1"/>
    <w:rsid w:val="00CC162F"/>
    <w:rsid w:val="00CC393F"/>
    <w:rsid w:val="00CD4590"/>
    <w:rsid w:val="00CE48CF"/>
    <w:rsid w:val="00CF6CBA"/>
    <w:rsid w:val="00D2176E"/>
    <w:rsid w:val="00D42BF4"/>
    <w:rsid w:val="00D55F43"/>
    <w:rsid w:val="00D632BE"/>
    <w:rsid w:val="00D72D06"/>
    <w:rsid w:val="00D7522C"/>
    <w:rsid w:val="00D7536F"/>
    <w:rsid w:val="00D758EE"/>
    <w:rsid w:val="00D76668"/>
    <w:rsid w:val="00E048ED"/>
    <w:rsid w:val="00E07383"/>
    <w:rsid w:val="00E075F7"/>
    <w:rsid w:val="00E165BC"/>
    <w:rsid w:val="00E20D4C"/>
    <w:rsid w:val="00E61426"/>
    <w:rsid w:val="00E61E12"/>
    <w:rsid w:val="00E7596C"/>
    <w:rsid w:val="00E82693"/>
    <w:rsid w:val="00E878F2"/>
    <w:rsid w:val="00ED0149"/>
    <w:rsid w:val="00EF0945"/>
    <w:rsid w:val="00EF7DE3"/>
    <w:rsid w:val="00F02ABA"/>
    <w:rsid w:val="00F03103"/>
    <w:rsid w:val="00F271DE"/>
    <w:rsid w:val="00F627DA"/>
    <w:rsid w:val="00F7288F"/>
    <w:rsid w:val="00F847A6"/>
    <w:rsid w:val="00F867D5"/>
    <w:rsid w:val="00F9441B"/>
    <w:rsid w:val="00F9624F"/>
    <w:rsid w:val="00FA2583"/>
    <w:rsid w:val="00FA4C32"/>
    <w:rsid w:val="00FE7114"/>
    <w:rsid w:val="00FF07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1D6B137"/>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ard">
    <w:name w:val="Normal"/>
    <w:qFormat/>
    <w:pPr>
      <w:jc w:val="center"/>
    </w:pPr>
  </w:style>
  <w:style w:type="paragraph" w:styleId="Kop1">
    <w:name w:val="heading 1"/>
    <w:basedOn w:val="Standaard"/>
    <w:next w:val="Standaard"/>
    <w:qFormat/>
    <w:rsid w:val="006B6B66"/>
    <w:pPr>
      <w:keepNext/>
      <w:keepLines/>
      <w:numPr>
        <w:numId w:val="4"/>
      </w:numPr>
      <w:tabs>
        <w:tab w:val="start" w:pos="10.80pt"/>
      </w:tabs>
      <w:spacing w:before="8pt" w:after="4pt"/>
      <w:ind w:firstLine="0pt"/>
      <w:outlineLvl w:val="0"/>
    </w:pPr>
    <w:rPr>
      <w:smallCaps/>
      <w:noProof/>
    </w:rPr>
  </w:style>
  <w:style w:type="paragraph" w:styleId="Kop2">
    <w:name w:val="heading 2"/>
    <w:basedOn w:val="Standaard"/>
    <w:next w:val="Standaard"/>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Kop3">
    <w:name w:val="heading 3"/>
    <w:basedOn w:val="Standaard"/>
    <w:next w:val="Standaard"/>
    <w:qFormat/>
    <w:rsid w:val="00794804"/>
    <w:pPr>
      <w:numPr>
        <w:ilvl w:val="2"/>
        <w:numId w:val="4"/>
      </w:numPr>
      <w:spacing w:line="12pt" w:lineRule="exact"/>
      <w:ind w:firstLine="14.40pt"/>
      <w:jc w:val="both"/>
      <w:outlineLvl w:val="2"/>
    </w:pPr>
    <w:rPr>
      <w:i/>
      <w:iCs/>
      <w:noProof/>
    </w:rPr>
  </w:style>
  <w:style w:type="paragraph" w:styleId="Kop4">
    <w:name w:val="heading 4"/>
    <w:basedOn w:val="Standaard"/>
    <w:next w:val="Standaard"/>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Kop5">
    <w:name w:val="heading 5"/>
    <w:basedOn w:val="Standaard"/>
    <w:next w:val="Standaard"/>
    <w:qFormat/>
    <w:pPr>
      <w:tabs>
        <w:tab w:val="start" w:pos="18pt"/>
      </w:tabs>
      <w:spacing w:before="8pt" w:after="4pt"/>
      <w:outlineLvl w:val="4"/>
    </w:pPr>
    <w:rPr>
      <w:smallCaps/>
      <w:noProo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pt" w:type="dxa"/>
      <w:tblCellMar>
        <w:top w:w="0pt" w:type="dxa"/>
        <w:start w:w="5.40pt" w:type="dxa"/>
        <w:bottom w:w="0pt" w:type="dxa"/>
        <w:end w:w="5.40pt" w:type="dxa"/>
      </w:tblCellMar>
    </w:tblPr>
  </w:style>
  <w:style w:type="numbering" w:default="1" w:styleId="Geenlij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Plattetekst">
    <w:name w:val="Body Text"/>
    <w:basedOn w:val="Standaard"/>
    <w:link w:val="PlattetekstChar"/>
    <w:rsid w:val="00E7596C"/>
    <w:pPr>
      <w:tabs>
        <w:tab w:val="start" w:pos="14.40pt"/>
      </w:tabs>
      <w:spacing w:after="6pt" w:line="11.40pt" w:lineRule="auto"/>
      <w:ind w:firstLine="14.40pt"/>
      <w:jc w:val="both"/>
    </w:pPr>
    <w:rPr>
      <w:spacing w:val="-1"/>
      <w:lang w:val="x-none" w:eastAsia="x-none"/>
    </w:rPr>
  </w:style>
  <w:style w:type="character" w:customStyle="1" w:styleId="PlattetekstChar">
    <w:name w:val="Platte tekst Char"/>
    <w:link w:val="Plattetekst"/>
    <w:rsid w:val="00E7596C"/>
    <w:rPr>
      <w:spacing w:val="-1"/>
      <w:lang w:val="x-none" w:eastAsia="x-none"/>
    </w:rPr>
  </w:style>
  <w:style w:type="paragraph" w:customStyle="1" w:styleId="bulletlist">
    <w:name w:val="bullet list"/>
    <w:basedOn w:val="Plattetekst"/>
    <w:rsid w:val="001B67DC"/>
    <w:pPr>
      <w:numPr>
        <w:numId w:val="1"/>
      </w:numPr>
      <w:tabs>
        <w:tab w:val="clear" w:pos="32.40pt"/>
      </w:tabs>
      <w:ind w:start="28.80pt" w:hanging="14.40pt"/>
    </w:pPr>
  </w:style>
  <w:style w:type="paragraph" w:customStyle="1" w:styleId="equation">
    <w:name w:val="equation"/>
    <w:basedOn w:val="Standaard"/>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Standaard"/>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Koptekst">
    <w:name w:val="header"/>
    <w:basedOn w:val="Standaard"/>
    <w:link w:val="KoptekstChar"/>
    <w:rsid w:val="001A3B3D"/>
    <w:pPr>
      <w:tabs>
        <w:tab w:val="center" w:pos="234pt"/>
        <w:tab w:val="end" w:pos="468pt"/>
      </w:tabs>
    </w:pPr>
  </w:style>
  <w:style w:type="character" w:customStyle="1" w:styleId="KoptekstChar">
    <w:name w:val="Koptekst Char"/>
    <w:basedOn w:val="Standaardalinea-lettertype"/>
    <w:link w:val="Koptekst"/>
    <w:rsid w:val="001A3B3D"/>
  </w:style>
  <w:style w:type="paragraph" w:styleId="Voettekst">
    <w:name w:val="footer"/>
    <w:basedOn w:val="Standaard"/>
    <w:link w:val="VoettekstChar"/>
    <w:rsid w:val="001A3B3D"/>
    <w:pPr>
      <w:tabs>
        <w:tab w:val="center" w:pos="234pt"/>
        <w:tab w:val="end" w:pos="468pt"/>
      </w:tabs>
    </w:pPr>
  </w:style>
  <w:style w:type="character" w:customStyle="1" w:styleId="VoettekstChar">
    <w:name w:val="Voettekst Char"/>
    <w:basedOn w:val="Standaardalinea-lettertype"/>
    <w:link w:val="Voettekst"/>
    <w:rsid w:val="001A3B3D"/>
  </w:style>
  <w:style w:type="paragraph" w:styleId="Lijstalinea">
    <w:name w:val="List Paragraph"/>
    <w:basedOn w:val="Standaard"/>
    <w:uiPriority w:val="34"/>
    <w:qFormat/>
    <w:rsid w:val="00101D2F"/>
    <w:pPr>
      <w:spacing w:after="8pt" w:line="12.95pt" w:lineRule="auto"/>
      <w:ind w:start="36pt"/>
      <w:contextualSpacing/>
      <w:jc w:val="start"/>
    </w:pPr>
    <w:rPr>
      <w:rFonts w:asciiTheme="minorHAnsi" w:eastAsiaTheme="minorHAnsi" w:hAnsiTheme="minorHAnsi" w:cstheme="minorBidi"/>
      <w:sz w:val="22"/>
      <w:szCs w:val="22"/>
    </w:rPr>
  </w:style>
  <w:style w:type="character" w:styleId="Verwijzingopmerking">
    <w:name w:val="annotation reference"/>
    <w:basedOn w:val="Standaardalinea-lettertype"/>
    <w:uiPriority w:val="99"/>
    <w:unhideWhenUsed/>
    <w:rsid w:val="00101D2F"/>
    <w:rPr>
      <w:sz w:val="16"/>
      <w:szCs w:val="16"/>
    </w:rPr>
  </w:style>
  <w:style w:type="paragraph" w:styleId="Tekstopmerking">
    <w:name w:val="annotation text"/>
    <w:basedOn w:val="Standaard"/>
    <w:link w:val="TekstopmerkingChar"/>
    <w:uiPriority w:val="99"/>
    <w:unhideWhenUsed/>
    <w:rsid w:val="00101D2F"/>
    <w:pPr>
      <w:spacing w:after="8pt"/>
      <w:jc w:val="start"/>
    </w:pPr>
    <w:rPr>
      <w:rFonts w:asciiTheme="minorHAnsi" w:eastAsiaTheme="minorHAnsi" w:hAnsiTheme="minorHAnsi" w:cstheme="minorBidi"/>
      <w:lang w:val="nl-NL"/>
    </w:rPr>
  </w:style>
  <w:style w:type="character" w:customStyle="1" w:styleId="TekstopmerkingChar">
    <w:name w:val="Tekst opmerking Char"/>
    <w:basedOn w:val="Standaardalinea-lettertype"/>
    <w:link w:val="Tekstopmerking"/>
    <w:uiPriority w:val="99"/>
    <w:rsid w:val="00101D2F"/>
    <w:rPr>
      <w:rFonts w:asciiTheme="minorHAnsi" w:eastAsiaTheme="minorHAnsi" w:hAnsiTheme="minorHAnsi" w:cstheme="minorBidi"/>
      <w:lang w:val="nl-NL"/>
    </w:rPr>
  </w:style>
  <w:style w:type="paragraph" w:styleId="Ballontekst">
    <w:name w:val="Balloon Text"/>
    <w:basedOn w:val="Standaard"/>
    <w:link w:val="BallontekstChar"/>
    <w:rsid w:val="00101D2F"/>
    <w:rPr>
      <w:rFonts w:ascii="Segoe UI" w:hAnsi="Segoe UI" w:cs="Segoe UI"/>
      <w:sz w:val="18"/>
      <w:szCs w:val="18"/>
    </w:rPr>
  </w:style>
  <w:style w:type="character" w:customStyle="1" w:styleId="BallontekstChar">
    <w:name w:val="Ballontekst Char"/>
    <w:basedOn w:val="Standaardalinea-lettertype"/>
    <w:link w:val="Ballontekst"/>
    <w:rsid w:val="00101D2F"/>
    <w:rPr>
      <w:rFonts w:ascii="Segoe UI" w:hAnsi="Segoe UI" w:cs="Segoe UI"/>
      <w:sz w:val="18"/>
      <w:szCs w:val="18"/>
    </w:rPr>
  </w:style>
  <w:style w:type="paragraph" w:styleId="Voetnoottekst">
    <w:name w:val="footnote text"/>
    <w:basedOn w:val="Standaard"/>
    <w:link w:val="VoetnoottekstChar"/>
    <w:uiPriority w:val="99"/>
    <w:unhideWhenUsed/>
    <w:rsid w:val="007D1DDC"/>
    <w:pPr>
      <w:jc w:val="start"/>
    </w:pPr>
    <w:rPr>
      <w:rFonts w:asciiTheme="minorHAnsi" w:eastAsiaTheme="minorHAnsi" w:hAnsiTheme="minorHAnsi" w:cstheme="minorBidi"/>
      <w:lang w:val="nl-NL"/>
    </w:rPr>
  </w:style>
  <w:style w:type="character" w:customStyle="1" w:styleId="VoetnoottekstChar">
    <w:name w:val="Voetnoottekst Char"/>
    <w:basedOn w:val="Standaardalinea-lettertype"/>
    <w:link w:val="Voetnoottekst"/>
    <w:uiPriority w:val="99"/>
    <w:rsid w:val="007D1DDC"/>
    <w:rPr>
      <w:rFonts w:asciiTheme="minorHAnsi" w:eastAsiaTheme="minorHAnsi" w:hAnsiTheme="minorHAnsi" w:cstheme="minorBidi"/>
      <w:lang w:val="nl-NL"/>
    </w:rPr>
  </w:style>
  <w:style w:type="character" w:styleId="Voetnootmarkering">
    <w:name w:val="footnote reference"/>
    <w:basedOn w:val="Standaardalinea-lettertype"/>
    <w:uiPriority w:val="99"/>
    <w:unhideWhenUsed/>
    <w:rsid w:val="007D1DDC"/>
    <w:rPr>
      <w:vertAlign w:val="superscript"/>
    </w:rPr>
  </w:style>
  <w:style w:type="paragraph" w:styleId="Bijschrift">
    <w:name w:val="caption"/>
    <w:basedOn w:val="Standaard"/>
    <w:next w:val="Standaard"/>
    <w:unhideWhenUsed/>
    <w:qFormat/>
    <w:rsid w:val="00C85738"/>
    <w:pPr>
      <w:spacing w:after="10pt"/>
    </w:pPr>
    <w:rPr>
      <w:i/>
      <w:iCs/>
      <w:color w:val="44546A" w:themeColor="text2"/>
      <w:sz w:val="18"/>
      <w:szCs w:val="18"/>
    </w:rPr>
  </w:style>
  <w:style w:type="table" w:styleId="Tabelraster">
    <w:name w:val="Table Grid"/>
    <w:basedOn w:val="Standaardtabel"/>
    <w:uiPriority w:val="39"/>
    <w:rsid w:val="00357F65"/>
    <w:rPr>
      <w:rFonts w:asciiTheme="minorHAnsi" w:eastAsiaTheme="minorHAnsi" w:hAnsiTheme="minorHAnsi" w:cstheme="minorBidi"/>
      <w:sz w:val="22"/>
      <w:szCs w:val="22"/>
      <w:lang w:val="nl-NL"/>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rsid w:val="00814BFE"/>
    <w:pPr>
      <w:spacing w:after="0pt"/>
      <w:jc w:val="center"/>
    </w:pPr>
    <w:rPr>
      <w:rFonts w:ascii="Times New Roman" w:eastAsia="SimSun" w:hAnsi="Times New Roman" w:cs="Times New Roman"/>
      <w:b/>
      <w:bCs/>
      <w:lang w:val="en-US"/>
    </w:rPr>
  </w:style>
  <w:style w:type="character" w:customStyle="1" w:styleId="OnderwerpvanopmerkingChar">
    <w:name w:val="Onderwerp van opmerking Char"/>
    <w:basedOn w:val="TekstopmerkingChar"/>
    <w:link w:val="Onderwerpvanopmerking"/>
    <w:rsid w:val="00814BFE"/>
    <w:rPr>
      <w:rFonts w:asciiTheme="minorHAnsi" w:eastAsiaTheme="minorHAnsi" w:hAnsiTheme="minorHAnsi" w:cstheme="minorBidi"/>
      <w:b/>
      <w:bCs/>
      <w:lang w:val="nl-NL"/>
    </w:rPr>
  </w:style>
  <w:style w:type="character" w:styleId="Hyperlink">
    <w:name w:val="Hyperlink"/>
    <w:basedOn w:val="Standaardalinea-lettertype"/>
    <w:rsid w:val="004A4430"/>
    <w:rPr>
      <w:color w:val="0563C1" w:themeColor="hyperlink"/>
      <w:u w:val="single"/>
    </w:rPr>
  </w:style>
  <w:style w:type="character" w:customStyle="1" w:styleId="Onopgelostemelding1">
    <w:name w:val="Onopgeloste melding1"/>
    <w:basedOn w:val="Standaardalinea-lettertype"/>
    <w:uiPriority w:val="99"/>
    <w:semiHidden/>
    <w:unhideWhenUsed/>
    <w:rsid w:val="004A4430"/>
    <w:rPr>
      <w:color w:val="605E5C"/>
      <w:shd w:val="clear" w:color="auto" w:fill="E1DFDD"/>
    </w:rPr>
  </w:style>
  <w:style w:type="paragraph" w:customStyle="1" w:styleId="Default">
    <w:name w:val="Default"/>
    <w:rsid w:val="001B5C74"/>
    <w:pPr>
      <w:autoSpaceDE w:val="0"/>
      <w:autoSpaceDN w:val="0"/>
      <w:adjustRightInd w:val="0"/>
    </w:pPr>
    <w:rPr>
      <w:color w:val="000000"/>
      <w:sz w:val="24"/>
      <w:szCs w:val="24"/>
    </w:rPr>
  </w:style>
  <w:style w:type="paragraph" w:styleId="Geenafstand">
    <w:name w:val="No Spacing"/>
    <w:link w:val="GeenafstandChar"/>
    <w:uiPriority w:val="1"/>
    <w:qFormat/>
    <w:rsid w:val="00711CE8"/>
    <w:rPr>
      <w:rFonts w:asciiTheme="minorHAnsi" w:eastAsiaTheme="minorEastAsia" w:hAnsiTheme="minorHAnsi" w:cstheme="minorBidi"/>
      <w:sz w:val="22"/>
      <w:szCs w:val="22"/>
      <w:lang w:eastAsia="zh-CN"/>
    </w:rPr>
  </w:style>
  <w:style w:type="character" w:customStyle="1" w:styleId="GeenafstandChar">
    <w:name w:val="Geen afstand Char"/>
    <w:basedOn w:val="Standaardalinea-lettertype"/>
    <w:link w:val="Geenafstand"/>
    <w:uiPriority w:val="1"/>
    <w:rsid w:val="00711CE8"/>
    <w:rPr>
      <w:rFonts w:asciiTheme="minorHAnsi" w:eastAsiaTheme="minorEastAsia" w:hAnsiTheme="minorHAnsi" w:cstheme="minorBidi"/>
      <w:sz w:val="22"/>
      <w:szCs w:val="22"/>
      <w:lang w:eastAsia="zh-CN"/>
    </w:rPr>
  </w:style>
  <w:style w:type="paragraph" w:styleId="Revisie">
    <w:name w:val="Revision"/>
    <w:hidden/>
    <w:uiPriority w:val="99"/>
    <w:semiHidden/>
    <w:rsid w:val="00CD4590"/>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divs>
    <w:div w:id="756286373">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purl.oclc.org/ooxml/officeDocument/relationships/image" Target="media/image5.wmf"/><Relationship Id="rId18" Type="http://purl.oclc.org/ooxml/officeDocument/relationships/image" Target="media/image8.wmf"/><Relationship Id="rId26" Type="http://purl.oclc.org/ooxml/officeDocument/relationships/oleObject" Target="embeddings/oleObject5.bin"/><Relationship Id="rId39" Type="http://purl.oclc.org/ooxml/officeDocument/relationships/chart" Target="charts/chart6.xml"/><Relationship Id="rId21" Type="http://purl.oclc.org/ooxml/officeDocument/relationships/image" Target="media/image10.wmf"/><Relationship Id="rId34" Type="http://purl.oclc.org/ooxml/officeDocument/relationships/chart" Target="charts/chart1.xml"/><Relationship Id="rId42" Type="http://purl.oclc.org/ooxml/officeDocument/relationships/theme" Target="theme/theme1.xml"/><Relationship Id="rId7" Type="http://purl.oclc.org/ooxml/officeDocument/relationships/endnotes" Target="endnotes.xml"/><Relationship Id="rId2" Type="http://purl.oclc.org/ooxml/officeDocument/relationships/numbering" Target="numbering.xml"/><Relationship Id="rId16" Type="http://purl.oclc.org/ooxml/officeDocument/relationships/image" Target="media/image7.wmf"/><Relationship Id="rId20" Type="http://purl.oclc.org/ooxml/officeDocument/relationships/oleObject" Target="embeddings/oleObject3.bin"/><Relationship Id="rId29" Type="http://purl.oclc.org/ooxml/officeDocument/relationships/oleObject" Target="embeddings/oleObject6.bin"/><Relationship Id="rId41" Type="http://purl.oclc.org/ooxml/officeDocument/relationships/fontTable" Target="fontTable.xml"/><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3.emf"/><Relationship Id="rId24" Type="http://purl.oclc.org/ooxml/officeDocument/relationships/image" Target="media/image12.wmf"/><Relationship Id="rId32" Type="http://purl.oclc.org/ooxml/officeDocument/relationships/oleObject" Target="embeddings/oleObject7.bin"/><Relationship Id="rId37" Type="http://purl.oclc.org/ooxml/officeDocument/relationships/chart" Target="charts/chart4.xml"/><Relationship Id="rId40" Type="http://purl.oclc.org/ooxml/officeDocument/relationships/chart" Target="charts/chart7.xml"/><Relationship Id="rId5" Type="http://purl.oclc.org/ooxml/officeDocument/relationships/webSettings" Target="webSettings.xml"/><Relationship Id="rId15" Type="http://purl.oclc.org/ooxml/officeDocument/relationships/image" Target="media/image6.wmf"/><Relationship Id="rId23" Type="http://purl.oclc.org/ooxml/officeDocument/relationships/oleObject" Target="embeddings/oleObject4.bin"/><Relationship Id="rId28" Type="http://purl.oclc.org/ooxml/officeDocument/relationships/image" Target="media/image15.wmf"/><Relationship Id="rId36" Type="http://purl.oclc.org/ooxml/officeDocument/relationships/chart" Target="charts/chart3.xml"/><Relationship Id="rId10" Type="http://purl.oclc.org/ooxml/officeDocument/relationships/image" Target="media/image2.png"/><Relationship Id="rId19" Type="http://purl.oclc.org/ooxml/officeDocument/relationships/image" Target="media/image9.wmf"/><Relationship Id="rId31" Type="http://purl.oclc.org/ooxml/officeDocument/relationships/image" Target="media/image17.wmf"/><Relationship Id="rId4" Type="http://purl.oclc.org/ooxml/officeDocument/relationships/settings" Target="settings.xml"/><Relationship Id="rId9" Type="http://purl.oclc.org/ooxml/officeDocument/relationships/footer" Target="footer1.xml"/><Relationship Id="rId14" Type="http://purl.oclc.org/ooxml/officeDocument/relationships/oleObject" Target="embeddings/oleObject1.bin"/><Relationship Id="rId22" Type="http://purl.oclc.org/ooxml/officeDocument/relationships/image" Target="media/image11.wmf"/><Relationship Id="rId27" Type="http://purl.oclc.org/ooxml/officeDocument/relationships/image" Target="media/image14.wmf"/><Relationship Id="rId30" Type="http://purl.oclc.org/ooxml/officeDocument/relationships/image" Target="media/image16.wmf"/><Relationship Id="rId35" Type="http://purl.oclc.org/ooxml/officeDocument/relationships/chart" Target="charts/chart2.xml"/><Relationship Id="rId8" Type="http://purl.oclc.org/ooxml/officeDocument/relationships/image" Target="media/image1.png"/><Relationship Id="rId3" Type="http://purl.oclc.org/ooxml/officeDocument/relationships/styles" Target="styles.xml"/><Relationship Id="rId12" Type="http://purl.oclc.org/ooxml/officeDocument/relationships/image" Target="media/image4.png"/><Relationship Id="rId17" Type="http://purl.oclc.org/ooxml/officeDocument/relationships/oleObject" Target="embeddings/oleObject2.bin"/><Relationship Id="rId25" Type="http://purl.oclc.org/ooxml/officeDocument/relationships/image" Target="media/image13.wmf"/><Relationship Id="rId33" Type="http://purl.oclc.org/ooxml/officeDocument/relationships/image" Target="media/image18.wmf"/><Relationship Id="rId38" Type="http://purl.oclc.org/ooxml/officeDocument/relationships/chart" Target="charts/chart5.xml"/></Relationships>
</file>

<file path=word/charts/_rels/chart1.xml.rels><?xml version="1.0" encoding="UTF-8" standalone="yes"?>
<Relationships xmlns="http://schemas.openxmlformats.org/package/2006/relationships"><Relationship Id="rId3" Type="http://purl.oclc.org/ooxml/officeDocument/relationships/oleObject" Target="Map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purl.oclc.org/ooxml/officeDocument/relationships/oleObject" Target="Map3"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purl.oclc.org/ooxml/officeDocument/relationships/oleObject" Target="Map3"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purl.oclc.org/ooxml/officeDocument/relationships/oleObject" Target="Map3"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purl.oclc.org/ooxml/officeDocument/relationships/oleObject" Target="Map3"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purl.oclc.org/ooxml/officeDocument/relationships/oleObject" Target="Map3"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purl.oclc.org/ooxml/officeDocument/relationships/oleObject" Target="Map3"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purl.oclc.org/ooxml/drawingml/chart" xmlns:a="http://purl.oclc.org/ooxml/drawingml/main" xmlns:r="http://purl.oclc.org/ooxml/officeDocument/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b="0"/>
              <a:t>(g) House type effect on choice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Blad5!$C$12</c:f>
              <c:strCache>
                <c:ptCount val="1"/>
                <c:pt idx="0">
                  <c:v>Apartment</c:v>
                </c:pt>
              </c:strCache>
            </c:strRef>
          </c:tx>
          <c:spPr>
            <a:solidFill>
              <a:schemeClr val="dk1">
                <a:tint val="88.5%"/>
              </a:schemeClr>
            </a:solidFill>
            <a:ln>
              <a:noFill/>
            </a:ln>
            <a:effectLst/>
          </c:spPr>
          <c:invertIfNegative val="0"/>
          <c:cat>
            <c:multiLvlStrRef>
              <c:f>Blad5!$A$13:$B$20</c:f>
              <c:multiLvlStrCache>
                <c:ptCount val="8"/>
                <c:lvl>
                  <c:pt idx="0">
                    <c:v>Car</c:v>
                  </c:pt>
                  <c:pt idx="1">
                    <c:v>PT</c:v>
                  </c:pt>
                  <c:pt idx="2">
                    <c:v>Bicycle</c:v>
                  </c:pt>
                  <c:pt idx="3">
                    <c:v>Walking</c:v>
                  </c:pt>
                  <c:pt idx="4">
                    <c:v>Car</c:v>
                  </c:pt>
                  <c:pt idx="5">
                    <c:v>PT</c:v>
                  </c:pt>
                  <c:pt idx="6">
                    <c:v>Bicycle</c:v>
                  </c:pt>
                  <c:pt idx="7">
                    <c:v>Walking</c:v>
                  </c:pt>
                </c:lvl>
                <c:lvl>
                  <c:pt idx="0">
                    <c:v>Current situation</c:v>
                  </c:pt>
                  <c:pt idx="4">
                    <c:v>Mobility hub</c:v>
                  </c:pt>
                </c:lvl>
              </c:multiLvlStrCache>
            </c:multiLvlStrRef>
          </c:cat>
          <c:val>
            <c:numRef>
              <c:f>Blad5!$C$13:$C$20</c:f>
              <c:numCache>
                <c:formatCode>0%</c:formatCode>
                <c:ptCount val="8"/>
                <c:pt idx="0">
                  <c:v>0.19047619047619047</c:v>
                </c:pt>
                <c:pt idx="1">
                  <c:v>9.0225563909774431E-2</c:v>
                </c:pt>
                <c:pt idx="2">
                  <c:v>0.15288220551378445</c:v>
                </c:pt>
                <c:pt idx="3">
                  <c:v>1.5037593984962405E-2</c:v>
                </c:pt>
                <c:pt idx="4">
                  <c:v>2.2556390977443608E-2</c:v>
                </c:pt>
                <c:pt idx="5">
                  <c:v>5.0125313283208017E-3</c:v>
                </c:pt>
                <c:pt idx="6">
                  <c:v>2.0050125313283207E-2</c:v>
                </c:pt>
                <c:pt idx="7">
                  <c:v>2.5062656641604009E-3</c:v>
                </c:pt>
              </c:numCache>
            </c:numRef>
          </c:val>
          <c:extLst>
            <c:ext xmlns:c16="http://schemas.microsoft.com/office/drawing/2014/chart" uri="{C3380CC4-5D6E-409C-BE32-E72D297353CC}">
              <c16:uniqueId val="{00000000-D1A2-43D9-80B0-0B5D213E3B8D}"/>
            </c:ext>
          </c:extLst>
        </c:ser>
        <c:ser>
          <c:idx val="1"/>
          <c:order val="1"/>
          <c:tx>
            <c:strRef>
              <c:f>Blad5!$D$12</c:f>
              <c:strCache>
                <c:ptCount val="1"/>
                <c:pt idx="0">
                  <c:v>Terraced house</c:v>
                </c:pt>
              </c:strCache>
            </c:strRef>
          </c:tx>
          <c:spPr>
            <a:solidFill>
              <a:schemeClr val="dk1">
                <a:tint val="55%"/>
              </a:schemeClr>
            </a:solidFill>
            <a:ln>
              <a:noFill/>
            </a:ln>
            <a:effectLst/>
          </c:spPr>
          <c:invertIfNegative val="0"/>
          <c:cat>
            <c:multiLvlStrRef>
              <c:f>Blad5!$A$13:$B$20</c:f>
              <c:multiLvlStrCache>
                <c:ptCount val="8"/>
                <c:lvl>
                  <c:pt idx="0">
                    <c:v>Car</c:v>
                  </c:pt>
                  <c:pt idx="1">
                    <c:v>PT</c:v>
                  </c:pt>
                  <c:pt idx="2">
                    <c:v>Bicycle</c:v>
                  </c:pt>
                  <c:pt idx="3">
                    <c:v>Walking</c:v>
                  </c:pt>
                  <c:pt idx="4">
                    <c:v>Car</c:v>
                  </c:pt>
                  <c:pt idx="5">
                    <c:v>PT</c:v>
                  </c:pt>
                  <c:pt idx="6">
                    <c:v>Bicycle</c:v>
                  </c:pt>
                  <c:pt idx="7">
                    <c:v>Walking</c:v>
                  </c:pt>
                </c:lvl>
                <c:lvl>
                  <c:pt idx="0">
                    <c:v>Current situation</c:v>
                  </c:pt>
                  <c:pt idx="4">
                    <c:v>Mobility hub</c:v>
                  </c:pt>
                </c:lvl>
              </c:multiLvlStrCache>
            </c:multiLvlStrRef>
          </c:cat>
          <c:val>
            <c:numRef>
              <c:f>Blad5!$D$13:$D$20</c:f>
              <c:numCache>
                <c:formatCode>0%</c:formatCode>
                <c:ptCount val="8"/>
                <c:pt idx="0">
                  <c:v>0.18045112781954886</c:v>
                </c:pt>
                <c:pt idx="1">
                  <c:v>4.2606516290726815E-2</c:v>
                </c:pt>
                <c:pt idx="2">
                  <c:v>4.2606516290726815E-2</c:v>
                </c:pt>
                <c:pt idx="3">
                  <c:v>2.0050125313283207E-2</c:v>
                </c:pt>
                <c:pt idx="4">
                  <c:v>2.0050125313283207E-2</c:v>
                </c:pt>
                <c:pt idx="5">
                  <c:v>1.5037593984962405E-2</c:v>
                </c:pt>
                <c:pt idx="6">
                  <c:v>5.0125313283208017E-2</c:v>
                </c:pt>
                <c:pt idx="7">
                  <c:v>0</c:v>
                </c:pt>
              </c:numCache>
            </c:numRef>
          </c:val>
          <c:extLst>
            <c:ext xmlns:c16="http://schemas.microsoft.com/office/drawing/2014/chart" uri="{C3380CC4-5D6E-409C-BE32-E72D297353CC}">
              <c16:uniqueId val="{00000001-D1A2-43D9-80B0-0B5D213E3B8D}"/>
            </c:ext>
          </c:extLst>
        </c:ser>
        <c:ser>
          <c:idx val="2"/>
          <c:order val="2"/>
          <c:tx>
            <c:strRef>
              <c:f>Blad5!$E$12</c:f>
              <c:strCache>
                <c:ptCount val="1"/>
                <c:pt idx="0">
                  <c:v>Detached house</c:v>
                </c:pt>
              </c:strCache>
            </c:strRef>
          </c:tx>
          <c:spPr>
            <a:solidFill>
              <a:schemeClr val="dk1">
                <a:tint val="75%"/>
              </a:schemeClr>
            </a:solidFill>
            <a:ln>
              <a:noFill/>
            </a:ln>
            <a:effectLst/>
          </c:spPr>
          <c:invertIfNegative val="0"/>
          <c:cat>
            <c:multiLvlStrRef>
              <c:f>Blad5!$A$13:$B$20</c:f>
              <c:multiLvlStrCache>
                <c:ptCount val="8"/>
                <c:lvl>
                  <c:pt idx="0">
                    <c:v>Car</c:v>
                  </c:pt>
                  <c:pt idx="1">
                    <c:v>PT</c:v>
                  </c:pt>
                  <c:pt idx="2">
                    <c:v>Bicycle</c:v>
                  </c:pt>
                  <c:pt idx="3">
                    <c:v>Walking</c:v>
                  </c:pt>
                  <c:pt idx="4">
                    <c:v>Car</c:v>
                  </c:pt>
                  <c:pt idx="5">
                    <c:v>PT</c:v>
                  </c:pt>
                  <c:pt idx="6">
                    <c:v>Bicycle</c:v>
                  </c:pt>
                  <c:pt idx="7">
                    <c:v>Walking</c:v>
                  </c:pt>
                </c:lvl>
                <c:lvl>
                  <c:pt idx="0">
                    <c:v>Current situation</c:v>
                  </c:pt>
                  <c:pt idx="4">
                    <c:v>Mobility hub</c:v>
                  </c:pt>
                </c:lvl>
              </c:multiLvlStrCache>
            </c:multiLvlStrRef>
          </c:cat>
          <c:val>
            <c:numRef>
              <c:f>Blad5!$E$13:$E$20</c:f>
              <c:numCache>
                <c:formatCode>0%</c:formatCode>
                <c:ptCount val="8"/>
                <c:pt idx="0">
                  <c:v>2.5062656641604009E-2</c:v>
                </c:pt>
                <c:pt idx="1">
                  <c:v>0</c:v>
                </c:pt>
                <c:pt idx="2">
                  <c:v>7.5187969924812026E-3</c:v>
                </c:pt>
                <c:pt idx="3">
                  <c:v>0</c:v>
                </c:pt>
                <c:pt idx="4">
                  <c:v>3.5087719298245612E-2</c:v>
                </c:pt>
                <c:pt idx="5">
                  <c:v>2.0050125313283207E-2</c:v>
                </c:pt>
                <c:pt idx="6">
                  <c:v>3.2581453634085211E-2</c:v>
                </c:pt>
                <c:pt idx="7">
                  <c:v>1.0025062656641603E-2</c:v>
                </c:pt>
              </c:numCache>
            </c:numRef>
          </c:val>
          <c:extLst>
            <c:ext xmlns:c16="http://schemas.microsoft.com/office/drawing/2014/chart" uri="{C3380CC4-5D6E-409C-BE32-E72D297353CC}">
              <c16:uniqueId val="{00000002-D1A2-43D9-80B0-0B5D213E3B8D}"/>
            </c:ext>
          </c:extLst>
        </c:ser>
        <c:dLbls>
          <c:showLegendKey val="0"/>
          <c:showVal val="0"/>
          <c:showCatName val="0"/>
          <c:showSerName val="0"/>
          <c:showPercent val="0"/>
          <c:showBubbleSize val="0"/>
        </c:dLbls>
        <c:gapWidth val="100"/>
        <c:axId val="1348474736"/>
        <c:axId val="1583952864"/>
      </c:barChart>
      <c:catAx>
        <c:axId val="1348474736"/>
        <c:scaling>
          <c:orientation val="minMax"/>
        </c:scaling>
        <c:delete val="0"/>
        <c:axPos val="b"/>
        <c:numFmt formatCode="General" sourceLinked="1"/>
        <c:majorTickMark val="none"/>
        <c:minorTickMark val="none"/>
        <c:tickLblPos val="nextTo"/>
        <c:spPr>
          <a:noFill/>
          <a:ln w="9525" cap="flat" cmpd="sng" algn="ctr">
            <a:solidFill>
              <a:schemeClr val="tx1">
                <a:lumMod val="15%"/>
                <a:lumOff val="85%"/>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83952864"/>
        <c:crosses val="autoZero"/>
        <c:auto val="1"/>
        <c:lblAlgn val="ctr"/>
        <c:lblOffset val="100"/>
        <c:noMultiLvlLbl val="0"/>
      </c:catAx>
      <c:valAx>
        <c:axId val="1583952864"/>
        <c:scaling>
          <c:orientation val="minMax"/>
          <c:max val="0.30000000000000004"/>
        </c:scaling>
        <c:delete val="0"/>
        <c:axPos val="l"/>
        <c:majorGridlines>
          <c:spPr>
            <a:ln w="9525" cap="flat" cmpd="sng" algn="ctr">
              <a:solidFill>
                <a:schemeClr val="tx1">
                  <a:lumMod val="15%"/>
                  <a:lumOff val="85%"/>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48474736"/>
        <c:crosses val="autoZero"/>
        <c:crossBetween val="between"/>
      </c:valAx>
      <c:spPr>
        <a:solidFill>
          <a:schemeClr val="bg1"/>
        </a:solidFill>
        <a:ln>
          <a:noFill/>
        </a:ln>
        <a:effectLst/>
      </c:spPr>
    </c:plotArea>
    <c:legend>
      <c:legendPos val="t"/>
      <c:layout>
        <c:manualLayout>
          <c:xMode val="edge"/>
          <c:yMode val="edge"/>
          <c:x val="0.56561250626804183"/>
          <c:y val="0.15766997571905453"/>
          <c:w val="0.40124513803244471"/>
          <c:h val="0.2993589911992644"/>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6350" cap="flat" cmpd="sng" algn="ctr">
      <a:solidFill>
        <a:schemeClr val="tx1">
          <a:tint val="75%"/>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purl.oclc.org/ooxml/drawingml/chart" xmlns:a="http://purl.oclc.org/ooxml/drawingml/main" xmlns:r="http://purl.oclc.org/ooxml/officeDocument/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50" b="0"/>
              <a:t>(e) Travel time effect on choice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Blad5!$N$12</c:f>
              <c:strCache>
                <c:ptCount val="1"/>
                <c:pt idx="0">
                  <c:v>&lt;15 minutes</c:v>
                </c:pt>
              </c:strCache>
            </c:strRef>
          </c:tx>
          <c:spPr>
            <a:solidFill>
              <a:schemeClr val="dk1">
                <a:tint val="88.5%"/>
              </a:schemeClr>
            </a:solidFill>
            <a:ln>
              <a:noFill/>
            </a:ln>
            <a:effectLst/>
          </c:spPr>
          <c:invertIfNegative val="0"/>
          <c:cat>
            <c:multiLvlStrRef>
              <c:f>Blad5!$L$13:$M$20</c:f>
              <c:multiLvlStrCache>
                <c:ptCount val="8"/>
                <c:lvl>
                  <c:pt idx="0">
                    <c:v>Car</c:v>
                  </c:pt>
                  <c:pt idx="1">
                    <c:v>PT</c:v>
                  </c:pt>
                  <c:pt idx="2">
                    <c:v>Bicycle</c:v>
                  </c:pt>
                  <c:pt idx="3">
                    <c:v>Walking</c:v>
                  </c:pt>
                  <c:pt idx="4">
                    <c:v>Car</c:v>
                  </c:pt>
                  <c:pt idx="5">
                    <c:v>PT</c:v>
                  </c:pt>
                  <c:pt idx="6">
                    <c:v>Bicycle</c:v>
                  </c:pt>
                  <c:pt idx="7">
                    <c:v>Walking</c:v>
                  </c:pt>
                </c:lvl>
                <c:lvl>
                  <c:pt idx="0">
                    <c:v>Current situation</c:v>
                  </c:pt>
                  <c:pt idx="4">
                    <c:v>Mobility hub</c:v>
                  </c:pt>
                </c:lvl>
              </c:multiLvlStrCache>
            </c:multiLvlStrRef>
          </c:cat>
          <c:val>
            <c:numRef>
              <c:f>Blad5!$N$13:$N$20</c:f>
              <c:numCache>
                <c:formatCode>0%</c:formatCode>
                <c:ptCount val="8"/>
                <c:pt idx="0">
                  <c:v>0.12531328320802004</c:v>
                </c:pt>
                <c:pt idx="1">
                  <c:v>5.0125313283208017E-3</c:v>
                </c:pt>
                <c:pt idx="2">
                  <c:v>0.11528822055137844</c:v>
                </c:pt>
                <c:pt idx="3">
                  <c:v>3.5087719298245612E-2</c:v>
                </c:pt>
                <c:pt idx="4">
                  <c:v>1.5037593984962405E-2</c:v>
                </c:pt>
                <c:pt idx="5">
                  <c:v>0</c:v>
                </c:pt>
                <c:pt idx="6">
                  <c:v>3.007518796992481E-2</c:v>
                </c:pt>
                <c:pt idx="7">
                  <c:v>0</c:v>
                </c:pt>
              </c:numCache>
            </c:numRef>
          </c:val>
          <c:extLst>
            <c:ext xmlns:c16="http://schemas.microsoft.com/office/drawing/2014/chart" uri="{C3380CC4-5D6E-409C-BE32-E72D297353CC}">
              <c16:uniqueId val="{00000000-304E-4D0F-A726-530579A4F0DA}"/>
            </c:ext>
          </c:extLst>
        </c:ser>
        <c:ser>
          <c:idx val="1"/>
          <c:order val="1"/>
          <c:tx>
            <c:strRef>
              <c:f>Blad5!$O$12</c:f>
              <c:strCache>
                <c:ptCount val="1"/>
                <c:pt idx="0">
                  <c:v>15-30 minutes</c:v>
                </c:pt>
              </c:strCache>
            </c:strRef>
          </c:tx>
          <c:spPr>
            <a:solidFill>
              <a:schemeClr val="dk1">
                <a:tint val="55%"/>
              </a:schemeClr>
            </a:solidFill>
            <a:ln>
              <a:noFill/>
            </a:ln>
            <a:effectLst/>
          </c:spPr>
          <c:invertIfNegative val="0"/>
          <c:cat>
            <c:multiLvlStrRef>
              <c:f>Blad5!$L$13:$M$20</c:f>
              <c:multiLvlStrCache>
                <c:ptCount val="8"/>
                <c:lvl>
                  <c:pt idx="0">
                    <c:v>Car</c:v>
                  </c:pt>
                  <c:pt idx="1">
                    <c:v>PT</c:v>
                  </c:pt>
                  <c:pt idx="2">
                    <c:v>Bicycle</c:v>
                  </c:pt>
                  <c:pt idx="3">
                    <c:v>Walking</c:v>
                  </c:pt>
                  <c:pt idx="4">
                    <c:v>Car</c:v>
                  </c:pt>
                  <c:pt idx="5">
                    <c:v>PT</c:v>
                  </c:pt>
                  <c:pt idx="6">
                    <c:v>Bicycle</c:v>
                  </c:pt>
                  <c:pt idx="7">
                    <c:v>Walking</c:v>
                  </c:pt>
                </c:lvl>
                <c:lvl>
                  <c:pt idx="0">
                    <c:v>Current situation</c:v>
                  </c:pt>
                  <c:pt idx="4">
                    <c:v>Mobility hub</c:v>
                  </c:pt>
                </c:lvl>
              </c:multiLvlStrCache>
            </c:multiLvlStrRef>
          </c:cat>
          <c:val>
            <c:numRef>
              <c:f>Blad5!$O$13:$O$20</c:f>
              <c:numCache>
                <c:formatCode>0%</c:formatCode>
                <c:ptCount val="8"/>
                <c:pt idx="0">
                  <c:v>0.12030075187969924</c:v>
                </c:pt>
                <c:pt idx="1">
                  <c:v>1.2531328320802004E-2</c:v>
                </c:pt>
                <c:pt idx="2">
                  <c:v>5.764411027568922E-2</c:v>
                </c:pt>
                <c:pt idx="3">
                  <c:v>0</c:v>
                </c:pt>
                <c:pt idx="4">
                  <c:v>3.007518796992481E-2</c:v>
                </c:pt>
                <c:pt idx="5">
                  <c:v>5.0125313283208017E-3</c:v>
                </c:pt>
                <c:pt idx="6">
                  <c:v>3.7593984962406013E-2</c:v>
                </c:pt>
                <c:pt idx="7">
                  <c:v>5.0125313283208017E-3</c:v>
                </c:pt>
              </c:numCache>
            </c:numRef>
          </c:val>
          <c:extLst>
            <c:ext xmlns:c16="http://schemas.microsoft.com/office/drawing/2014/chart" uri="{C3380CC4-5D6E-409C-BE32-E72D297353CC}">
              <c16:uniqueId val="{00000001-304E-4D0F-A726-530579A4F0DA}"/>
            </c:ext>
          </c:extLst>
        </c:ser>
        <c:ser>
          <c:idx val="2"/>
          <c:order val="2"/>
          <c:tx>
            <c:strRef>
              <c:f>Blad5!$P$12</c:f>
              <c:strCache>
                <c:ptCount val="1"/>
                <c:pt idx="0">
                  <c:v>&gt;30 minutes</c:v>
                </c:pt>
              </c:strCache>
            </c:strRef>
          </c:tx>
          <c:spPr>
            <a:solidFill>
              <a:schemeClr val="dk1">
                <a:tint val="75%"/>
              </a:schemeClr>
            </a:solidFill>
            <a:ln>
              <a:noFill/>
            </a:ln>
            <a:effectLst/>
          </c:spPr>
          <c:invertIfNegative val="0"/>
          <c:cat>
            <c:multiLvlStrRef>
              <c:f>Blad5!$L$13:$M$20</c:f>
              <c:multiLvlStrCache>
                <c:ptCount val="8"/>
                <c:lvl>
                  <c:pt idx="0">
                    <c:v>Car</c:v>
                  </c:pt>
                  <c:pt idx="1">
                    <c:v>PT</c:v>
                  </c:pt>
                  <c:pt idx="2">
                    <c:v>Bicycle</c:v>
                  </c:pt>
                  <c:pt idx="3">
                    <c:v>Walking</c:v>
                  </c:pt>
                  <c:pt idx="4">
                    <c:v>Car</c:v>
                  </c:pt>
                  <c:pt idx="5">
                    <c:v>PT</c:v>
                  </c:pt>
                  <c:pt idx="6">
                    <c:v>Bicycle</c:v>
                  </c:pt>
                  <c:pt idx="7">
                    <c:v>Walking</c:v>
                  </c:pt>
                </c:lvl>
                <c:lvl>
                  <c:pt idx="0">
                    <c:v>Current situation</c:v>
                  </c:pt>
                  <c:pt idx="4">
                    <c:v>Mobility hub</c:v>
                  </c:pt>
                </c:lvl>
              </c:multiLvlStrCache>
            </c:multiLvlStrRef>
          </c:cat>
          <c:val>
            <c:numRef>
              <c:f>Blad5!$P$13:$P$20</c:f>
              <c:numCache>
                <c:formatCode>0%</c:formatCode>
                <c:ptCount val="8"/>
                <c:pt idx="0">
                  <c:v>0.15037593984962405</c:v>
                </c:pt>
                <c:pt idx="1">
                  <c:v>0.11528822055137844</c:v>
                </c:pt>
                <c:pt idx="2">
                  <c:v>3.007518796992481E-2</c:v>
                </c:pt>
                <c:pt idx="3">
                  <c:v>0</c:v>
                </c:pt>
                <c:pt idx="4">
                  <c:v>3.2581453634085211E-2</c:v>
                </c:pt>
                <c:pt idx="5">
                  <c:v>3.5087719298245612E-2</c:v>
                </c:pt>
                <c:pt idx="6">
                  <c:v>3.5087719298245612E-2</c:v>
                </c:pt>
                <c:pt idx="7">
                  <c:v>7.5187969924812026E-3</c:v>
                </c:pt>
              </c:numCache>
            </c:numRef>
          </c:val>
          <c:extLst>
            <c:ext xmlns:c16="http://schemas.microsoft.com/office/drawing/2014/chart" uri="{C3380CC4-5D6E-409C-BE32-E72D297353CC}">
              <c16:uniqueId val="{00000002-304E-4D0F-A726-530579A4F0DA}"/>
            </c:ext>
          </c:extLst>
        </c:ser>
        <c:dLbls>
          <c:showLegendKey val="0"/>
          <c:showVal val="0"/>
          <c:showCatName val="0"/>
          <c:showSerName val="0"/>
          <c:showPercent val="0"/>
          <c:showBubbleSize val="0"/>
        </c:dLbls>
        <c:gapWidth val="100"/>
        <c:axId val="1348474736"/>
        <c:axId val="1583952864"/>
      </c:barChart>
      <c:catAx>
        <c:axId val="1348474736"/>
        <c:scaling>
          <c:orientation val="minMax"/>
        </c:scaling>
        <c:delete val="0"/>
        <c:axPos val="b"/>
        <c:numFmt formatCode="General" sourceLinked="1"/>
        <c:majorTickMark val="none"/>
        <c:minorTickMark val="none"/>
        <c:tickLblPos val="nextTo"/>
        <c:spPr>
          <a:noFill/>
          <a:ln w="9525" cap="flat" cmpd="sng" algn="ctr">
            <a:solidFill>
              <a:schemeClr val="tx1">
                <a:lumMod val="15%"/>
                <a:lumOff val="85%"/>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83952864"/>
        <c:crosses val="autoZero"/>
        <c:auto val="1"/>
        <c:lblAlgn val="ctr"/>
        <c:lblOffset val="100"/>
        <c:noMultiLvlLbl val="0"/>
      </c:catAx>
      <c:valAx>
        <c:axId val="1583952864"/>
        <c:scaling>
          <c:orientation val="minMax"/>
          <c:max val="0.30000000000000004"/>
        </c:scaling>
        <c:delete val="0"/>
        <c:axPos val="l"/>
        <c:majorGridlines>
          <c:spPr>
            <a:ln w="9525" cap="flat" cmpd="sng" algn="ctr">
              <a:solidFill>
                <a:schemeClr val="tx1">
                  <a:lumMod val="15%"/>
                  <a:lumOff val="85%"/>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48474736"/>
        <c:crosses val="autoZero"/>
        <c:crossBetween val="between"/>
      </c:valAx>
      <c:spPr>
        <a:solidFill>
          <a:schemeClr val="bg1"/>
        </a:solidFill>
        <a:ln>
          <a:noFill/>
        </a:ln>
        <a:effectLst/>
      </c:spPr>
    </c:plotArea>
    <c:legend>
      <c:legendPos val="t"/>
      <c:layout>
        <c:manualLayout>
          <c:xMode val="edge"/>
          <c:yMode val="edge"/>
          <c:x val="0.63338171858952408"/>
          <c:y val="0.15766997571905453"/>
          <c:w val="0.33347586442998972"/>
          <c:h val="0.27076117240527553"/>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6350" cap="flat" cmpd="sng" algn="ctr">
      <a:solidFill>
        <a:schemeClr val="tx1">
          <a:tint val="75%"/>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purl.oclc.org/ooxml/drawingml/chart" xmlns:a="http://purl.oclc.org/ooxml/drawingml/main" xmlns:r="http://purl.oclc.org/ooxml/officeDocument/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50" b="0"/>
              <a:t>(c) Education level effect on choice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Blad5!$O$1</c:f>
              <c:strCache>
                <c:ptCount val="1"/>
                <c:pt idx="0">
                  <c:v>No higher education</c:v>
                </c:pt>
              </c:strCache>
            </c:strRef>
          </c:tx>
          <c:spPr>
            <a:solidFill>
              <a:schemeClr val="dk1">
                <a:tint val="88.5%"/>
              </a:schemeClr>
            </a:solidFill>
            <a:ln>
              <a:noFill/>
            </a:ln>
            <a:effectLst/>
          </c:spPr>
          <c:invertIfNegative val="0"/>
          <c:cat>
            <c:multiLvlStrRef>
              <c:f>Blad5!$M$2:$N$9</c:f>
              <c:multiLvlStrCache>
                <c:ptCount val="8"/>
                <c:lvl>
                  <c:pt idx="0">
                    <c:v>Car</c:v>
                  </c:pt>
                  <c:pt idx="1">
                    <c:v>PT</c:v>
                  </c:pt>
                  <c:pt idx="2">
                    <c:v>Bicycle</c:v>
                  </c:pt>
                  <c:pt idx="3">
                    <c:v>Walking</c:v>
                  </c:pt>
                  <c:pt idx="4">
                    <c:v>Car</c:v>
                  </c:pt>
                  <c:pt idx="5">
                    <c:v>PT</c:v>
                  </c:pt>
                  <c:pt idx="6">
                    <c:v>Bicycle</c:v>
                  </c:pt>
                  <c:pt idx="7">
                    <c:v>Walking</c:v>
                  </c:pt>
                </c:lvl>
                <c:lvl>
                  <c:pt idx="0">
                    <c:v>Current situation</c:v>
                  </c:pt>
                  <c:pt idx="4">
                    <c:v>Mobility hub</c:v>
                  </c:pt>
                </c:lvl>
              </c:multiLvlStrCache>
            </c:multiLvlStrRef>
          </c:cat>
          <c:val>
            <c:numRef>
              <c:f>Blad5!$O$2:$O$9</c:f>
              <c:numCache>
                <c:formatCode>0%</c:formatCode>
                <c:ptCount val="8"/>
                <c:pt idx="0">
                  <c:v>0.18295739348370926</c:v>
                </c:pt>
                <c:pt idx="1">
                  <c:v>3.7593984962406013E-2</c:v>
                </c:pt>
                <c:pt idx="2">
                  <c:v>8.771929824561403E-2</c:v>
                </c:pt>
                <c:pt idx="3">
                  <c:v>2.2556390977443608E-2</c:v>
                </c:pt>
                <c:pt idx="4">
                  <c:v>4.2606516290726815E-2</c:v>
                </c:pt>
                <c:pt idx="5">
                  <c:v>5.0125313283208017E-3</c:v>
                </c:pt>
                <c:pt idx="6">
                  <c:v>3.7593984962406013E-2</c:v>
                </c:pt>
                <c:pt idx="7">
                  <c:v>5.0125313283208017E-3</c:v>
                </c:pt>
              </c:numCache>
            </c:numRef>
          </c:val>
          <c:extLst>
            <c:ext xmlns:c16="http://schemas.microsoft.com/office/drawing/2014/chart" uri="{C3380CC4-5D6E-409C-BE32-E72D297353CC}">
              <c16:uniqueId val="{00000000-4A93-423B-9B52-B530E0CD9DAF}"/>
            </c:ext>
          </c:extLst>
        </c:ser>
        <c:ser>
          <c:idx val="1"/>
          <c:order val="1"/>
          <c:tx>
            <c:strRef>
              <c:f>Blad5!$P$1</c:f>
              <c:strCache>
                <c:ptCount val="1"/>
                <c:pt idx="0">
                  <c:v>Higher education</c:v>
                </c:pt>
              </c:strCache>
            </c:strRef>
          </c:tx>
          <c:spPr>
            <a:solidFill>
              <a:schemeClr val="dk1">
                <a:tint val="55%"/>
              </a:schemeClr>
            </a:solidFill>
            <a:ln>
              <a:noFill/>
            </a:ln>
            <a:effectLst/>
          </c:spPr>
          <c:invertIfNegative val="0"/>
          <c:cat>
            <c:multiLvlStrRef>
              <c:f>Blad5!$M$2:$N$9</c:f>
              <c:multiLvlStrCache>
                <c:ptCount val="8"/>
                <c:lvl>
                  <c:pt idx="0">
                    <c:v>Car</c:v>
                  </c:pt>
                  <c:pt idx="1">
                    <c:v>PT</c:v>
                  </c:pt>
                  <c:pt idx="2">
                    <c:v>Bicycle</c:v>
                  </c:pt>
                  <c:pt idx="3">
                    <c:v>Walking</c:v>
                  </c:pt>
                  <c:pt idx="4">
                    <c:v>Car</c:v>
                  </c:pt>
                  <c:pt idx="5">
                    <c:v>PT</c:v>
                  </c:pt>
                  <c:pt idx="6">
                    <c:v>Bicycle</c:v>
                  </c:pt>
                  <c:pt idx="7">
                    <c:v>Walking</c:v>
                  </c:pt>
                </c:lvl>
                <c:lvl>
                  <c:pt idx="0">
                    <c:v>Current situation</c:v>
                  </c:pt>
                  <c:pt idx="4">
                    <c:v>Mobility hub</c:v>
                  </c:pt>
                </c:lvl>
              </c:multiLvlStrCache>
            </c:multiLvlStrRef>
          </c:cat>
          <c:val>
            <c:numRef>
              <c:f>Blad5!$P$2:$P$9</c:f>
              <c:numCache>
                <c:formatCode>0%</c:formatCode>
                <c:ptCount val="8"/>
                <c:pt idx="0">
                  <c:v>0.21303258145363407</c:v>
                </c:pt>
                <c:pt idx="1">
                  <c:v>9.5238095238095233E-2</c:v>
                </c:pt>
                <c:pt idx="2">
                  <c:v>0.11528822055137844</c:v>
                </c:pt>
                <c:pt idx="3">
                  <c:v>1.2531328320802004E-2</c:v>
                </c:pt>
                <c:pt idx="4">
                  <c:v>3.5087719298245612E-2</c:v>
                </c:pt>
                <c:pt idx="5">
                  <c:v>3.5087719298245612E-2</c:v>
                </c:pt>
                <c:pt idx="6">
                  <c:v>6.5162907268170422E-2</c:v>
                </c:pt>
                <c:pt idx="7">
                  <c:v>7.5187969924812026E-3</c:v>
                </c:pt>
              </c:numCache>
            </c:numRef>
          </c:val>
          <c:extLst>
            <c:ext xmlns:c16="http://schemas.microsoft.com/office/drawing/2014/chart" uri="{C3380CC4-5D6E-409C-BE32-E72D297353CC}">
              <c16:uniqueId val="{00000001-4A93-423B-9B52-B530E0CD9DAF}"/>
            </c:ext>
          </c:extLst>
        </c:ser>
        <c:dLbls>
          <c:showLegendKey val="0"/>
          <c:showVal val="0"/>
          <c:showCatName val="0"/>
          <c:showSerName val="0"/>
          <c:showPercent val="0"/>
          <c:showBubbleSize val="0"/>
        </c:dLbls>
        <c:gapWidth val="100"/>
        <c:axId val="1348474736"/>
        <c:axId val="1583952864"/>
      </c:barChart>
      <c:catAx>
        <c:axId val="1348474736"/>
        <c:scaling>
          <c:orientation val="minMax"/>
        </c:scaling>
        <c:delete val="0"/>
        <c:axPos val="b"/>
        <c:numFmt formatCode="General" sourceLinked="1"/>
        <c:majorTickMark val="none"/>
        <c:minorTickMark val="none"/>
        <c:tickLblPos val="nextTo"/>
        <c:spPr>
          <a:noFill/>
          <a:ln w="9525" cap="flat" cmpd="sng" algn="ctr">
            <a:solidFill>
              <a:schemeClr val="tx1">
                <a:lumMod val="15%"/>
                <a:lumOff val="85%"/>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83952864"/>
        <c:crosses val="autoZero"/>
        <c:auto val="1"/>
        <c:lblAlgn val="ctr"/>
        <c:lblOffset val="100"/>
        <c:noMultiLvlLbl val="0"/>
      </c:catAx>
      <c:valAx>
        <c:axId val="1583952864"/>
        <c:scaling>
          <c:orientation val="minMax"/>
          <c:max val="0.30000000000000004"/>
        </c:scaling>
        <c:delete val="0"/>
        <c:axPos val="l"/>
        <c:majorGridlines>
          <c:spPr>
            <a:ln w="9525" cap="flat" cmpd="sng" algn="ctr">
              <a:solidFill>
                <a:schemeClr val="tx1">
                  <a:lumMod val="15%"/>
                  <a:lumOff val="85%"/>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48474736"/>
        <c:crosses val="autoZero"/>
        <c:crossBetween val="between"/>
      </c:valAx>
      <c:spPr>
        <a:solidFill>
          <a:schemeClr val="bg1"/>
        </a:solidFill>
        <a:ln>
          <a:noFill/>
        </a:ln>
        <a:effectLst/>
      </c:spPr>
    </c:plotArea>
    <c:legend>
      <c:legendPos val="t"/>
      <c:layout>
        <c:manualLayout>
          <c:xMode val="edge"/>
          <c:yMode val="edge"/>
          <c:x val="0.66980768970143789"/>
          <c:y val="0.15766997571905453"/>
          <c:w val="0.29705029341211869"/>
          <c:h val="0.32750435814129092"/>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6350" cap="flat" cmpd="sng" algn="ctr">
      <a:solidFill>
        <a:schemeClr val="tx1">
          <a:tint val="75%"/>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purl.oclc.org/ooxml/drawingml/chart" xmlns:a="http://purl.oclc.org/ooxml/drawingml/main" xmlns:r="http://purl.oclc.org/ooxml/officeDocument/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50" b="0"/>
              <a:t>(a) Age effect on choice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Blad5!$C$1</c:f>
              <c:strCache>
                <c:ptCount val="1"/>
                <c:pt idx="0">
                  <c:v>&lt;35 years old</c:v>
                </c:pt>
              </c:strCache>
            </c:strRef>
          </c:tx>
          <c:spPr>
            <a:solidFill>
              <a:schemeClr val="dk1">
                <a:tint val="88.5%"/>
              </a:schemeClr>
            </a:solidFill>
            <a:ln>
              <a:noFill/>
            </a:ln>
            <a:effectLst/>
          </c:spPr>
          <c:invertIfNegative val="0"/>
          <c:cat>
            <c:multiLvlStrRef>
              <c:f>Blad5!$A$2:$B$9</c:f>
              <c:multiLvlStrCache>
                <c:ptCount val="8"/>
                <c:lvl>
                  <c:pt idx="0">
                    <c:v>Car</c:v>
                  </c:pt>
                  <c:pt idx="1">
                    <c:v>PT</c:v>
                  </c:pt>
                  <c:pt idx="2">
                    <c:v>Bicycle</c:v>
                  </c:pt>
                  <c:pt idx="3">
                    <c:v>Walking</c:v>
                  </c:pt>
                  <c:pt idx="4">
                    <c:v>Car</c:v>
                  </c:pt>
                  <c:pt idx="5">
                    <c:v>PT</c:v>
                  </c:pt>
                  <c:pt idx="6">
                    <c:v>Bicycle</c:v>
                  </c:pt>
                  <c:pt idx="7">
                    <c:v>Walking</c:v>
                  </c:pt>
                </c:lvl>
                <c:lvl>
                  <c:pt idx="0">
                    <c:v>Current situation</c:v>
                  </c:pt>
                  <c:pt idx="4">
                    <c:v>Mobility hub</c:v>
                  </c:pt>
                </c:lvl>
              </c:multiLvlStrCache>
            </c:multiLvlStrRef>
          </c:cat>
          <c:val>
            <c:numRef>
              <c:f>Blad5!$C$2:$C$9</c:f>
              <c:numCache>
                <c:formatCode>0%</c:formatCode>
                <c:ptCount val="8"/>
                <c:pt idx="0">
                  <c:v>7.5187969924812026E-2</c:v>
                </c:pt>
                <c:pt idx="1">
                  <c:v>3.5087719298245612E-2</c:v>
                </c:pt>
                <c:pt idx="2">
                  <c:v>9.2731829573934832E-2</c:v>
                </c:pt>
                <c:pt idx="3">
                  <c:v>0</c:v>
                </c:pt>
                <c:pt idx="4">
                  <c:v>2.7568922305764409E-2</c:v>
                </c:pt>
                <c:pt idx="5">
                  <c:v>1.5037593984962405E-2</c:v>
                </c:pt>
                <c:pt idx="6">
                  <c:v>5.2631578947368418E-2</c:v>
                </c:pt>
                <c:pt idx="7">
                  <c:v>1.0025062656641603E-2</c:v>
                </c:pt>
              </c:numCache>
            </c:numRef>
          </c:val>
          <c:extLst>
            <c:ext xmlns:c16="http://schemas.microsoft.com/office/drawing/2014/chart" uri="{C3380CC4-5D6E-409C-BE32-E72D297353CC}">
              <c16:uniqueId val="{00000000-201D-4D49-A31C-EC4117A89C90}"/>
            </c:ext>
          </c:extLst>
        </c:ser>
        <c:ser>
          <c:idx val="1"/>
          <c:order val="1"/>
          <c:tx>
            <c:strRef>
              <c:f>Blad5!$D$1</c:f>
              <c:strCache>
                <c:ptCount val="1"/>
                <c:pt idx="0">
                  <c:v>35-49 years old</c:v>
                </c:pt>
              </c:strCache>
            </c:strRef>
          </c:tx>
          <c:spPr>
            <a:solidFill>
              <a:schemeClr val="dk1">
                <a:tint val="55%"/>
              </a:schemeClr>
            </a:solidFill>
            <a:ln>
              <a:noFill/>
            </a:ln>
            <a:effectLst/>
          </c:spPr>
          <c:invertIfNegative val="0"/>
          <c:cat>
            <c:multiLvlStrRef>
              <c:f>Blad5!$A$2:$B$9</c:f>
              <c:multiLvlStrCache>
                <c:ptCount val="8"/>
                <c:lvl>
                  <c:pt idx="0">
                    <c:v>Car</c:v>
                  </c:pt>
                  <c:pt idx="1">
                    <c:v>PT</c:v>
                  </c:pt>
                  <c:pt idx="2">
                    <c:v>Bicycle</c:v>
                  </c:pt>
                  <c:pt idx="3">
                    <c:v>Walking</c:v>
                  </c:pt>
                  <c:pt idx="4">
                    <c:v>Car</c:v>
                  </c:pt>
                  <c:pt idx="5">
                    <c:v>PT</c:v>
                  </c:pt>
                  <c:pt idx="6">
                    <c:v>Bicycle</c:v>
                  </c:pt>
                  <c:pt idx="7">
                    <c:v>Walking</c:v>
                  </c:pt>
                </c:lvl>
                <c:lvl>
                  <c:pt idx="0">
                    <c:v>Current situation</c:v>
                  </c:pt>
                  <c:pt idx="4">
                    <c:v>Mobility hub</c:v>
                  </c:pt>
                </c:lvl>
              </c:multiLvlStrCache>
            </c:multiLvlStrRef>
          </c:cat>
          <c:val>
            <c:numRef>
              <c:f>Blad5!$D$2:$D$9</c:f>
              <c:numCache>
                <c:formatCode>0%</c:formatCode>
                <c:ptCount val="8"/>
                <c:pt idx="0">
                  <c:v>0.10025062656641603</c:v>
                </c:pt>
                <c:pt idx="1">
                  <c:v>5.764411027568922E-2</c:v>
                </c:pt>
                <c:pt idx="2">
                  <c:v>5.5137844611528819E-2</c:v>
                </c:pt>
                <c:pt idx="3">
                  <c:v>7.5187969924812026E-3</c:v>
                </c:pt>
                <c:pt idx="4">
                  <c:v>3.007518796992481E-2</c:v>
                </c:pt>
                <c:pt idx="5">
                  <c:v>2.0050125313283207E-2</c:v>
                </c:pt>
                <c:pt idx="6">
                  <c:v>1.2531328320802004E-2</c:v>
                </c:pt>
                <c:pt idx="7">
                  <c:v>2.5062656641604009E-3</c:v>
                </c:pt>
              </c:numCache>
            </c:numRef>
          </c:val>
          <c:extLst>
            <c:ext xmlns:c16="http://schemas.microsoft.com/office/drawing/2014/chart" uri="{C3380CC4-5D6E-409C-BE32-E72D297353CC}">
              <c16:uniqueId val="{00000001-201D-4D49-A31C-EC4117A89C90}"/>
            </c:ext>
          </c:extLst>
        </c:ser>
        <c:ser>
          <c:idx val="2"/>
          <c:order val="2"/>
          <c:tx>
            <c:strRef>
              <c:f>Blad5!$E$1</c:f>
              <c:strCache>
                <c:ptCount val="1"/>
                <c:pt idx="0">
                  <c:v>&gt;50 years old</c:v>
                </c:pt>
              </c:strCache>
            </c:strRef>
          </c:tx>
          <c:spPr>
            <a:solidFill>
              <a:schemeClr val="dk1">
                <a:tint val="75%"/>
              </a:schemeClr>
            </a:solidFill>
            <a:ln>
              <a:noFill/>
            </a:ln>
            <a:effectLst/>
          </c:spPr>
          <c:invertIfNegative val="0"/>
          <c:cat>
            <c:multiLvlStrRef>
              <c:f>Blad5!$A$2:$B$9</c:f>
              <c:multiLvlStrCache>
                <c:ptCount val="8"/>
                <c:lvl>
                  <c:pt idx="0">
                    <c:v>Car</c:v>
                  </c:pt>
                  <c:pt idx="1">
                    <c:v>PT</c:v>
                  </c:pt>
                  <c:pt idx="2">
                    <c:v>Bicycle</c:v>
                  </c:pt>
                  <c:pt idx="3">
                    <c:v>Walking</c:v>
                  </c:pt>
                  <c:pt idx="4">
                    <c:v>Car</c:v>
                  </c:pt>
                  <c:pt idx="5">
                    <c:v>PT</c:v>
                  </c:pt>
                  <c:pt idx="6">
                    <c:v>Bicycle</c:v>
                  </c:pt>
                  <c:pt idx="7">
                    <c:v>Walking</c:v>
                  </c:pt>
                </c:lvl>
                <c:lvl>
                  <c:pt idx="0">
                    <c:v>Current situation</c:v>
                  </c:pt>
                  <c:pt idx="4">
                    <c:v>Mobility hub</c:v>
                  </c:pt>
                </c:lvl>
              </c:multiLvlStrCache>
            </c:multiLvlStrRef>
          </c:cat>
          <c:val>
            <c:numRef>
              <c:f>Blad5!$E$2:$E$9</c:f>
              <c:numCache>
                <c:formatCode>0%</c:formatCode>
                <c:ptCount val="8"/>
                <c:pt idx="0">
                  <c:v>0.22055137844611528</c:v>
                </c:pt>
                <c:pt idx="1">
                  <c:v>4.0100250626566414E-2</c:v>
                </c:pt>
                <c:pt idx="2">
                  <c:v>5.5137844611528819E-2</c:v>
                </c:pt>
                <c:pt idx="3">
                  <c:v>2.7568922305764409E-2</c:v>
                </c:pt>
                <c:pt idx="4">
                  <c:v>2.0050125313283207E-2</c:v>
                </c:pt>
                <c:pt idx="5">
                  <c:v>5.0125313283208017E-3</c:v>
                </c:pt>
                <c:pt idx="6">
                  <c:v>3.7593984962406013E-2</c:v>
                </c:pt>
                <c:pt idx="7">
                  <c:v>0</c:v>
                </c:pt>
              </c:numCache>
            </c:numRef>
          </c:val>
          <c:extLst>
            <c:ext xmlns:c16="http://schemas.microsoft.com/office/drawing/2014/chart" uri="{C3380CC4-5D6E-409C-BE32-E72D297353CC}">
              <c16:uniqueId val="{00000002-201D-4D49-A31C-EC4117A89C90}"/>
            </c:ext>
          </c:extLst>
        </c:ser>
        <c:dLbls>
          <c:showLegendKey val="0"/>
          <c:showVal val="0"/>
          <c:showCatName val="0"/>
          <c:showSerName val="0"/>
          <c:showPercent val="0"/>
          <c:showBubbleSize val="0"/>
        </c:dLbls>
        <c:gapWidth val="100"/>
        <c:axId val="1348474736"/>
        <c:axId val="1583952864"/>
      </c:barChart>
      <c:catAx>
        <c:axId val="1348474736"/>
        <c:scaling>
          <c:orientation val="minMax"/>
        </c:scaling>
        <c:delete val="0"/>
        <c:axPos val="b"/>
        <c:numFmt formatCode="General" sourceLinked="1"/>
        <c:majorTickMark val="none"/>
        <c:minorTickMark val="none"/>
        <c:tickLblPos val="nextTo"/>
        <c:spPr>
          <a:noFill/>
          <a:ln w="9525" cap="flat" cmpd="sng" algn="ctr">
            <a:solidFill>
              <a:schemeClr val="tx1">
                <a:lumMod val="15%"/>
                <a:lumOff val="85%"/>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83952864"/>
        <c:crosses val="autoZero"/>
        <c:auto val="1"/>
        <c:lblAlgn val="ctr"/>
        <c:lblOffset val="100"/>
        <c:noMultiLvlLbl val="0"/>
      </c:catAx>
      <c:valAx>
        <c:axId val="1583952864"/>
        <c:scaling>
          <c:orientation val="minMax"/>
          <c:max val="0.30000000000000004"/>
        </c:scaling>
        <c:delete val="0"/>
        <c:axPos val="l"/>
        <c:majorGridlines>
          <c:spPr>
            <a:ln w="9525" cap="flat" cmpd="sng" algn="ctr">
              <a:solidFill>
                <a:schemeClr val="tx1">
                  <a:lumMod val="15%"/>
                  <a:lumOff val="85%"/>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48474736"/>
        <c:crosses val="autoZero"/>
        <c:crossBetween val="between"/>
      </c:valAx>
      <c:spPr>
        <a:solidFill>
          <a:schemeClr val="bg1"/>
        </a:solidFill>
        <a:ln>
          <a:noFill/>
        </a:ln>
        <a:effectLst/>
      </c:spPr>
    </c:plotArea>
    <c:legend>
      <c:legendPos val="t"/>
      <c:layout>
        <c:manualLayout>
          <c:xMode val="edge"/>
          <c:yMode val="edge"/>
          <c:x val="0.65953672602392976"/>
          <c:y val="0.15766997571905453"/>
          <c:w val="0.30732091915964893"/>
          <c:h val="0.2907810697836945"/>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6350" cap="flat" cmpd="sng" algn="ctr">
      <a:solidFill>
        <a:schemeClr val="tx1">
          <a:tint val="75%"/>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purl.oclc.org/ooxml/drawingml/chart" xmlns:a="http://purl.oclc.org/ooxml/drawingml/main" xmlns:r="http://purl.oclc.org/ooxml/officeDocument/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50" b="0"/>
              <a:t>(b) Income effect on choice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Blad5!$I$1</c:f>
              <c:strCache>
                <c:ptCount val="1"/>
                <c:pt idx="0">
                  <c:v>&lt; €20.000 per year</c:v>
                </c:pt>
              </c:strCache>
            </c:strRef>
          </c:tx>
          <c:spPr>
            <a:solidFill>
              <a:schemeClr val="dk1">
                <a:tint val="88.5%"/>
              </a:schemeClr>
            </a:solidFill>
            <a:ln>
              <a:noFill/>
            </a:ln>
            <a:effectLst/>
          </c:spPr>
          <c:invertIfNegative val="0"/>
          <c:cat>
            <c:multiLvlStrRef>
              <c:f>Blad5!$G$2:$H$9</c:f>
              <c:multiLvlStrCache>
                <c:ptCount val="8"/>
                <c:lvl>
                  <c:pt idx="0">
                    <c:v>Car</c:v>
                  </c:pt>
                  <c:pt idx="1">
                    <c:v>PT</c:v>
                  </c:pt>
                  <c:pt idx="2">
                    <c:v>Bicycle</c:v>
                  </c:pt>
                  <c:pt idx="3">
                    <c:v>Walking</c:v>
                  </c:pt>
                  <c:pt idx="4">
                    <c:v>Car</c:v>
                  </c:pt>
                  <c:pt idx="5">
                    <c:v>PT</c:v>
                  </c:pt>
                  <c:pt idx="6">
                    <c:v>Bicycle</c:v>
                  </c:pt>
                  <c:pt idx="7">
                    <c:v>Walking</c:v>
                  </c:pt>
                </c:lvl>
                <c:lvl>
                  <c:pt idx="0">
                    <c:v>Current situation</c:v>
                  </c:pt>
                  <c:pt idx="4">
                    <c:v>Mobility hub</c:v>
                  </c:pt>
                </c:lvl>
              </c:multiLvlStrCache>
            </c:multiLvlStrRef>
          </c:cat>
          <c:val>
            <c:numRef>
              <c:f>Blad5!$I$2:$I$9</c:f>
              <c:numCache>
                <c:formatCode>0%</c:formatCode>
                <c:ptCount val="8"/>
                <c:pt idx="0">
                  <c:v>9.5238095238095233E-2</c:v>
                </c:pt>
                <c:pt idx="1">
                  <c:v>3.5087719298245612E-2</c:v>
                </c:pt>
                <c:pt idx="2">
                  <c:v>8.771929824561403E-2</c:v>
                </c:pt>
                <c:pt idx="3">
                  <c:v>1.2531328320802004E-2</c:v>
                </c:pt>
                <c:pt idx="4">
                  <c:v>1.0025062656641603E-2</c:v>
                </c:pt>
                <c:pt idx="5">
                  <c:v>2.5062656641604009E-3</c:v>
                </c:pt>
                <c:pt idx="6">
                  <c:v>2.2556390977443608E-2</c:v>
                </c:pt>
                <c:pt idx="7">
                  <c:v>5.0125313283208017E-3</c:v>
                </c:pt>
              </c:numCache>
            </c:numRef>
          </c:val>
          <c:extLst>
            <c:ext xmlns:c16="http://schemas.microsoft.com/office/drawing/2014/chart" uri="{C3380CC4-5D6E-409C-BE32-E72D297353CC}">
              <c16:uniqueId val="{00000000-61B1-4078-AA60-799DFB90CEDF}"/>
            </c:ext>
          </c:extLst>
        </c:ser>
        <c:ser>
          <c:idx val="1"/>
          <c:order val="1"/>
          <c:tx>
            <c:strRef>
              <c:f>Blad5!$J$1</c:f>
              <c:strCache>
                <c:ptCount val="1"/>
                <c:pt idx="0">
                  <c:v>€20.000-€40,000 per year</c:v>
                </c:pt>
              </c:strCache>
            </c:strRef>
          </c:tx>
          <c:spPr>
            <a:solidFill>
              <a:schemeClr val="dk1">
                <a:tint val="55%"/>
              </a:schemeClr>
            </a:solidFill>
            <a:ln>
              <a:noFill/>
            </a:ln>
            <a:effectLst/>
          </c:spPr>
          <c:invertIfNegative val="0"/>
          <c:cat>
            <c:multiLvlStrRef>
              <c:f>Blad5!$G$2:$H$9</c:f>
              <c:multiLvlStrCache>
                <c:ptCount val="8"/>
                <c:lvl>
                  <c:pt idx="0">
                    <c:v>Car</c:v>
                  </c:pt>
                  <c:pt idx="1">
                    <c:v>PT</c:v>
                  </c:pt>
                  <c:pt idx="2">
                    <c:v>Bicycle</c:v>
                  </c:pt>
                  <c:pt idx="3">
                    <c:v>Walking</c:v>
                  </c:pt>
                  <c:pt idx="4">
                    <c:v>Car</c:v>
                  </c:pt>
                  <c:pt idx="5">
                    <c:v>PT</c:v>
                  </c:pt>
                  <c:pt idx="6">
                    <c:v>Bicycle</c:v>
                  </c:pt>
                  <c:pt idx="7">
                    <c:v>Walking</c:v>
                  </c:pt>
                </c:lvl>
                <c:lvl>
                  <c:pt idx="0">
                    <c:v>Current situation</c:v>
                  </c:pt>
                  <c:pt idx="4">
                    <c:v>Mobility hub</c:v>
                  </c:pt>
                </c:lvl>
              </c:multiLvlStrCache>
            </c:multiLvlStrRef>
          </c:cat>
          <c:val>
            <c:numRef>
              <c:f>Blad5!$J$2:$J$9</c:f>
              <c:numCache>
                <c:formatCode>0%</c:formatCode>
                <c:ptCount val="8"/>
                <c:pt idx="0">
                  <c:v>0.20551378446115287</c:v>
                </c:pt>
                <c:pt idx="1">
                  <c:v>7.2681704260651625E-2</c:v>
                </c:pt>
                <c:pt idx="2">
                  <c:v>9.5238095238095233E-2</c:v>
                </c:pt>
                <c:pt idx="3">
                  <c:v>1.5037593984962405E-2</c:v>
                </c:pt>
                <c:pt idx="4">
                  <c:v>5.0125313283208017E-2</c:v>
                </c:pt>
                <c:pt idx="5">
                  <c:v>2.5062656641604009E-2</c:v>
                </c:pt>
                <c:pt idx="6">
                  <c:v>6.5162907268170422E-2</c:v>
                </c:pt>
                <c:pt idx="7">
                  <c:v>5.0125313283208017E-3</c:v>
                </c:pt>
              </c:numCache>
            </c:numRef>
          </c:val>
          <c:extLst>
            <c:ext xmlns:c16="http://schemas.microsoft.com/office/drawing/2014/chart" uri="{C3380CC4-5D6E-409C-BE32-E72D297353CC}">
              <c16:uniqueId val="{00000001-61B1-4078-AA60-799DFB90CEDF}"/>
            </c:ext>
          </c:extLst>
        </c:ser>
        <c:ser>
          <c:idx val="2"/>
          <c:order val="2"/>
          <c:tx>
            <c:strRef>
              <c:f>Blad5!$K$1</c:f>
              <c:strCache>
                <c:ptCount val="1"/>
                <c:pt idx="0">
                  <c:v>&gt; € 40.000 per year</c:v>
                </c:pt>
              </c:strCache>
            </c:strRef>
          </c:tx>
          <c:spPr>
            <a:solidFill>
              <a:schemeClr val="dk1">
                <a:tint val="75%"/>
              </a:schemeClr>
            </a:solidFill>
            <a:ln>
              <a:noFill/>
            </a:ln>
            <a:effectLst/>
          </c:spPr>
          <c:invertIfNegative val="0"/>
          <c:cat>
            <c:multiLvlStrRef>
              <c:f>Blad5!$G$2:$H$9</c:f>
              <c:multiLvlStrCache>
                <c:ptCount val="8"/>
                <c:lvl>
                  <c:pt idx="0">
                    <c:v>Car</c:v>
                  </c:pt>
                  <c:pt idx="1">
                    <c:v>PT</c:v>
                  </c:pt>
                  <c:pt idx="2">
                    <c:v>Bicycle</c:v>
                  </c:pt>
                  <c:pt idx="3">
                    <c:v>Walking</c:v>
                  </c:pt>
                  <c:pt idx="4">
                    <c:v>Car</c:v>
                  </c:pt>
                  <c:pt idx="5">
                    <c:v>PT</c:v>
                  </c:pt>
                  <c:pt idx="6">
                    <c:v>Bicycle</c:v>
                  </c:pt>
                  <c:pt idx="7">
                    <c:v>Walking</c:v>
                  </c:pt>
                </c:lvl>
                <c:lvl>
                  <c:pt idx="0">
                    <c:v>Current situation</c:v>
                  </c:pt>
                  <c:pt idx="4">
                    <c:v>Mobility hub</c:v>
                  </c:pt>
                </c:lvl>
              </c:multiLvlStrCache>
            </c:multiLvlStrRef>
          </c:cat>
          <c:val>
            <c:numRef>
              <c:f>Blad5!$K$2:$K$9</c:f>
              <c:numCache>
                <c:formatCode>0%</c:formatCode>
                <c:ptCount val="8"/>
                <c:pt idx="0">
                  <c:v>9.5238095238095233E-2</c:v>
                </c:pt>
                <c:pt idx="1">
                  <c:v>2.5062656641604009E-2</c:v>
                </c:pt>
                <c:pt idx="2">
                  <c:v>2.0050125313283207E-2</c:v>
                </c:pt>
                <c:pt idx="3">
                  <c:v>7.5187969924812026E-3</c:v>
                </c:pt>
                <c:pt idx="4">
                  <c:v>1.7543859649122806E-2</c:v>
                </c:pt>
                <c:pt idx="5">
                  <c:v>1.2531328320802004E-2</c:v>
                </c:pt>
                <c:pt idx="6">
                  <c:v>1.5037593984962405E-2</c:v>
                </c:pt>
                <c:pt idx="7">
                  <c:v>2.5062656641604009E-3</c:v>
                </c:pt>
              </c:numCache>
            </c:numRef>
          </c:val>
          <c:extLst>
            <c:ext xmlns:c16="http://schemas.microsoft.com/office/drawing/2014/chart" uri="{C3380CC4-5D6E-409C-BE32-E72D297353CC}">
              <c16:uniqueId val="{00000002-61B1-4078-AA60-799DFB90CEDF}"/>
            </c:ext>
          </c:extLst>
        </c:ser>
        <c:dLbls>
          <c:showLegendKey val="0"/>
          <c:showVal val="0"/>
          <c:showCatName val="0"/>
          <c:showSerName val="0"/>
          <c:showPercent val="0"/>
          <c:showBubbleSize val="0"/>
        </c:dLbls>
        <c:gapWidth val="100"/>
        <c:axId val="1348474736"/>
        <c:axId val="1583952864"/>
      </c:barChart>
      <c:catAx>
        <c:axId val="1348474736"/>
        <c:scaling>
          <c:orientation val="minMax"/>
        </c:scaling>
        <c:delete val="0"/>
        <c:axPos val="b"/>
        <c:numFmt formatCode="General" sourceLinked="1"/>
        <c:majorTickMark val="none"/>
        <c:minorTickMark val="none"/>
        <c:tickLblPos val="nextTo"/>
        <c:spPr>
          <a:noFill/>
          <a:ln w="9525" cap="flat" cmpd="sng" algn="ctr">
            <a:solidFill>
              <a:schemeClr val="tx1">
                <a:lumMod val="15%"/>
                <a:lumOff val="85%"/>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83952864"/>
        <c:crosses val="autoZero"/>
        <c:auto val="1"/>
        <c:lblAlgn val="ctr"/>
        <c:lblOffset val="100"/>
        <c:noMultiLvlLbl val="0"/>
      </c:catAx>
      <c:valAx>
        <c:axId val="1583952864"/>
        <c:scaling>
          <c:orientation val="minMax"/>
          <c:max val="0.30000000000000004"/>
        </c:scaling>
        <c:delete val="0"/>
        <c:axPos val="l"/>
        <c:majorGridlines>
          <c:spPr>
            <a:ln w="9525" cap="flat" cmpd="sng" algn="ctr">
              <a:solidFill>
                <a:schemeClr val="tx1">
                  <a:lumMod val="15%"/>
                  <a:lumOff val="85%"/>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48474736"/>
        <c:crosses val="autoZero"/>
        <c:crossBetween val="between"/>
      </c:valAx>
      <c:spPr>
        <a:solidFill>
          <a:schemeClr val="bg1"/>
        </a:solidFill>
        <a:ln>
          <a:noFill/>
        </a:ln>
        <a:effectLst/>
      </c:spPr>
    </c:plotArea>
    <c:legend>
      <c:legendPos val="t"/>
      <c:layout>
        <c:manualLayout>
          <c:xMode val="edge"/>
          <c:yMode val="edge"/>
          <c:x val="0.49741819848539787"/>
          <c:y val="0.15766997571905453"/>
          <c:w val="0.469439446698181"/>
          <c:h val="0.27726492804410297"/>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6350" cap="flat" cmpd="sng" algn="ctr">
      <a:solidFill>
        <a:schemeClr val="tx1">
          <a:tint val="75%"/>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purl.oclc.org/ooxml/drawingml/chart" xmlns:a="http://purl.oclc.org/ooxml/drawingml/main" xmlns:r="http://purl.oclc.org/ooxml/officeDocument/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50" b="0"/>
              <a:t>(f) Distance to CBD effect on choice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Blad5!$Z$12</c:f>
              <c:strCache>
                <c:ptCount val="1"/>
                <c:pt idx="0">
                  <c:v>&lt;5km</c:v>
                </c:pt>
              </c:strCache>
            </c:strRef>
          </c:tx>
          <c:spPr>
            <a:solidFill>
              <a:schemeClr val="dk1">
                <a:tint val="88.5%"/>
              </a:schemeClr>
            </a:solidFill>
            <a:ln>
              <a:noFill/>
            </a:ln>
            <a:effectLst/>
          </c:spPr>
          <c:invertIfNegative val="0"/>
          <c:cat>
            <c:multiLvlStrRef>
              <c:f>Blad5!$X$13:$Y$20</c:f>
              <c:multiLvlStrCache>
                <c:ptCount val="8"/>
                <c:lvl>
                  <c:pt idx="0">
                    <c:v>Car</c:v>
                  </c:pt>
                  <c:pt idx="1">
                    <c:v>PT</c:v>
                  </c:pt>
                  <c:pt idx="2">
                    <c:v>Bicycle</c:v>
                  </c:pt>
                  <c:pt idx="3">
                    <c:v>Walking</c:v>
                  </c:pt>
                  <c:pt idx="4">
                    <c:v>Car</c:v>
                  </c:pt>
                  <c:pt idx="5">
                    <c:v>PT</c:v>
                  </c:pt>
                  <c:pt idx="6">
                    <c:v>Bicycle</c:v>
                  </c:pt>
                  <c:pt idx="7">
                    <c:v>Walking</c:v>
                  </c:pt>
                </c:lvl>
                <c:lvl>
                  <c:pt idx="0">
                    <c:v>Current situation</c:v>
                  </c:pt>
                  <c:pt idx="4">
                    <c:v>Mobility hub</c:v>
                  </c:pt>
                </c:lvl>
              </c:multiLvlStrCache>
            </c:multiLvlStrRef>
          </c:cat>
          <c:val>
            <c:numRef>
              <c:f>Blad5!$Z$13:$Z$20</c:f>
              <c:numCache>
                <c:formatCode>0%</c:formatCode>
                <c:ptCount val="8"/>
                <c:pt idx="0">
                  <c:v>0.11528822055137844</c:v>
                </c:pt>
                <c:pt idx="1">
                  <c:v>4.5112781954887216E-2</c:v>
                </c:pt>
                <c:pt idx="2">
                  <c:v>8.771929824561403E-2</c:v>
                </c:pt>
                <c:pt idx="3">
                  <c:v>2.0050125313283207E-2</c:v>
                </c:pt>
                <c:pt idx="4">
                  <c:v>5.2631578947368418E-2</c:v>
                </c:pt>
                <c:pt idx="5">
                  <c:v>2.2556390977443608E-2</c:v>
                </c:pt>
                <c:pt idx="6">
                  <c:v>7.0175438596491224E-2</c:v>
                </c:pt>
                <c:pt idx="7">
                  <c:v>5.0125313283208017E-3</c:v>
                </c:pt>
              </c:numCache>
            </c:numRef>
          </c:val>
          <c:extLst>
            <c:ext xmlns:c16="http://schemas.microsoft.com/office/drawing/2014/chart" uri="{C3380CC4-5D6E-409C-BE32-E72D297353CC}">
              <c16:uniqueId val="{00000000-7DD5-456F-80D2-BFB4D1E46809}"/>
            </c:ext>
          </c:extLst>
        </c:ser>
        <c:ser>
          <c:idx val="1"/>
          <c:order val="1"/>
          <c:tx>
            <c:strRef>
              <c:f>Blad5!$AA$12</c:f>
              <c:strCache>
                <c:ptCount val="1"/>
                <c:pt idx="0">
                  <c:v>5-10km</c:v>
                </c:pt>
              </c:strCache>
            </c:strRef>
          </c:tx>
          <c:spPr>
            <a:solidFill>
              <a:schemeClr val="dk1">
                <a:tint val="55%"/>
              </a:schemeClr>
            </a:solidFill>
            <a:ln>
              <a:noFill/>
            </a:ln>
            <a:effectLst/>
          </c:spPr>
          <c:invertIfNegative val="0"/>
          <c:cat>
            <c:multiLvlStrRef>
              <c:f>Blad5!$X$13:$Y$20</c:f>
              <c:multiLvlStrCache>
                <c:ptCount val="8"/>
                <c:lvl>
                  <c:pt idx="0">
                    <c:v>Car</c:v>
                  </c:pt>
                  <c:pt idx="1">
                    <c:v>PT</c:v>
                  </c:pt>
                  <c:pt idx="2">
                    <c:v>Bicycle</c:v>
                  </c:pt>
                  <c:pt idx="3">
                    <c:v>Walking</c:v>
                  </c:pt>
                  <c:pt idx="4">
                    <c:v>Car</c:v>
                  </c:pt>
                  <c:pt idx="5">
                    <c:v>PT</c:v>
                  </c:pt>
                  <c:pt idx="6">
                    <c:v>Bicycle</c:v>
                  </c:pt>
                  <c:pt idx="7">
                    <c:v>Walking</c:v>
                  </c:pt>
                </c:lvl>
                <c:lvl>
                  <c:pt idx="0">
                    <c:v>Current situation</c:v>
                  </c:pt>
                  <c:pt idx="4">
                    <c:v>Mobility hub</c:v>
                  </c:pt>
                </c:lvl>
              </c:multiLvlStrCache>
            </c:multiLvlStrRef>
          </c:cat>
          <c:val>
            <c:numRef>
              <c:f>Blad5!$AA$13:$AA$20</c:f>
              <c:numCache>
                <c:formatCode>0%</c:formatCode>
                <c:ptCount val="8"/>
                <c:pt idx="0">
                  <c:v>6.7669172932330823E-2</c:v>
                </c:pt>
                <c:pt idx="1">
                  <c:v>3.5087719298245612E-2</c:v>
                </c:pt>
                <c:pt idx="2">
                  <c:v>3.5087719298245612E-2</c:v>
                </c:pt>
                <c:pt idx="3">
                  <c:v>7.5187969924812026E-3</c:v>
                </c:pt>
                <c:pt idx="4">
                  <c:v>2.5062656641604009E-2</c:v>
                </c:pt>
                <c:pt idx="5">
                  <c:v>1.7543859649122806E-2</c:v>
                </c:pt>
                <c:pt idx="6">
                  <c:v>3.2581453634085211E-2</c:v>
                </c:pt>
                <c:pt idx="7">
                  <c:v>7.5187969924812026E-3</c:v>
                </c:pt>
              </c:numCache>
            </c:numRef>
          </c:val>
          <c:extLst>
            <c:ext xmlns:c16="http://schemas.microsoft.com/office/drawing/2014/chart" uri="{C3380CC4-5D6E-409C-BE32-E72D297353CC}">
              <c16:uniqueId val="{00000001-7DD5-456F-80D2-BFB4D1E46809}"/>
            </c:ext>
          </c:extLst>
        </c:ser>
        <c:ser>
          <c:idx val="2"/>
          <c:order val="2"/>
          <c:tx>
            <c:strRef>
              <c:f>Blad5!$AB$12</c:f>
              <c:strCache>
                <c:ptCount val="1"/>
                <c:pt idx="0">
                  <c:v>&gt;10km</c:v>
                </c:pt>
              </c:strCache>
            </c:strRef>
          </c:tx>
          <c:spPr>
            <a:solidFill>
              <a:schemeClr val="dk1">
                <a:tint val="75%"/>
              </a:schemeClr>
            </a:solidFill>
            <a:ln>
              <a:noFill/>
            </a:ln>
            <a:effectLst/>
          </c:spPr>
          <c:invertIfNegative val="0"/>
          <c:cat>
            <c:multiLvlStrRef>
              <c:f>Blad5!$X$13:$Y$20</c:f>
              <c:multiLvlStrCache>
                <c:ptCount val="8"/>
                <c:lvl>
                  <c:pt idx="0">
                    <c:v>Car</c:v>
                  </c:pt>
                  <c:pt idx="1">
                    <c:v>PT</c:v>
                  </c:pt>
                  <c:pt idx="2">
                    <c:v>Bicycle</c:v>
                  </c:pt>
                  <c:pt idx="3">
                    <c:v>Walking</c:v>
                  </c:pt>
                  <c:pt idx="4">
                    <c:v>Car</c:v>
                  </c:pt>
                  <c:pt idx="5">
                    <c:v>PT</c:v>
                  </c:pt>
                  <c:pt idx="6">
                    <c:v>Bicycle</c:v>
                  </c:pt>
                  <c:pt idx="7">
                    <c:v>Walking</c:v>
                  </c:pt>
                </c:lvl>
                <c:lvl>
                  <c:pt idx="0">
                    <c:v>Current situation</c:v>
                  </c:pt>
                  <c:pt idx="4">
                    <c:v>Mobility hub</c:v>
                  </c:pt>
                </c:lvl>
              </c:multiLvlStrCache>
            </c:multiLvlStrRef>
          </c:cat>
          <c:val>
            <c:numRef>
              <c:f>Blad5!$AB$13:$AB$20</c:f>
              <c:numCache>
                <c:formatCode>0%</c:formatCode>
                <c:ptCount val="8"/>
                <c:pt idx="0">
                  <c:v>0.21303258145363407</c:v>
                </c:pt>
                <c:pt idx="1">
                  <c:v>5.2631578947368418E-2</c:v>
                </c:pt>
                <c:pt idx="2">
                  <c:v>8.0200501253132828E-2</c:v>
                </c:pt>
                <c:pt idx="3">
                  <c:v>7.5187969924812026E-3</c:v>
                </c:pt>
                <c:pt idx="4">
                  <c:v>0</c:v>
                </c:pt>
                <c:pt idx="5">
                  <c:v>0</c:v>
                </c:pt>
                <c:pt idx="6">
                  <c:v>0</c:v>
                </c:pt>
                <c:pt idx="7">
                  <c:v>0</c:v>
                </c:pt>
              </c:numCache>
            </c:numRef>
          </c:val>
          <c:extLst>
            <c:ext xmlns:c16="http://schemas.microsoft.com/office/drawing/2014/chart" uri="{C3380CC4-5D6E-409C-BE32-E72D297353CC}">
              <c16:uniqueId val="{00000002-7DD5-456F-80D2-BFB4D1E46809}"/>
            </c:ext>
          </c:extLst>
        </c:ser>
        <c:dLbls>
          <c:showLegendKey val="0"/>
          <c:showVal val="0"/>
          <c:showCatName val="0"/>
          <c:showSerName val="0"/>
          <c:showPercent val="0"/>
          <c:showBubbleSize val="0"/>
        </c:dLbls>
        <c:gapWidth val="100"/>
        <c:axId val="1348474736"/>
        <c:axId val="1583952864"/>
      </c:barChart>
      <c:catAx>
        <c:axId val="1348474736"/>
        <c:scaling>
          <c:orientation val="minMax"/>
        </c:scaling>
        <c:delete val="0"/>
        <c:axPos val="b"/>
        <c:numFmt formatCode="General" sourceLinked="1"/>
        <c:majorTickMark val="none"/>
        <c:minorTickMark val="none"/>
        <c:tickLblPos val="nextTo"/>
        <c:spPr>
          <a:noFill/>
          <a:ln w="9525" cap="flat" cmpd="sng" algn="ctr">
            <a:solidFill>
              <a:schemeClr val="tx1">
                <a:lumMod val="15%"/>
                <a:lumOff val="85%"/>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83952864"/>
        <c:crosses val="autoZero"/>
        <c:auto val="1"/>
        <c:lblAlgn val="ctr"/>
        <c:lblOffset val="100"/>
        <c:noMultiLvlLbl val="0"/>
      </c:catAx>
      <c:valAx>
        <c:axId val="1583952864"/>
        <c:scaling>
          <c:orientation val="minMax"/>
          <c:max val="0.30000000000000004"/>
        </c:scaling>
        <c:delete val="0"/>
        <c:axPos val="l"/>
        <c:majorGridlines>
          <c:spPr>
            <a:ln w="9525" cap="flat" cmpd="sng" algn="ctr">
              <a:solidFill>
                <a:schemeClr val="tx1">
                  <a:lumMod val="15%"/>
                  <a:lumOff val="85%"/>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48474736"/>
        <c:crosses val="autoZero"/>
        <c:crossBetween val="between"/>
      </c:valAx>
      <c:spPr>
        <a:solidFill>
          <a:schemeClr val="bg1"/>
        </a:solidFill>
        <a:ln>
          <a:noFill/>
        </a:ln>
        <a:effectLst/>
      </c:spPr>
    </c:plotArea>
    <c:legend>
      <c:legendPos val="t"/>
      <c:layout>
        <c:manualLayout>
          <c:xMode val="edge"/>
          <c:yMode val="edge"/>
          <c:x val="0.66980768970143789"/>
          <c:y val="0.15766997571905453"/>
          <c:w val="0.29705029341211869"/>
          <c:h val="0.32750435814129092"/>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6350" cap="flat" cmpd="sng" algn="ctr">
      <a:solidFill>
        <a:schemeClr val="tx1">
          <a:tint val="75%"/>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purl.oclc.org/ooxml/drawingml/chart" xmlns:a="http://purl.oclc.org/ooxml/drawingml/main" xmlns:r="http://purl.oclc.org/ooxml/officeDocument/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50" b="0"/>
              <a:t>(d) Housing costs effect on choice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Blad5!$AF$12</c:f>
              <c:strCache>
                <c:ptCount val="1"/>
                <c:pt idx="0">
                  <c:v>&lt;€651 per month</c:v>
                </c:pt>
              </c:strCache>
            </c:strRef>
          </c:tx>
          <c:spPr>
            <a:solidFill>
              <a:schemeClr val="dk1">
                <a:tint val="88.5%"/>
              </a:schemeClr>
            </a:solidFill>
            <a:ln>
              <a:noFill/>
            </a:ln>
            <a:effectLst/>
          </c:spPr>
          <c:invertIfNegative val="0"/>
          <c:cat>
            <c:multiLvlStrRef>
              <c:f>Blad5!$AD$13:$AE$20</c:f>
              <c:multiLvlStrCache>
                <c:ptCount val="8"/>
                <c:lvl>
                  <c:pt idx="0">
                    <c:v>Car</c:v>
                  </c:pt>
                  <c:pt idx="1">
                    <c:v>PT</c:v>
                  </c:pt>
                  <c:pt idx="2">
                    <c:v>Bicycle</c:v>
                  </c:pt>
                  <c:pt idx="3">
                    <c:v>Walking</c:v>
                  </c:pt>
                  <c:pt idx="4">
                    <c:v>Car</c:v>
                  </c:pt>
                  <c:pt idx="5">
                    <c:v>PT</c:v>
                  </c:pt>
                  <c:pt idx="6">
                    <c:v>Bicycle</c:v>
                  </c:pt>
                  <c:pt idx="7">
                    <c:v>Walking</c:v>
                  </c:pt>
                </c:lvl>
                <c:lvl>
                  <c:pt idx="0">
                    <c:v>Current situation</c:v>
                  </c:pt>
                  <c:pt idx="4">
                    <c:v>Mobility hub</c:v>
                  </c:pt>
                </c:lvl>
              </c:multiLvlStrCache>
            </c:multiLvlStrRef>
          </c:cat>
          <c:val>
            <c:numRef>
              <c:f>Blad5!$AF$13:$AF$20</c:f>
              <c:numCache>
                <c:formatCode>0%</c:formatCode>
                <c:ptCount val="8"/>
                <c:pt idx="0">
                  <c:v>0.2907268170426065</c:v>
                </c:pt>
                <c:pt idx="1">
                  <c:v>0.10776942355889724</c:v>
                </c:pt>
                <c:pt idx="2">
                  <c:v>0.14786967418546365</c:v>
                </c:pt>
                <c:pt idx="3">
                  <c:v>2.2556390977443608E-2</c:v>
                </c:pt>
                <c:pt idx="4">
                  <c:v>4.0100250626566414E-2</c:v>
                </c:pt>
                <c:pt idx="5">
                  <c:v>1.2531328320802004E-2</c:v>
                </c:pt>
                <c:pt idx="6">
                  <c:v>5.5137844611528819E-2</c:v>
                </c:pt>
                <c:pt idx="7">
                  <c:v>2.5062656641604009E-3</c:v>
                </c:pt>
              </c:numCache>
            </c:numRef>
          </c:val>
          <c:extLst>
            <c:ext xmlns:c16="http://schemas.microsoft.com/office/drawing/2014/chart" uri="{C3380CC4-5D6E-409C-BE32-E72D297353CC}">
              <c16:uniqueId val="{00000000-CF22-4F90-9C0B-783C8D98A2AF}"/>
            </c:ext>
          </c:extLst>
        </c:ser>
        <c:ser>
          <c:idx val="1"/>
          <c:order val="1"/>
          <c:tx>
            <c:strRef>
              <c:f>Blad5!$AG$12</c:f>
              <c:strCache>
                <c:ptCount val="1"/>
                <c:pt idx="0">
                  <c:v>€651-€801 per month</c:v>
                </c:pt>
              </c:strCache>
            </c:strRef>
          </c:tx>
          <c:spPr>
            <a:solidFill>
              <a:schemeClr val="dk1">
                <a:tint val="55%"/>
              </a:schemeClr>
            </a:solidFill>
            <a:ln>
              <a:noFill/>
            </a:ln>
            <a:effectLst/>
          </c:spPr>
          <c:invertIfNegative val="0"/>
          <c:cat>
            <c:multiLvlStrRef>
              <c:f>Blad5!$AD$13:$AE$20</c:f>
              <c:multiLvlStrCache>
                <c:ptCount val="8"/>
                <c:lvl>
                  <c:pt idx="0">
                    <c:v>Car</c:v>
                  </c:pt>
                  <c:pt idx="1">
                    <c:v>PT</c:v>
                  </c:pt>
                  <c:pt idx="2">
                    <c:v>Bicycle</c:v>
                  </c:pt>
                  <c:pt idx="3">
                    <c:v>Walking</c:v>
                  </c:pt>
                  <c:pt idx="4">
                    <c:v>Car</c:v>
                  </c:pt>
                  <c:pt idx="5">
                    <c:v>PT</c:v>
                  </c:pt>
                  <c:pt idx="6">
                    <c:v>Bicycle</c:v>
                  </c:pt>
                  <c:pt idx="7">
                    <c:v>Walking</c:v>
                  </c:pt>
                </c:lvl>
                <c:lvl>
                  <c:pt idx="0">
                    <c:v>Current situation</c:v>
                  </c:pt>
                  <c:pt idx="4">
                    <c:v>Mobility hub</c:v>
                  </c:pt>
                </c:lvl>
              </c:multiLvlStrCache>
            </c:multiLvlStrRef>
          </c:cat>
          <c:val>
            <c:numRef>
              <c:f>Blad5!$AG$13:$AG$20</c:f>
              <c:numCache>
                <c:formatCode>0%</c:formatCode>
                <c:ptCount val="8"/>
                <c:pt idx="0">
                  <c:v>7.7694235588972427E-2</c:v>
                </c:pt>
                <c:pt idx="1">
                  <c:v>1.2531328320802004E-2</c:v>
                </c:pt>
                <c:pt idx="2">
                  <c:v>4.2606516290726815E-2</c:v>
                </c:pt>
                <c:pt idx="3">
                  <c:v>5.0125313283208017E-3</c:v>
                </c:pt>
                <c:pt idx="4">
                  <c:v>3.007518796992481E-2</c:v>
                </c:pt>
                <c:pt idx="5">
                  <c:v>2.0050125313283207E-2</c:v>
                </c:pt>
                <c:pt idx="6">
                  <c:v>3.2581453634085211E-2</c:v>
                </c:pt>
                <c:pt idx="7">
                  <c:v>5.0125313283208017E-3</c:v>
                </c:pt>
              </c:numCache>
            </c:numRef>
          </c:val>
          <c:extLst>
            <c:ext xmlns:c16="http://schemas.microsoft.com/office/drawing/2014/chart" uri="{C3380CC4-5D6E-409C-BE32-E72D297353CC}">
              <c16:uniqueId val="{00000001-CF22-4F90-9C0B-783C8D98A2AF}"/>
            </c:ext>
          </c:extLst>
        </c:ser>
        <c:ser>
          <c:idx val="2"/>
          <c:order val="2"/>
          <c:tx>
            <c:strRef>
              <c:f>Blad5!$AH$12</c:f>
              <c:strCache>
                <c:ptCount val="1"/>
                <c:pt idx="0">
                  <c:v>&gt;€801 per month</c:v>
                </c:pt>
              </c:strCache>
            </c:strRef>
          </c:tx>
          <c:spPr>
            <a:solidFill>
              <a:schemeClr val="dk1">
                <a:tint val="75%"/>
              </a:schemeClr>
            </a:solidFill>
            <a:ln>
              <a:noFill/>
            </a:ln>
            <a:effectLst/>
          </c:spPr>
          <c:invertIfNegative val="0"/>
          <c:cat>
            <c:multiLvlStrRef>
              <c:f>Blad5!$AD$13:$AE$20</c:f>
              <c:multiLvlStrCache>
                <c:ptCount val="8"/>
                <c:lvl>
                  <c:pt idx="0">
                    <c:v>Car</c:v>
                  </c:pt>
                  <c:pt idx="1">
                    <c:v>PT</c:v>
                  </c:pt>
                  <c:pt idx="2">
                    <c:v>Bicycle</c:v>
                  </c:pt>
                  <c:pt idx="3">
                    <c:v>Walking</c:v>
                  </c:pt>
                  <c:pt idx="4">
                    <c:v>Car</c:v>
                  </c:pt>
                  <c:pt idx="5">
                    <c:v>PT</c:v>
                  </c:pt>
                  <c:pt idx="6">
                    <c:v>Bicycle</c:v>
                  </c:pt>
                  <c:pt idx="7">
                    <c:v>Walking</c:v>
                  </c:pt>
                </c:lvl>
                <c:lvl>
                  <c:pt idx="0">
                    <c:v>Current situation</c:v>
                  </c:pt>
                  <c:pt idx="4">
                    <c:v>Mobility hub</c:v>
                  </c:pt>
                </c:lvl>
              </c:multiLvlStrCache>
            </c:multiLvlStrRef>
          </c:cat>
          <c:val>
            <c:numRef>
              <c:f>Blad5!$AH$13:$AH$20</c:f>
              <c:numCache>
                <c:formatCode>0%</c:formatCode>
                <c:ptCount val="8"/>
                <c:pt idx="0">
                  <c:v>2.7568922305764409E-2</c:v>
                </c:pt>
                <c:pt idx="1">
                  <c:v>1.2531328320802004E-2</c:v>
                </c:pt>
                <c:pt idx="2">
                  <c:v>1.2531328320802004E-2</c:v>
                </c:pt>
                <c:pt idx="3">
                  <c:v>7.5187969924812026E-3</c:v>
                </c:pt>
                <c:pt idx="4">
                  <c:v>7.5187969924812026E-3</c:v>
                </c:pt>
                <c:pt idx="5">
                  <c:v>7.5187969924812026E-3</c:v>
                </c:pt>
                <c:pt idx="6">
                  <c:v>1.5037593984962405E-2</c:v>
                </c:pt>
                <c:pt idx="7">
                  <c:v>5.0125313283208017E-3</c:v>
                </c:pt>
              </c:numCache>
            </c:numRef>
          </c:val>
          <c:extLst>
            <c:ext xmlns:c16="http://schemas.microsoft.com/office/drawing/2014/chart" uri="{C3380CC4-5D6E-409C-BE32-E72D297353CC}">
              <c16:uniqueId val="{00000002-CF22-4F90-9C0B-783C8D98A2AF}"/>
            </c:ext>
          </c:extLst>
        </c:ser>
        <c:dLbls>
          <c:showLegendKey val="0"/>
          <c:showVal val="0"/>
          <c:showCatName val="0"/>
          <c:showSerName val="0"/>
          <c:showPercent val="0"/>
          <c:showBubbleSize val="0"/>
        </c:dLbls>
        <c:gapWidth val="100"/>
        <c:axId val="1348474736"/>
        <c:axId val="1583952864"/>
      </c:barChart>
      <c:catAx>
        <c:axId val="1348474736"/>
        <c:scaling>
          <c:orientation val="minMax"/>
        </c:scaling>
        <c:delete val="0"/>
        <c:axPos val="b"/>
        <c:numFmt formatCode="General" sourceLinked="1"/>
        <c:majorTickMark val="none"/>
        <c:minorTickMark val="none"/>
        <c:tickLblPos val="nextTo"/>
        <c:spPr>
          <a:noFill/>
          <a:ln w="9525" cap="flat" cmpd="sng" algn="ctr">
            <a:solidFill>
              <a:schemeClr val="tx1">
                <a:lumMod val="15%"/>
                <a:lumOff val="85%"/>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83952864"/>
        <c:crosses val="autoZero"/>
        <c:auto val="1"/>
        <c:lblAlgn val="ctr"/>
        <c:lblOffset val="100"/>
        <c:noMultiLvlLbl val="0"/>
      </c:catAx>
      <c:valAx>
        <c:axId val="1583952864"/>
        <c:scaling>
          <c:orientation val="minMax"/>
          <c:max val="0.30000000000000004"/>
        </c:scaling>
        <c:delete val="0"/>
        <c:axPos val="l"/>
        <c:majorGridlines>
          <c:spPr>
            <a:ln w="9525" cap="flat" cmpd="sng" algn="ctr">
              <a:solidFill>
                <a:schemeClr val="tx1">
                  <a:lumMod val="15%"/>
                  <a:lumOff val="85%"/>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48474736"/>
        <c:crosses val="autoZero"/>
        <c:crossBetween val="between"/>
      </c:valAx>
      <c:spPr>
        <a:solidFill>
          <a:schemeClr val="bg1"/>
        </a:solidFill>
        <a:ln>
          <a:noFill/>
        </a:ln>
        <a:effectLst/>
      </c:spPr>
    </c:plotArea>
    <c:legend>
      <c:legendPos val="t"/>
      <c:layout>
        <c:manualLayout>
          <c:xMode val="edge"/>
          <c:yMode val="edge"/>
          <c:x val="0.52780638865924889"/>
          <c:y val="0.15766997571905453"/>
          <c:w val="0.43905159445430769"/>
          <c:h val="0.30395555452665601"/>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6350" cap="flat" cmpd="sng" algn="ctr">
      <a:solidFill>
        <a:schemeClr val="tx1">
          <a:tint val="75%"/>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purl.oclc.org/ooxml/drawingml/main" meth="cycle" id="20">
  <a:schemeClr val="dk1"/>
  <cs:variation>
    <a:tint val="88.5%"/>
  </cs:variation>
  <cs:variation>
    <a:tint val="55%"/>
  </cs:variation>
  <cs:variation>
    <a:tint val="75%"/>
  </cs:variation>
  <cs:variation>
    <a:tint val="98.5%"/>
  </cs:variation>
  <cs:variation>
    <a:tint val="30%"/>
  </cs:variation>
  <cs:variation>
    <a:tint val="60%"/>
  </cs:variation>
  <cs:variation>
    <a:tint val="80%"/>
  </cs:variation>
</cs:colorStyle>
</file>

<file path=word/charts/colors2.xml><?xml version="1.0" encoding="utf-8"?>
<cs:colorStyle xmlns:cs="http://schemas.microsoft.com/office/drawing/2012/chartStyle" xmlns:a="http://purl.oclc.org/ooxml/drawingml/main" meth="cycle" id="20">
  <a:schemeClr val="dk1"/>
  <cs:variation>
    <a:tint val="88.5%"/>
  </cs:variation>
  <cs:variation>
    <a:tint val="55%"/>
  </cs:variation>
  <cs:variation>
    <a:tint val="75%"/>
  </cs:variation>
  <cs:variation>
    <a:tint val="98.5%"/>
  </cs:variation>
  <cs:variation>
    <a:tint val="30%"/>
  </cs:variation>
  <cs:variation>
    <a:tint val="60%"/>
  </cs:variation>
  <cs:variation>
    <a:tint val="80%"/>
  </cs:variation>
</cs:colorStyle>
</file>

<file path=word/charts/colors3.xml><?xml version="1.0" encoding="utf-8"?>
<cs:colorStyle xmlns:cs="http://schemas.microsoft.com/office/drawing/2012/chartStyle" xmlns:a="http://purl.oclc.org/ooxml/drawingml/main" meth="cycle" id="20">
  <a:schemeClr val="dk1"/>
  <cs:variation>
    <a:tint val="88.5%"/>
  </cs:variation>
  <cs:variation>
    <a:tint val="55%"/>
  </cs:variation>
  <cs:variation>
    <a:tint val="75%"/>
  </cs:variation>
  <cs:variation>
    <a:tint val="98.5%"/>
  </cs:variation>
  <cs:variation>
    <a:tint val="30%"/>
  </cs:variation>
  <cs:variation>
    <a:tint val="60%"/>
  </cs:variation>
  <cs:variation>
    <a:tint val="80%"/>
  </cs:variation>
</cs:colorStyle>
</file>

<file path=word/charts/colors4.xml><?xml version="1.0" encoding="utf-8"?>
<cs:colorStyle xmlns:cs="http://schemas.microsoft.com/office/drawing/2012/chartStyle" xmlns:a="http://purl.oclc.org/ooxml/drawingml/main" meth="cycle" id="20">
  <a:schemeClr val="dk1"/>
  <cs:variation>
    <a:tint val="88.5%"/>
  </cs:variation>
  <cs:variation>
    <a:tint val="55%"/>
  </cs:variation>
  <cs:variation>
    <a:tint val="75%"/>
  </cs:variation>
  <cs:variation>
    <a:tint val="98.5%"/>
  </cs:variation>
  <cs:variation>
    <a:tint val="30%"/>
  </cs:variation>
  <cs:variation>
    <a:tint val="60%"/>
  </cs:variation>
  <cs:variation>
    <a:tint val="80%"/>
  </cs:variation>
</cs:colorStyle>
</file>

<file path=word/charts/colors5.xml><?xml version="1.0" encoding="utf-8"?>
<cs:colorStyle xmlns:cs="http://schemas.microsoft.com/office/drawing/2012/chartStyle" xmlns:a="http://purl.oclc.org/ooxml/drawingml/main" meth="cycle" id="20">
  <a:schemeClr val="dk1"/>
  <cs:variation>
    <a:tint val="88.5%"/>
  </cs:variation>
  <cs:variation>
    <a:tint val="55%"/>
  </cs:variation>
  <cs:variation>
    <a:tint val="75%"/>
  </cs:variation>
  <cs:variation>
    <a:tint val="98.5%"/>
  </cs:variation>
  <cs:variation>
    <a:tint val="30%"/>
  </cs:variation>
  <cs:variation>
    <a:tint val="60%"/>
  </cs:variation>
  <cs:variation>
    <a:tint val="80%"/>
  </cs:variation>
</cs:colorStyle>
</file>

<file path=word/charts/colors6.xml><?xml version="1.0" encoding="utf-8"?>
<cs:colorStyle xmlns:cs="http://schemas.microsoft.com/office/drawing/2012/chartStyle" xmlns:a="http://purl.oclc.org/ooxml/drawingml/main" meth="cycle" id="20">
  <a:schemeClr val="dk1"/>
  <cs:variation>
    <a:tint val="88.5%"/>
  </cs:variation>
  <cs:variation>
    <a:tint val="55%"/>
  </cs:variation>
  <cs:variation>
    <a:tint val="75%"/>
  </cs:variation>
  <cs:variation>
    <a:tint val="98.5%"/>
  </cs:variation>
  <cs:variation>
    <a:tint val="30%"/>
  </cs:variation>
  <cs:variation>
    <a:tint val="60%"/>
  </cs:variation>
  <cs:variation>
    <a:tint val="80%"/>
  </cs:variation>
</cs:colorStyle>
</file>

<file path=word/charts/colors7.xml><?xml version="1.0" encoding="utf-8"?>
<cs:colorStyle xmlns:cs="http://schemas.microsoft.com/office/drawing/2012/chartStyle" xmlns:a="http://purl.oclc.org/ooxml/drawingml/main" meth="cycle" id="20">
  <a:schemeClr val="dk1"/>
  <cs:variation>
    <a:tint val="88.5%"/>
  </cs:variation>
  <cs:variation>
    <a:tint val="55%"/>
  </cs:variation>
  <cs:variation>
    <a:tint val="75%"/>
  </cs:variation>
  <cs:variation>
    <a:tint val="98.5%"/>
  </cs:variation>
  <cs:variation>
    <a:tint val="30%"/>
  </cs:variation>
  <cs:variation>
    <a:tint val="60%"/>
  </cs:variation>
  <cs:variation>
    <a:tint val="80%"/>
  </cs:variation>
</cs:colorStyle>
</file>

<file path=word/charts/style1.xml><?xml version="1.0" encoding="utf-8"?>
<cs:chartStyle xmlns:cs="http://schemas.microsoft.com/office/drawing/2012/chartStyle" xmlns:a="http://purl.oclc.org/ooxml/drawingml/main" id="102">
  <cs:axisTitle>
    <cs:lnRef idx="0"/>
    <cs:fillRef idx="0"/>
    <cs:effectRef idx="0"/>
    <cs:fontRef idx="minor">
      <a:schemeClr val="tx1"/>
    </cs:fontRef>
    <cs:defRPr sz="1000" b="1" kern="1200"/>
  </cs:axisTitle>
  <cs:categoryAxis>
    <cs:lnRef idx="1">
      <a:schemeClr val="tx1">
        <a:tint val="75%"/>
      </a:schemeClr>
    </cs:lnRef>
    <cs:fillRef idx="0"/>
    <cs:effectRef idx="0"/>
    <cs:fontRef idx="minor">
      <a:schemeClr val="tx1"/>
    </cs:fontRef>
    <cs:spPr>
      <a:ln>
        <a:round/>
      </a:ln>
    </cs:spPr>
    <cs:defRPr sz="1000" kern="1200"/>
  </cs:categoryAxis>
  <cs:chartArea mods="allowNoFillOverride allowNoLineOverride">
    <cs:lnRef idx="1">
      <a:schemeClr val="tx1">
        <a:tint val="75%"/>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
            <a:lumOff val="35%"/>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
      </a:schemeClr>
    </cs:lnRef>
    <cs:fillRef idx="0"/>
    <cs:effectRef idx="0"/>
    <cs:fontRef idx="minor">
      <a:schemeClr val="tx1"/>
    </cs:fontRef>
    <cs:spPr>
      <a:ln>
        <a:round/>
      </a:ln>
    </cs:spPr>
    <cs:defRPr sz="1000" kern="1200"/>
  </cs:dataTable>
  <cs:downBar>
    <cs:lnRef idx="1">
      <a:schemeClr val="tx1"/>
    </cs:lnRef>
    <cs:fillRef idx="1">
      <a:schemeClr val="dk1">
        <a:tint val="95%"/>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
      </a:schemeClr>
    </cs:lnRef>
    <cs:fillRef idx="0"/>
    <cs:effectRef idx="0"/>
    <cs:fontRef idx="minor">
      <a:schemeClr val="tx1"/>
    </cs:fontRef>
    <cs:spPr>
      <a:ln>
        <a:round/>
      </a:ln>
    </cs:spPr>
  </cs:floor>
  <cs:gridlineMajor>
    <cs:lnRef idx="1">
      <a:schemeClr val="tx1">
        <a:tint val="75%"/>
      </a:schemeClr>
    </cs:lnRef>
    <cs:fillRef idx="0"/>
    <cs:effectRef idx="0"/>
    <cs:fontRef idx="minor">
      <a:schemeClr val="tx1"/>
    </cs:fontRef>
    <cs:spPr>
      <a:ln>
        <a:round/>
      </a:ln>
    </cs:spPr>
  </cs:gridlineMajor>
  <cs:gridlineMinor>
    <cs:lnRef idx="1">
      <a:schemeClr val="tx1">
        <a:tint val="5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
      </a:schemeClr>
    </cs:fillRef>
    <cs:effectRef idx="0"/>
    <cs:fontRef idx="minor">
      <a:schemeClr val="tx1"/>
    </cs:fontRef>
    <cs:spPr>
      <a:ln>
        <a:round/>
      </a:ln>
    </cs:spPr>
  </cs:upBar>
  <cs:valueAxis>
    <cs:lnRef idx="1">
      <a:schemeClr val="tx1">
        <a:tint val="75%"/>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purl.oclc.org/ooxml/drawingml/main" id="102">
  <cs:axisTitle>
    <cs:lnRef idx="0"/>
    <cs:fillRef idx="0"/>
    <cs:effectRef idx="0"/>
    <cs:fontRef idx="minor">
      <a:schemeClr val="tx1"/>
    </cs:fontRef>
    <cs:defRPr sz="1000" b="1" kern="1200"/>
  </cs:axisTitle>
  <cs:categoryAxis>
    <cs:lnRef idx="1">
      <a:schemeClr val="tx1">
        <a:tint val="75%"/>
      </a:schemeClr>
    </cs:lnRef>
    <cs:fillRef idx="0"/>
    <cs:effectRef idx="0"/>
    <cs:fontRef idx="minor">
      <a:schemeClr val="tx1"/>
    </cs:fontRef>
    <cs:spPr>
      <a:ln>
        <a:round/>
      </a:ln>
    </cs:spPr>
    <cs:defRPr sz="1000" kern="1200"/>
  </cs:categoryAxis>
  <cs:chartArea mods="allowNoFillOverride allowNoLineOverride">
    <cs:lnRef idx="1">
      <a:schemeClr val="tx1">
        <a:tint val="75%"/>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
            <a:lumOff val="35%"/>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
      </a:schemeClr>
    </cs:lnRef>
    <cs:fillRef idx="0"/>
    <cs:effectRef idx="0"/>
    <cs:fontRef idx="minor">
      <a:schemeClr val="tx1"/>
    </cs:fontRef>
    <cs:spPr>
      <a:ln>
        <a:round/>
      </a:ln>
    </cs:spPr>
    <cs:defRPr sz="1000" kern="1200"/>
  </cs:dataTable>
  <cs:downBar>
    <cs:lnRef idx="1">
      <a:schemeClr val="tx1"/>
    </cs:lnRef>
    <cs:fillRef idx="1">
      <a:schemeClr val="dk1">
        <a:tint val="95%"/>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
      </a:schemeClr>
    </cs:lnRef>
    <cs:fillRef idx="0"/>
    <cs:effectRef idx="0"/>
    <cs:fontRef idx="minor">
      <a:schemeClr val="tx1"/>
    </cs:fontRef>
    <cs:spPr>
      <a:ln>
        <a:round/>
      </a:ln>
    </cs:spPr>
  </cs:floor>
  <cs:gridlineMajor>
    <cs:lnRef idx="1">
      <a:schemeClr val="tx1">
        <a:tint val="75%"/>
      </a:schemeClr>
    </cs:lnRef>
    <cs:fillRef idx="0"/>
    <cs:effectRef idx="0"/>
    <cs:fontRef idx="minor">
      <a:schemeClr val="tx1"/>
    </cs:fontRef>
    <cs:spPr>
      <a:ln>
        <a:round/>
      </a:ln>
    </cs:spPr>
  </cs:gridlineMajor>
  <cs:gridlineMinor>
    <cs:lnRef idx="1">
      <a:schemeClr val="tx1">
        <a:tint val="5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
      </a:schemeClr>
    </cs:fillRef>
    <cs:effectRef idx="0"/>
    <cs:fontRef idx="minor">
      <a:schemeClr val="tx1"/>
    </cs:fontRef>
    <cs:spPr>
      <a:ln>
        <a:round/>
      </a:ln>
    </cs:spPr>
  </cs:upBar>
  <cs:valueAxis>
    <cs:lnRef idx="1">
      <a:schemeClr val="tx1">
        <a:tint val="75%"/>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purl.oclc.org/ooxml/drawingml/main" id="102">
  <cs:axisTitle>
    <cs:lnRef idx="0"/>
    <cs:fillRef idx="0"/>
    <cs:effectRef idx="0"/>
    <cs:fontRef idx="minor">
      <a:schemeClr val="tx1"/>
    </cs:fontRef>
    <cs:defRPr sz="1000" b="1" kern="1200"/>
  </cs:axisTitle>
  <cs:categoryAxis>
    <cs:lnRef idx="1">
      <a:schemeClr val="tx1">
        <a:tint val="75%"/>
      </a:schemeClr>
    </cs:lnRef>
    <cs:fillRef idx="0"/>
    <cs:effectRef idx="0"/>
    <cs:fontRef idx="minor">
      <a:schemeClr val="tx1"/>
    </cs:fontRef>
    <cs:spPr>
      <a:ln>
        <a:round/>
      </a:ln>
    </cs:spPr>
    <cs:defRPr sz="1000" kern="1200"/>
  </cs:categoryAxis>
  <cs:chartArea mods="allowNoFillOverride allowNoLineOverride">
    <cs:lnRef idx="1">
      <a:schemeClr val="tx1">
        <a:tint val="75%"/>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
            <a:lumOff val="35%"/>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
      </a:schemeClr>
    </cs:lnRef>
    <cs:fillRef idx="0"/>
    <cs:effectRef idx="0"/>
    <cs:fontRef idx="minor">
      <a:schemeClr val="tx1"/>
    </cs:fontRef>
    <cs:spPr>
      <a:ln>
        <a:round/>
      </a:ln>
    </cs:spPr>
    <cs:defRPr sz="1000" kern="1200"/>
  </cs:dataTable>
  <cs:downBar>
    <cs:lnRef idx="1">
      <a:schemeClr val="tx1"/>
    </cs:lnRef>
    <cs:fillRef idx="1">
      <a:schemeClr val="dk1">
        <a:tint val="95%"/>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
      </a:schemeClr>
    </cs:lnRef>
    <cs:fillRef idx="0"/>
    <cs:effectRef idx="0"/>
    <cs:fontRef idx="minor">
      <a:schemeClr val="tx1"/>
    </cs:fontRef>
    <cs:spPr>
      <a:ln>
        <a:round/>
      </a:ln>
    </cs:spPr>
  </cs:floor>
  <cs:gridlineMajor>
    <cs:lnRef idx="1">
      <a:schemeClr val="tx1">
        <a:tint val="75%"/>
      </a:schemeClr>
    </cs:lnRef>
    <cs:fillRef idx="0"/>
    <cs:effectRef idx="0"/>
    <cs:fontRef idx="minor">
      <a:schemeClr val="tx1"/>
    </cs:fontRef>
    <cs:spPr>
      <a:ln>
        <a:round/>
      </a:ln>
    </cs:spPr>
  </cs:gridlineMajor>
  <cs:gridlineMinor>
    <cs:lnRef idx="1">
      <a:schemeClr val="tx1">
        <a:tint val="5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
      </a:schemeClr>
    </cs:fillRef>
    <cs:effectRef idx="0"/>
    <cs:fontRef idx="minor">
      <a:schemeClr val="tx1"/>
    </cs:fontRef>
    <cs:spPr>
      <a:ln>
        <a:round/>
      </a:ln>
    </cs:spPr>
  </cs:upBar>
  <cs:valueAxis>
    <cs:lnRef idx="1">
      <a:schemeClr val="tx1">
        <a:tint val="75%"/>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purl.oclc.org/ooxml/drawingml/main" id="102">
  <cs:axisTitle>
    <cs:lnRef idx="0"/>
    <cs:fillRef idx="0"/>
    <cs:effectRef idx="0"/>
    <cs:fontRef idx="minor">
      <a:schemeClr val="tx1"/>
    </cs:fontRef>
    <cs:defRPr sz="1000" b="1" kern="1200"/>
  </cs:axisTitle>
  <cs:categoryAxis>
    <cs:lnRef idx="1">
      <a:schemeClr val="tx1">
        <a:tint val="75%"/>
      </a:schemeClr>
    </cs:lnRef>
    <cs:fillRef idx="0"/>
    <cs:effectRef idx="0"/>
    <cs:fontRef idx="minor">
      <a:schemeClr val="tx1"/>
    </cs:fontRef>
    <cs:spPr>
      <a:ln>
        <a:round/>
      </a:ln>
    </cs:spPr>
    <cs:defRPr sz="1000" kern="1200"/>
  </cs:categoryAxis>
  <cs:chartArea mods="allowNoFillOverride allowNoLineOverride">
    <cs:lnRef idx="1">
      <a:schemeClr val="tx1">
        <a:tint val="75%"/>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
            <a:lumOff val="35%"/>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
      </a:schemeClr>
    </cs:lnRef>
    <cs:fillRef idx="0"/>
    <cs:effectRef idx="0"/>
    <cs:fontRef idx="minor">
      <a:schemeClr val="tx1"/>
    </cs:fontRef>
    <cs:spPr>
      <a:ln>
        <a:round/>
      </a:ln>
    </cs:spPr>
    <cs:defRPr sz="1000" kern="1200"/>
  </cs:dataTable>
  <cs:downBar>
    <cs:lnRef idx="1">
      <a:schemeClr val="tx1"/>
    </cs:lnRef>
    <cs:fillRef idx="1">
      <a:schemeClr val="dk1">
        <a:tint val="95%"/>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
      </a:schemeClr>
    </cs:lnRef>
    <cs:fillRef idx="0"/>
    <cs:effectRef idx="0"/>
    <cs:fontRef idx="minor">
      <a:schemeClr val="tx1"/>
    </cs:fontRef>
    <cs:spPr>
      <a:ln>
        <a:round/>
      </a:ln>
    </cs:spPr>
  </cs:floor>
  <cs:gridlineMajor>
    <cs:lnRef idx="1">
      <a:schemeClr val="tx1">
        <a:tint val="75%"/>
      </a:schemeClr>
    </cs:lnRef>
    <cs:fillRef idx="0"/>
    <cs:effectRef idx="0"/>
    <cs:fontRef idx="minor">
      <a:schemeClr val="tx1"/>
    </cs:fontRef>
    <cs:spPr>
      <a:ln>
        <a:round/>
      </a:ln>
    </cs:spPr>
  </cs:gridlineMajor>
  <cs:gridlineMinor>
    <cs:lnRef idx="1">
      <a:schemeClr val="tx1">
        <a:tint val="5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
      </a:schemeClr>
    </cs:fillRef>
    <cs:effectRef idx="0"/>
    <cs:fontRef idx="minor">
      <a:schemeClr val="tx1"/>
    </cs:fontRef>
    <cs:spPr>
      <a:ln>
        <a:round/>
      </a:ln>
    </cs:spPr>
  </cs:upBar>
  <cs:valueAxis>
    <cs:lnRef idx="1">
      <a:schemeClr val="tx1">
        <a:tint val="75%"/>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purl.oclc.org/ooxml/drawingml/main" id="102">
  <cs:axisTitle>
    <cs:lnRef idx="0"/>
    <cs:fillRef idx="0"/>
    <cs:effectRef idx="0"/>
    <cs:fontRef idx="minor">
      <a:schemeClr val="tx1"/>
    </cs:fontRef>
    <cs:defRPr sz="1000" b="1" kern="1200"/>
  </cs:axisTitle>
  <cs:categoryAxis>
    <cs:lnRef idx="1">
      <a:schemeClr val="tx1">
        <a:tint val="75%"/>
      </a:schemeClr>
    </cs:lnRef>
    <cs:fillRef idx="0"/>
    <cs:effectRef idx="0"/>
    <cs:fontRef idx="minor">
      <a:schemeClr val="tx1"/>
    </cs:fontRef>
    <cs:spPr>
      <a:ln>
        <a:round/>
      </a:ln>
    </cs:spPr>
    <cs:defRPr sz="1000" kern="1200"/>
  </cs:categoryAxis>
  <cs:chartArea mods="allowNoFillOverride allowNoLineOverride">
    <cs:lnRef idx="1">
      <a:schemeClr val="tx1">
        <a:tint val="75%"/>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
            <a:lumOff val="35%"/>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
      </a:schemeClr>
    </cs:lnRef>
    <cs:fillRef idx="0"/>
    <cs:effectRef idx="0"/>
    <cs:fontRef idx="minor">
      <a:schemeClr val="tx1"/>
    </cs:fontRef>
    <cs:spPr>
      <a:ln>
        <a:round/>
      </a:ln>
    </cs:spPr>
    <cs:defRPr sz="1000" kern="1200"/>
  </cs:dataTable>
  <cs:downBar>
    <cs:lnRef idx="1">
      <a:schemeClr val="tx1"/>
    </cs:lnRef>
    <cs:fillRef idx="1">
      <a:schemeClr val="dk1">
        <a:tint val="95%"/>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
      </a:schemeClr>
    </cs:lnRef>
    <cs:fillRef idx="0"/>
    <cs:effectRef idx="0"/>
    <cs:fontRef idx="minor">
      <a:schemeClr val="tx1"/>
    </cs:fontRef>
    <cs:spPr>
      <a:ln>
        <a:round/>
      </a:ln>
    </cs:spPr>
  </cs:floor>
  <cs:gridlineMajor>
    <cs:lnRef idx="1">
      <a:schemeClr val="tx1">
        <a:tint val="75%"/>
      </a:schemeClr>
    </cs:lnRef>
    <cs:fillRef idx="0"/>
    <cs:effectRef idx="0"/>
    <cs:fontRef idx="minor">
      <a:schemeClr val="tx1"/>
    </cs:fontRef>
    <cs:spPr>
      <a:ln>
        <a:round/>
      </a:ln>
    </cs:spPr>
  </cs:gridlineMajor>
  <cs:gridlineMinor>
    <cs:lnRef idx="1">
      <a:schemeClr val="tx1">
        <a:tint val="5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
      </a:schemeClr>
    </cs:fillRef>
    <cs:effectRef idx="0"/>
    <cs:fontRef idx="minor">
      <a:schemeClr val="tx1"/>
    </cs:fontRef>
    <cs:spPr>
      <a:ln>
        <a:round/>
      </a:ln>
    </cs:spPr>
  </cs:upBar>
  <cs:valueAxis>
    <cs:lnRef idx="1">
      <a:schemeClr val="tx1">
        <a:tint val="75%"/>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purl.oclc.org/ooxml/drawingml/main" id="102">
  <cs:axisTitle>
    <cs:lnRef idx="0"/>
    <cs:fillRef idx="0"/>
    <cs:effectRef idx="0"/>
    <cs:fontRef idx="minor">
      <a:schemeClr val="tx1"/>
    </cs:fontRef>
    <cs:defRPr sz="1000" b="1" kern="1200"/>
  </cs:axisTitle>
  <cs:categoryAxis>
    <cs:lnRef idx="1">
      <a:schemeClr val="tx1">
        <a:tint val="75%"/>
      </a:schemeClr>
    </cs:lnRef>
    <cs:fillRef idx="0"/>
    <cs:effectRef idx="0"/>
    <cs:fontRef idx="minor">
      <a:schemeClr val="tx1"/>
    </cs:fontRef>
    <cs:spPr>
      <a:ln>
        <a:round/>
      </a:ln>
    </cs:spPr>
    <cs:defRPr sz="1000" kern="1200"/>
  </cs:categoryAxis>
  <cs:chartArea mods="allowNoFillOverride allowNoLineOverride">
    <cs:lnRef idx="1">
      <a:schemeClr val="tx1">
        <a:tint val="75%"/>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
            <a:lumOff val="35%"/>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
      </a:schemeClr>
    </cs:lnRef>
    <cs:fillRef idx="0"/>
    <cs:effectRef idx="0"/>
    <cs:fontRef idx="minor">
      <a:schemeClr val="tx1"/>
    </cs:fontRef>
    <cs:spPr>
      <a:ln>
        <a:round/>
      </a:ln>
    </cs:spPr>
    <cs:defRPr sz="1000" kern="1200"/>
  </cs:dataTable>
  <cs:downBar>
    <cs:lnRef idx="1">
      <a:schemeClr val="tx1"/>
    </cs:lnRef>
    <cs:fillRef idx="1">
      <a:schemeClr val="dk1">
        <a:tint val="95%"/>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
      </a:schemeClr>
    </cs:lnRef>
    <cs:fillRef idx="0"/>
    <cs:effectRef idx="0"/>
    <cs:fontRef idx="minor">
      <a:schemeClr val="tx1"/>
    </cs:fontRef>
    <cs:spPr>
      <a:ln>
        <a:round/>
      </a:ln>
    </cs:spPr>
  </cs:floor>
  <cs:gridlineMajor>
    <cs:lnRef idx="1">
      <a:schemeClr val="tx1">
        <a:tint val="75%"/>
      </a:schemeClr>
    </cs:lnRef>
    <cs:fillRef idx="0"/>
    <cs:effectRef idx="0"/>
    <cs:fontRef idx="minor">
      <a:schemeClr val="tx1"/>
    </cs:fontRef>
    <cs:spPr>
      <a:ln>
        <a:round/>
      </a:ln>
    </cs:spPr>
  </cs:gridlineMajor>
  <cs:gridlineMinor>
    <cs:lnRef idx="1">
      <a:schemeClr val="tx1">
        <a:tint val="5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
      </a:schemeClr>
    </cs:fillRef>
    <cs:effectRef idx="0"/>
    <cs:fontRef idx="minor">
      <a:schemeClr val="tx1"/>
    </cs:fontRef>
    <cs:spPr>
      <a:ln>
        <a:round/>
      </a:ln>
    </cs:spPr>
  </cs:upBar>
  <cs:valueAxis>
    <cs:lnRef idx="1">
      <a:schemeClr val="tx1">
        <a:tint val="75%"/>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purl.oclc.org/ooxml/drawingml/main" id="102">
  <cs:axisTitle>
    <cs:lnRef idx="0"/>
    <cs:fillRef idx="0"/>
    <cs:effectRef idx="0"/>
    <cs:fontRef idx="minor">
      <a:schemeClr val="tx1"/>
    </cs:fontRef>
    <cs:defRPr sz="1000" b="1" kern="1200"/>
  </cs:axisTitle>
  <cs:categoryAxis>
    <cs:lnRef idx="1">
      <a:schemeClr val="tx1">
        <a:tint val="75%"/>
      </a:schemeClr>
    </cs:lnRef>
    <cs:fillRef idx="0"/>
    <cs:effectRef idx="0"/>
    <cs:fontRef idx="minor">
      <a:schemeClr val="tx1"/>
    </cs:fontRef>
    <cs:spPr>
      <a:ln>
        <a:round/>
      </a:ln>
    </cs:spPr>
    <cs:defRPr sz="1000" kern="1200"/>
  </cs:categoryAxis>
  <cs:chartArea mods="allowNoFillOverride allowNoLineOverride">
    <cs:lnRef idx="1">
      <a:schemeClr val="tx1">
        <a:tint val="75%"/>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
            <a:lumOff val="35%"/>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
      </a:schemeClr>
    </cs:lnRef>
    <cs:fillRef idx="0"/>
    <cs:effectRef idx="0"/>
    <cs:fontRef idx="minor">
      <a:schemeClr val="tx1"/>
    </cs:fontRef>
    <cs:spPr>
      <a:ln>
        <a:round/>
      </a:ln>
    </cs:spPr>
    <cs:defRPr sz="1000" kern="1200"/>
  </cs:dataTable>
  <cs:downBar>
    <cs:lnRef idx="1">
      <a:schemeClr val="tx1"/>
    </cs:lnRef>
    <cs:fillRef idx="1">
      <a:schemeClr val="dk1">
        <a:tint val="95%"/>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
      </a:schemeClr>
    </cs:lnRef>
    <cs:fillRef idx="0"/>
    <cs:effectRef idx="0"/>
    <cs:fontRef idx="minor">
      <a:schemeClr val="tx1"/>
    </cs:fontRef>
    <cs:spPr>
      <a:ln>
        <a:round/>
      </a:ln>
    </cs:spPr>
  </cs:floor>
  <cs:gridlineMajor>
    <cs:lnRef idx="1">
      <a:schemeClr val="tx1">
        <a:tint val="75%"/>
      </a:schemeClr>
    </cs:lnRef>
    <cs:fillRef idx="0"/>
    <cs:effectRef idx="0"/>
    <cs:fontRef idx="minor">
      <a:schemeClr val="tx1"/>
    </cs:fontRef>
    <cs:spPr>
      <a:ln>
        <a:round/>
      </a:ln>
    </cs:spPr>
  </cs:gridlineMajor>
  <cs:gridlineMinor>
    <cs:lnRef idx="1">
      <a:schemeClr val="tx1">
        <a:tint val="5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
      </a:schemeClr>
    </cs:fillRef>
    <cs:effectRef idx="0"/>
    <cs:fontRef idx="minor">
      <a:schemeClr val="tx1"/>
    </cs:fontRef>
    <cs:spPr>
      <a:ln>
        <a:round/>
      </a:ln>
    </cs:spPr>
  </cs:upBar>
  <cs:valueAxis>
    <cs:lnRef idx="1">
      <a:schemeClr val="tx1">
        <a:tint val="75%"/>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Joh07</b:Tag>
    <b:SourceType>Book</b:SourceType>
    <b:Guid>{52B3A70F-647B-41BE-B89D-5BCFD8034298}</b:Guid>
    <b:Author>
      <b:Author>
        <b:NameList>
          <b:Person>
            <b:Last>Urry</b:Last>
            <b:First>John</b:First>
          </b:Person>
        </b:NameList>
      </b:Author>
    </b:Author>
    <b:Title>Mobilities</b:Title>
    <b:Year>2007</b:Year>
    <b:City>Cambridge</b:City>
    <b:Publisher>Polity</b:Publisher>
    <b:RefOrder>1</b:RefOrder>
  </b:Source>
</b:Sources>
</file>

<file path=customXml/itemProps1.xml><?xml version="1.0" encoding="utf-8"?>
<ds:datastoreItem xmlns:ds="http://purl.oclc.org/ooxml/officeDocument/customXml" ds:itemID="{CAB8ECB0-8EFB-468A-8B23-951E68A25CBE}">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18</TotalTime>
  <Pages>16</Pages>
  <Words>38509</Words>
  <Characters>219507</Characters>
  <Application>Microsoft Office Word</Application>
  <DocSecurity>0</DocSecurity>
  <Lines>1829</Lines>
  <Paragraphs>515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Residential self-selection and commute mode choice in the context of mobility hubs: A Dutch case Study</vt:lpstr>
      <vt:lpstr>Paper Title (use style: paper title)</vt:lpstr>
    </vt:vector>
  </TitlesOfParts>
  <Company/>
  <LinksUpToDate>false</LinksUpToDate>
  <CharactersWithSpaces>257501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Residential self-selection and commute mode choice in the context of mobility hubs: A Dutch case Study</dc:title>
  <dc:subject>Eric Top</dc:subject>
  <dc:creator>IEEE</dc:creator>
  <cp:keywords/>
  <cp:lastModifiedBy>EJTop@outlook.com</cp:lastModifiedBy>
  <cp:revision>9</cp:revision>
  <cp:lastPrinted>2020-01-13T22:26:00Z</cp:lastPrinted>
  <dcterms:created xsi:type="dcterms:W3CDTF">2020-01-27T15:45:00Z</dcterms:created>
  <dcterms:modified xsi:type="dcterms:W3CDTF">2020-01-27T22:02:00Z</dcterms:modified>
</cp:coreProperties>
</file>

<file path=docProps/custom.xml><?xml version="1.0" encoding="utf-8"?>
<Properties xmlns="http://purl.oclc.org/ooxml/officeDocument/customProperties" xmlns:vt="http://purl.oclc.org/ooxml/officeDocument/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7d0f6dd5-a53d-3ba0-b4a4-d849f359c97e</vt:lpwstr>
  </property>
  <property fmtid="{D5CDD505-2E9C-101B-9397-08002B2CF9AE}" pid="24" name="Mendeley Citation Style_1">
    <vt:lpwstr>http://www.zotero.org/styles/ieee</vt:lpwstr>
  </property>
</Properties>
</file>