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A37B1" w14:textId="77777777" w:rsidR="004E2C62" w:rsidRDefault="004E2C62" w:rsidP="006B55BB"/>
    <w:p w14:paraId="53673D18" w14:textId="77777777" w:rsidR="004E2C62" w:rsidRDefault="004E2C62" w:rsidP="006B55BB"/>
    <w:p w14:paraId="3A9F999C" w14:textId="77777777" w:rsidR="004E2C62" w:rsidRDefault="004E2C62" w:rsidP="006B55BB"/>
    <w:p w14:paraId="17D4D1FC" w14:textId="77777777" w:rsidR="004E2C62" w:rsidRDefault="004E2C62" w:rsidP="006B55BB"/>
    <w:p w14:paraId="5A8881FE" w14:textId="77777777" w:rsidR="004E2C62" w:rsidRDefault="004E2C62" w:rsidP="006B55BB"/>
    <w:p w14:paraId="45EF5369" w14:textId="77777777" w:rsidR="00A52D8D" w:rsidRDefault="00A52D8D" w:rsidP="006B55BB"/>
    <w:p w14:paraId="095FB3B2" w14:textId="77777777" w:rsidR="00A52D8D" w:rsidRDefault="00A52D8D" w:rsidP="006B55BB"/>
    <w:p w14:paraId="377D7142" w14:textId="77777777" w:rsidR="00A52D8D" w:rsidRDefault="00A52D8D" w:rsidP="006B55BB"/>
    <w:p w14:paraId="626EB04A" w14:textId="77777777" w:rsidR="00A52D8D" w:rsidRDefault="00A52D8D" w:rsidP="006B55BB"/>
    <w:p w14:paraId="4B6DF361" w14:textId="77777777" w:rsidR="00A52D8D" w:rsidRDefault="00A52D8D" w:rsidP="006B55BB"/>
    <w:p w14:paraId="541EAAAD" w14:textId="77777777" w:rsidR="00A52D8D" w:rsidRDefault="00A52D8D" w:rsidP="006B55BB"/>
    <w:p w14:paraId="378691E7" w14:textId="77777777" w:rsidR="00A52D8D" w:rsidRDefault="00A52D8D" w:rsidP="006B55BB"/>
    <w:p w14:paraId="409829B4" w14:textId="77777777" w:rsidR="00A52D8D" w:rsidRDefault="00A52D8D" w:rsidP="006B55BB"/>
    <w:p w14:paraId="2884AF9D" w14:textId="77777777" w:rsidR="00A52D8D" w:rsidRDefault="00A52D8D" w:rsidP="006B55BB"/>
    <w:p w14:paraId="0551EFFB" w14:textId="77777777" w:rsidR="00A52D8D" w:rsidRDefault="00A52D8D" w:rsidP="006B55BB"/>
    <w:p w14:paraId="337030C6" w14:textId="77777777" w:rsidR="00A52D8D" w:rsidRDefault="00A52D8D" w:rsidP="006B55BB"/>
    <w:p w14:paraId="720BE56E" w14:textId="77777777" w:rsidR="00A52D8D" w:rsidRDefault="00A52D8D" w:rsidP="006B55BB"/>
    <w:p w14:paraId="4D6DB46E" w14:textId="77777777" w:rsidR="00A52D8D" w:rsidRDefault="00A52D8D" w:rsidP="006B55BB"/>
    <w:p w14:paraId="04AFC964" w14:textId="77777777" w:rsidR="00A52D8D" w:rsidRDefault="00A52D8D" w:rsidP="006B55BB"/>
    <w:p w14:paraId="66CDA43E" w14:textId="77777777" w:rsidR="00A52D8D" w:rsidRDefault="00A52D8D" w:rsidP="006B55BB"/>
    <w:p w14:paraId="6387E2ED" w14:textId="77777777" w:rsidR="000D24B7" w:rsidRPr="000D24B7" w:rsidRDefault="004E2C62" w:rsidP="000D24B7">
      <w:pPr>
        <w:jc w:val="center"/>
        <w:rPr>
          <w:rFonts w:ascii="Century Gothic" w:hAnsi="Century Gothic"/>
          <w:sz w:val="36"/>
        </w:rPr>
      </w:pPr>
      <w:r w:rsidRPr="000D24B7">
        <w:rPr>
          <w:rFonts w:ascii="Century Gothic" w:hAnsi="Century Gothic"/>
          <w:sz w:val="36"/>
        </w:rPr>
        <w:t>Region</w:t>
      </w:r>
      <w:r w:rsidR="000D24B7" w:rsidRPr="000D24B7">
        <w:rPr>
          <w:rFonts w:ascii="Century Gothic" w:hAnsi="Century Gothic"/>
          <w:sz w:val="36"/>
        </w:rPr>
        <w:t>ale kennisdeling door spin-offs</w:t>
      </w:r>
    </w:p>
    <w:p w14:paraId="0A46792C" w14:textId="6F198772" w:rsidR="004E2C62" w:rsidRPr="000D24B7" w:rsidRDefault="004E2C62" w:rsidP="000D24B7">
      <w:pPr>
        <w:jc w:val="center"/>
        <w:rPr>
          <w:rFonts w:ascii="Century Gothic" w:hAnsi="Century Gothic"/>
          <w:sz w:val="36"/>
        </w:rPr>
      </w:pPr>
      <w:r w:rsidRPr="000D24B7">
        <w:rPr>
          <w:rFonts w:ascii="Century Gothic" w:hAnsi="Century Gothic"/>
          <w:sz w:val="36"/>
        </w:rPr>
        <w:t xml:space="preserve">in </w:t>
      </w:r>
      <w:r w:rsidR="00FB3C43" w:rsidRPr="000D24B7">
        <w:rPr>
          <w:rFonts w:ascii="Century Gothic" w:hAnsi="Century Gothic"/>
          <w:sz w:val="36"/>
        </w:rPr>
        <w:t xml:space="preserve">regio </w:t>
      </w:r>
      <w:r w:rsidRPr="000D24B7">
        <w:rPr>
          <w:rFonts w:ascii="Century Gothic" w:hAnsi="Century Gothic"/>
          <w:sz w:val="36"/>
        </w:rPr>
        <w:t>Woerden en</w:t>
      </w:r>
      <w:r w:rsidR="00FB3C43" w:rsidRPr="000D24B7">
        <w:rPr>
          <w:rFonts w:ascii="Century Gothic" w:hAnsi="Century Gothic"/>
          <w:sz w:val="36"/>
        </w:rPr>
        <w:t xml:space="preserve"> regio</w:t>
      </w:r>
      <w:r w:rsidRPr="000D24B7">
        <w:rPr>
          <w:rFonts w:ascii="Century Gothic" w:hAnsi="Century Gothic"/>
          <w:sz w:val="36"/>
        </w:rPr>
        <w:t xml:space="preserve"> Veenendaal</w:t>
      </w:r>
    </w:p>
    <w:p w14:paraId="41EFD81F" w14:textId="77777777" w:rsidR="004E2C62" w:rsidRDefault="004E2C62" w:rsidP="006B55BB"/>
    <w:p w14:paraId="436D9489" w14:textId="77777777" w:rsidR="000D24B7" w:rsidRDefault="000D24B7" w:rsidP="006B55BB"/>
    <w:p w14:paraId="5DE82575" w14:textId="77777777" w:rsidR="000D24B7" w:rsidRDefault="000D24B7" w:rsidP="006B55BB"/>
    <w:p w14:paraId="2DF1E39B" w14:textId="77777777" w:rsidR="000D24B7" w:rsidRDefault="000D24B7" w:rsidP="006B55BB"/>
    <w:p w14:paraId="33B56C94" w14:textId="77777777" w:rsidR="000D24B7" w:rsidRDefault="000D24B7" w:rsidP="006B55BB"/>
    <w:p w14:paraId="5213373E" w14:textId="77777777" w:rsidR="000D24B7" w:rsidRDefault="000D24B7" w:rsidP="006B55BB"/>
    <w:p w14:paraId="463B1852" w14:textId="77777777" w:rsidR="000D24B7" w:rsidRDefault="000D24B7" w:rsidP="006B55BB"/>
    <w:p w14:paraId="6420D09D" w14:textId="77777777" w:rsidR="000D24B7" w:rsidRDefault="000D24B7" w:rsidP="006B55BB"/>
    <w:p w14:paraId="59EFF42B" w14:textId="77777777" w:rsidR="000D24B7" w:rsidRDefault="000D24B7" w:rsidP="006B55BB"/>
    <w:p w14:paraId="65770D5B" w14:textId="77777777" w:rsidR="000D24B7" w:rsidRDefault="000D24B7" w:rsidP="006B55BB"/>
    <w:p w14:paraId="23483FF1" w14:textId="77777777" w:rsidR="000D24B7" w:rsidRDefault="000D24B7" w:rsidP="006B55BB"/>
    <w:p w14:paraId="25C9B8E6" w14:textId="77777777" w:rsidR="000D24B7" w:rsidRDefault="000D24B7" w:rsidP="006B55BB"/>
    <w:p w14:paraId="46C719CF" w14:textId="77777777" w:rsidR="000D24B7" w:rsidRDefault="000D24B7" w:rsidP="006B55BB"/>
    <w:p w14:paraId="5F35F443" w14:textId="77777777" w:rsidR="000D24B7" w:rsidRDefault="000D24B7" w:rsidP="006B55BB"/>
    <w:p w14:paraId="33E894EB" w14:textId="77777777" w:rsidR="000D24B7" w:rsidRDefault="000D24B7" w:rsidP="006B55BB"/>
    <w:p w14:paraId="7CA5C865" w14:textId="77777777" w:rsidR="000D24B7" w:rsidRDefault="000D24B7" w:rsidP="006B55BB"/>
    <w:p w14:paraId="7F05C066" w14:textId="77777777" w:rsidR="000D24B7" w:rsidRDefault="000D24B7" w:rsidP="006B55BB"/>
    <w:p w14:paraId="78F18122" w14:textId="1F7C6D37" w:rsidR="004E2C62" w:rsidRDefault="004E2C62" w:rsidP="006B55BB">
      <w:r>
        <w:t>Master thesis</w:t>
      </w:r>
    </w:p>
    <w:p w14:paraId="63F3EA9D" w14:textId="0376AB34" w:rsidR="004E2C62" w:rsidRDefault="004E2C62" w:rsidP="006B55BB">
      <w:r>
        <w:t>Economische geografie</w:t>
      </w:r>
    </w:p>
    <w:p w14:paraId="786E0BD1" w14:textId="77777777" w:rsidR="00786C43" w:rsidRDefault="00786C43" w:rsidP="00786C43">
      <w:r>
        <w:t>Universiteit Utrecht</w:t>
      </w:r>
    </w:p>
    <w:p w14:paraId="30C8454A" w14:textId="77777777" w:rsidR="00786C43" w:rsidRDefault="00786C43" w:rsidP="00786C43">
      <w:r>
        <w:t>Economic Board Utrecht</w:t>
      </w:r>
    </w:p>
    <w:p w14:paraId="55AD67A5" w14:textId="77777777" w:rsidR="00786C43" w:rsidRDefault="00786C43" w:rsidP="006B55BB"/>
    <w:p w14:paraId="2942F7DA" w14:textId="77777777" w:rsidR="004E2C62" w:rsidRDefault="004E2C62" w:rsidP="006B55BB">
      <w:r>
        <w:t>Stefan Kruunenberg</w:t>
      </w:r>
    </w:p>
    <w:p w14:paraId="7A92A3A8" w14:textId="77777777" w:rsidR="004E2C62" w:rsidRDefault="004E2C62" w:rsidP="006B55BB">
      <w:r>
        <w:t>3469271</w:t>
      </w:r>
    </w:p>
    <w:p w14:paraId="1EB341A7" w14:textId="4D4C0443" w:rsidR="004E2C62" w:rsidRDefault="00252B84" w:rsidP="006B55BB">
      <w:r>
        <w:t>9 oktober</w:t>
      </w:r>
      <w:r w:rsidR="004E2C62">
        <w:t xml:space="preserve"> 2016</w:t>
      </w:r>
    </w:p>
    <w:p w14:paraId="4C55B930" w14:textId="2C7CD4D8" w:rsidR="004400C3" w:rsidRDefault="00602C93" w:rsidP="00786C43">
      <w:pPr>
        <w:pStyle w:val="Title"/>
      </w:pPr>
      <w:r>
        <w:br w:type="column"/>
      </w:r>
      <w:bookmarkStart w:id="0" w:name="_Toc337655406"/>
      <w:r w:rsidR="004400C3" w:rsidRPr="00786C43">
        <w:lastRenderedPageBreak/>
        <w:t>Voorwoord</w:t>
      </w:r>
      <w:bookmarkEnd w:id="0"/>
    </w:p>
    <w:p w14:paraId="2B3251F9" w14:textId="31DAF031" w:rsidR="004400C3" w:rsidRDefault="00786C43" w:rsidP="006B55BB">
      <w:r>
        <w:t>Het tot stand komen van deze master thesis heeft lang geduurd. Het vele werk dat er in is gaan zitten is nu eindelijk gedaan. Ik wil graag Monique Rosso en Evelien Boshove van Economic Board Utrecht bedanken voor de hulp die ze mij gegeven hebben tijdens mijn stage en bij het schrijven van dit onderzoek. Ik bedank ook mijn begeleider Oedzge Atzema, die vaak hielp belangrijke knopen door te hakken in het onderzoeksontwerp, en Erik van Ossebrugge en Hugo Emmerzael, die mij gezelschap hielden bij het schrijven van deze thesis. Deze thesis markeert het einde van mijn studie economische geografie, waar ik veel heb geleerd. Niet alleen over de regio’s Woerden en Veenendaal, maar ook over</w:t>
      </w:r>
      <w:r w:rsidR="00142C8D">
        <w:t xml:space="preserve"> het doen van</w:t>
      </w:r>
      <w:r>
        <w:t xml:space="preserve"> onderzoek en over mezelf. </w:t>
      </w:r>
      <w:r w:rsidR="0019726F">
        <w:t>Na deze thesis is het tijd om niet alleen meer te schrijven over kennisdeling, maar ook zelf mijn kennis in de praktijk te brengen.</w:t>
      </w:r>
    </w:p>
    <w:p w14:paraId="7F54D8B4" w14:textId="77777777" w:rsidR="00786C43" w:rsidRDefault="00786C43" w:rsidP="006B55BB"/>
    <w:p w14:paraId="78C9A604" w14:textId="15AC7B1F" w:rsidR="00EF1A01" w:rsidRDefault="00786C43" w:rsidP="006B55BB">
      <w:pPr>
        <w:rPr>
          <w:rFonts w:ascii="Century Gothic" w:hAnsi="Century Gothic"/>
          <w:sz w:val="28"/>
        </w:rPr>
      </w:pPr>
      <w:r>
        <w:br w:type="column"/>
      </w:r>
      <w:r w:rsidR="00EF1A01" w:rsidRPr="001105A9">
        <w:rPr>
          <w:rStyle w:val="TitleChar"/>
        </w:rPr>
        <w:t>Abstract</w:t>
      </w:r>
    </w:p>
    <w:p w14:paraId="07FA2587" w14:textId="77777777" w:rsidR="001C0EEA" w:rsidRDefault="001C0EEA" w:rsidP="006B55BB"/>
    <w:p w14:paraId="5DB48E1E" w14:textId="2FD9357D" w:rsidR="002E73E7" w:rsidRDefault="00EF1A01" w:rsidP="002E73E7">
      <w:pPr>
        <w:ind w:firstLine="720"/>
      </w:pPr>
      <w:r w:rsidRPr="007F678D">
        <w:t>Voor dit onderzoek is geïdentificeerd welke sectoren in de regio’s Woerden en Veenendaal een belangrijke rol in de lokale economie spelen, en hoe deze sectoren zich ontwikkeld hebben tussen 1997 en 2012</w:t>
      </w:r>
      <w:r w:rsidR="00B409EB" w:rsidRPr="007F678D">
        <w:t xml:space="preserve">. </w:t>
      </w:r>
      <w:r w:rsidR="0047245B">
        <w:t xml:space="preserve">De regio’s zijn vergeleken met  de economie van Nederland, provincie Utrecht en met omliggende regio’s. </w:t>
      </w:r>
      <w:r w:rsidR="002E73E7">
        <w:t>Het onderzoek richt zich daarnaast op kennisoverdracht bij het oprichten van een spin-offs in de regio’s Woerden en Veenendaal en de mate waarin deze kennis uitwisselbaar is tussen verschillende sectoren. Door specialisaties van de regio’s en de kennisoverdracht tussen verschillende sectoren die kan plaatsvinden bij een spin-off te vergelijken is onderzocht hoe de kenniseconomie van Woerden en Veenendaal zich ontwikkeld heeft en of hier vliegwiel effecten uit zijn af te leiden. Daarom</w:t>
      </w:r>
      <w:r w:rsidR="002E73E7" w:rsidRPr="007F678D">
        <w:t xml:space="preserve"> is contact opgenomen met de oprichters van bedrijven in deze regio’s die tussen 1998 en 2003 zijn opgericht en hun succes bewezen hebben door meer dan tien jaar te blijven bestaan en in aantallen werkplekken gegroeid te zijn. Deze oprichters zijn gevraagd naar de laatste werkervaring van voor het starten van hun bedrijf, en in hoeverre dit hun nieuwe bedrijf heeft beïnvloed.</w:t>
      </w:r>
    </w:p>
    <w:p w14:paraId="5D24E3ED" w14:textId="1E97233B" w:rsidR="00F153CB" w:rsidRPr="007F678D" w:rsidRDefault="003301AF" w:rsidP="002E73E7">
      <w:pPr>
        <w:ind w:firstLine="720"/>
      </w:pPr>
      <w:r w:rsidRPr="007F678D">
        <w:t xml:space="preserve">De </w:t>
      </w:r>
      <w:r w:rsidR="0047245B">
        <w:t xml:space="preserve">groei in </w:t>
      </w:r>
      <w:r w:rsidRPr="007F678D">
        <w:t>werkgelegenheid</w:t>
      </w:r>
      <w:r w:rsidR="000E5C2E" w:rsidRPr="007F678D">
        <w:t xml:space="preserve"> in regio Woerden </w:t>
      </w:r>
      <w:r w:rsidR="0047245B">
        <w:t>bleef tussen 1997 en 2012 achter bij de rest van Nederland.</w:t>
      </w:r>
      <w:r w:rsidR="000E5C2E" w:rsidRPr="007F678D">
        <w:t xml:space="preserve"> </w:t>
      </w:r>
      <w:r w:rsidRPr="007F678D">
        <w:t xml:space="preserve">Het aantal grote bedrijven in de regio neemt af, terwijl heet aantal ZZP’ers er harder toeneemt dan in de rest van Nederland. </w:t>
      </w:r>
      <w:r w:rsidR="0047245B">
        <w:t>Landbouw, groothandel en bouw zijn de sterkste specialisaties in Woerden</w:t>
      </w:r>
      <w:r w:rsidR="000E5C2E" w:rsidRPr="007F678D">
        <w:t>.</w:t>
      </w:r>
      <w:r w:rsidR="00DE6F12">
        <w:t xml:space="preserve"> </w:t>
      </w:r>
      <w:r w:rsidR="000E5C2E" w:rsidRPr="007F678D">
        <w:t>Financiële dienstverlening, overheidsdiensten, zorg en recreatie zijn juist ondervertegenwoordigd in de regio. ICT is sterk voor Nederland, maar niet in vergelijking met de sterke plaats die de sector in provincie Utrecht heeft.</w:t>
      </w:r>
    </w:p>
    <w:p w14:paraId="74AB999E" w14:textId="45C1D368" w:rsidR="003301AF" w:rsidRPr="007F678D" w:rsidRDefault="003301AF" w:rsidP="006B55BB">
      <w:r w:rsidRPr="007F678D">
        <w:tab/>
      </w:r>
      <w:r w:rsidR="00DE6F12">
        <w:t>Ook in regio Veenendaal bleef werkgelegenheidsgroei iets achter bij het Nederlands gemiddelde.</w:t>
      </w:r>
      <w:r w:rsidRPr="007F678D">
        <w:t xml:space="preserve"> De </w:t>
      </w:r>
      <w:r w:rsidR="00D532F7" w:rsidRPr="007F678D">
        <w:t xml:space="preserve">sector overheidsdiensten </w:t>
      </w:r>
      <w:r w:rsidR="00DE6F12">
        <w:t>biedt er zeer veel banen, met dan</w:t>
      </w:r>
      <w:r w:rsidR="00D532F7" w:rsidRPr="007F678D">
        <w:t>k aan defensie en de nationale politie. Andere sterke punten zijn de hoofdkantoren van woningcorporaties, en de grote hoeveelheid winkels en groothandel. De ICT sector is ook groter dan gemiddeld in Nederland en wordt gestimuleerd door een nieuwe opleiding en de vraag naar ICT-oplossingen vanuit de naastgelegen food-valley</w:t>
      </w:r>
      <w:r w:rsidR="009B487F" w:rsidRPr="007F678D">
        <w:t>. Op de Utrechtse Heuvelrug is de Zorg een belangrijke werkgever</w:t>
      </w:r>
      <w:r w:rsidR="00DE6F12">
        <w:t xml:space="preserve">. </w:t>
      </w:r>
      <w:r w:rsidR="003D28B7">
        <w:t>Een relatief kleine</w:t>
      </w:r>
      <w:r w:rsidR="00DE6F12">
        <w:t xml:space="preserve"> f</w:t>
      </w:r>
      <w:r w:rsidR="00D532F7" w:rsidRPr="007F678D">
        <w:t>inanciële dienstverlening, transport en de sterk gekrompen industrie</w:t>
      </w:r>
      <w:r w:rsidR="007E2B9D" w:rsidRPr="007F678D">
        <w:t xml:space="preserve"> zijn zwakke punten.</w:t>
      </w:r>
    </w:p>
    <w:p w14:paraId="3274F0A3" w14:textId="769ACE6B" w:rsidR="0061646A" w:rsidRDefault="007E2B9D" w:rsidP="00EA2506">
      <w:pPr>
        <w:ind w:firstLine="720"/>
      </w:pPr>
      <w:r w:rsidRPr="007F678D">
        <w:t xml:space="preserve">Van de </w:t>
      </w:r>
      <w:r w:rsidR="005E5CC9">
        <w:t xml:space="preserve">34 </w:t>
      </w:r>
      <w:r w:rsidRPr="007F678D">
        <w:t>ondernemers die ondervraagd zijn, gaf 64,1% vaardigheden en kennis van de vorige baan te gebruiken bij het nieuwe bedrijf, en 38,5% maakte gebruik van het toen opg</w:t>
      </w:r>
      <w:r w:rsidR="00DE6F12">
        <w:t>ebouwde netwerk aan contacten. Slechts é</w:t>
      </w:r>
      <w:r w:rsidR="00DE6F12" w:rsidRPr="007F678D">
        <w:t>én</w:t>
      </w:r>
      <w:r w:rsidRPr="007F678D">
        <w:t xml:space="preserve"> van 39 respondenten kreeg financiële hulp van de vorige werkgever bij het startten van het bedrijf. De </w:t>
      </w:r>
      <w:r w:rsidR="005D684E" w:rsidRPr="007F678D">
        <w:t xml:space="preserve">ondervraagde </w:t>
      </w:r>
      <w:r w:rsidRPr="007F678D">
        <w:t>bedrijven die de meeste werknemers had</w:t>
      </w:r>
      <w:r w:rsidR="005D684E" w:rsidRPr="007F678D">
        <w:t xml:space="preserve">den en het hardst groeiden maken gebruik van kennis uit eerder werk, maar gemiddeld </w:t>
      </w:r>
      <w:r w:rsidR="00DE6F12">
        <w:t>was er geen effect</w:t>
      </w:r>
      <w:r w:rsidR="001D2CAB">
        <w:t xml:space="preserve"> van werkervaring op de groei van de bedrijven</w:t>
      </w:r>
      <w:r w:rsidR="0061646A">
        <w:t>.</w:t>
      </w:r>
    </w:p>
    <w:p w14:paraId="4942CA28" w14:textId="544414CA" w:rsidR="007F678D" w:rsidRPr="007F678D" w:rsidRDefault="005D684E" w:rsidP="0061646A">
      <w:pPr>
        <w:ind w:firstLine="720"/>
      </w:pPr>
      <w:r w:rsidRPr="007F678D">
        <w:t>Er zijn geen sectoren gevonden die buitenproportioneel veel</w:t>
      </w:r>
      <w:r w:rsidR="00DE6F12">
        <w:t xml:space="preserve"> spin-offs voortbrengen, h</w:t>
      </w:r>
      <w:r w:rsidRPr="007F678D">
        <w:t xml:space="preserve">et aantal spin-offs in een sector komt overeen met het aandeel dat de sector in de totale bedrijfspopulatie van de regio’s heeft. Landbouw en zorg zijn de enige sectoren </w:t>
      </w:r>
      <w:r w:rsidR="00F8041A">
        <w:t>waar de regio’s specialisatie in vertoonden, maar die geen spin-offs voortbrachten</w:t>
      </w:r>
      <w:r w:rsidRPr="007F678D">
        <w:t>. De (niet specialistische) zakelijke dienstverlening en handel kennen juist relatief veel spin-offs. Veel respondenten in de handel werkten eerder met leveranciers of fabrikanten, en zijn zich met hun eigen bedrijf op het verhandelen van de producten gaan richten.</w:t>
      </w:r>
      <w:r w:rsidR="0061646A">
        <w:t xml:space="preserve"> </w:t>
      </w:r>
      <w:r w:rsidR="00F745F7">
        <w:t xml:space="preserve">Veel respondenten waren voordat zij ondernemer werden werkzaam buiten de regio waar zij hun bedrijf vestigden. De arbeidsmarkt voor inwoners van de regio’s beslaat een groter gebied dan de onderzochte regio. </w:t>
      </w:r>
      <w:r w:rsidR="0061646A">
        <w:t>Door het kleine aantal respondenten en het feit dat veel werkervaring plaatsvond buiten de regio van bedrijfsoprichting maakt het lastig verdere uitspraken te doen over gerelateerde variëteit in de regio’s.</w:t>
      </w:r>
    </w:p>
    <w:p w14:paraId="459E8CD8" w14:textId="22524B75" w:rsidR="001105A9" w:rsidRPr="007F678D" w:rsidRDefault="00602C93" w:rsidP="008937DE">
      <w:pPr>
        <w:pStyle w:val="Title"/>
        <w:rPr>
          <w:sz w:val="20"/>
        </w:rPr>
      </w:pPr>
      <w:r>
        <w:rPr>
          <w:sz w:val="20"/>
          <w:szCs w:val="20"/>
        </w:rPr>
        <w:br w:type="column"/>
      </w:r>
      <w:bookmarkStart w:id="1" w:name="_Toc316143557"/>
      <w:bookmarkStart w:id="2" w:name="_Toc337655407"/>
      <w:r w:rsidR="001105A9">
        <w:t>Inhoud</w:t>
      </w:r>
      <w:bookmarkEnd w:id="1"/>
      <w:bookmarkEnd w:id="2"/>
    </w:p>
    <w:sdt>
      <w:sdtPr>
        <w:rPr>
          <w:color w:val="auto"/>
          <w:szCs w:val="22"/>
        </w:rPr>
        <w:id w:val="-1852099298"/>
        <w:docPartObj>
          <w:docPartGallery w:val="Table of Contents"/>
          <w:docPartUnique/>
        </w:docPartObj>
      </w:sdtPr>
      <w:sdtEndPr>
        <w:rPr>
          <w:b/>
          <w:bCs/>
          <w:noProof/>
        </w:rPr>
      </w:sdtEndPr>
      <w:sdtContent>
        <w:p w14:paraId="3C1430D8" w14:textId="77777777" w:rsidR="00795D66" w:rsidRDefault="00CD7371">
          <w:pPr>
            <w:pStyle w:val="TOC1"/>
            <w:tabs>
              <w:tab w:val="right" w:leader="dot" w:pos="8290"/>
            </w:tabs>
            <w:rPr>
              <w:rFonts w:asciiTheme="minorHAnsi" w:hAnsiTheme="minorHAnsi"/>
              <w:noProof/>
              <w:color w:val="auto"/>
              <w:sz w:val="24"/>
              <w:lang w:val="en-GB"/>
            </w:rPr>
          </w:pPr>
          <w:r>
            <w:fldChar w:fldCharType="begin"/>
          </w:r>
          <w:r>
            <w:instrText xml:space="preserve"> TOC \t "Heading 1;2;Title;1" </w:instrText>
          </w:r>
          <w:r>
            <w:fldChar w:fldCharType="separate"/>
          </w:r>
          <w:r w:rsidR="00795D66">
            <w:rPr>
              <w:noProof/>
            </w:rPr>
            <w:t>Voorwoord</w:t>
          </w:r>
          <w:r w:rsidR="00795D66">
            <w:rPr>
              <w:noProof/>
            </w:rPr>
            <w:tab/>
          </w:r>
          <w:r w:rsidR="00795D66">
            <w:rPr>
              <w:noProof/>
            </w:rPr>
            <w:fldChar w:fldCharType="begin"/>
          </w:r>
          <w:r w:rsidR="00795D66">
            <w:rPr>
              <w:noProof/>
            </w:rPr>
            <w:instrText xml:space="preserve"> PAGEREF _Toc337655406 \h </w:instrText>
          </w:r>
          <w:r w:rsidR="00795D66">
            <w:rPr>
              <w:noProof/>
            </w:rPr>
          </w:r>
          <w:r w:rsidR="00795D66">
            <w:rPr>
              <w:noProof/>
            </w:rPr>
            <w:fldChar w:fldCharType="separate"/>
          </w:r>
          <w:r w:rsidR="00795D66">
            <w:rPr>
              <w:noProof/>
            </w:rPr>
            <w:t>1</w:t>
          </w:r>
          <w:r w:rsidR="00795D66">
            <w:rPr>
              <w:noProof/>
            </w:rPr>
            <w:fldChar w:fldCharType="end"/>
          </w:r>
        </w:p>
        <w:p w14:paraId="6DA2B053" w14:textId="77777777" w:rsidR="00795D66" w:rsidRDefault="00795D66">
          <w:pPr>
            <w:pStyle w:val="TOC1"/>
            <w:tabs>
              <w:tab w:val="right" w:leader="dot" w:pos="8290"/>
            </w:tabs>
            <w:rPr>
              <w:rFonts w:asciiTheme="minorHAnsi" w:hAnsiTheme="minorHAnsi"/>
              <w:noProof/>
              <w:color w:val="auto"/>
              <w:sz w:val="24"/>
              <w:lang w:val="en-GB"/>
            </w:rPr>
          </w:pPr>
          <w:r>
            <w:rPr>
              <w:noProof/>
            </w:rPr>
            <w:t>Inhoud</w:t>
          </w:r>
          <w:r>
            <w:rPr>
              <w:noProof/>
            </w:rPr>
            <w:tab/>
          </w:r>
          <w:r>
            <w:rPr>
              <w:noProof/>
            </w:rPr>
            <w:fldChar w:fldCharType="begin"/>
          </w:r>
          <w:r>
            <w:rPr>
              <w:noProof/>
            </w:rPr>
            <w:instrText xml:space="preserve"> PAGEREF _Toc337655407 \h </w:instrText>
          </w:r>
          <w:r>
            <w:rPr>
              <w:noProof/>
            </w:rPr>
          </w:r>
          <w:r>
            <w:rPr>
              <w:noProof/>
            </w:rPr>
            <w:fldChar w:fldCharType="separate"/>
          </w:r>
          <w:r>
            <w:rPr>
              <w:noProof/>
            </w:rPr>
            <w:t>3</w:t>
          </w:r>
          <w:r>
            <w:rPr>
              <w:noProof/>
            </w:rPr>
            <w:fldChar w:fldCharType="end"/>
          </w:r>
        </w:p>
        <w:p w14:paraId="15534289" w14:textId="77777777" w:rsidR="00795D66" w:rsidRDefault="00795D66">
          <w:pPr>
            <w:pStyle w:val="TOC1"/>
            <w:tabs>
              <w:tab w:val="right" w:leader="dot" w:pos="8290"/>
            </w:tabs>
            <w:rPr>
              <w:rFonts w:asciiTheme="minorHAnsi" w:hAnsiTheme="minorHAnsi"/>
              <w:noProof/>
              <w:color w:val="auto"/>
              <w:sz w:val="24"/>
              <w:lang w:val="en-GB"/>
            </w:rPr>
          </w:pPr>
          <w:r w:rsidRPr="001C2D45">
            <w:rPr>
              <w:rFonts w:cs="Calibri"/>
              <w:bCs/>
              <w:noProof/>
            </w:rPr>
            <w:t xml:space="preserve">1 </w:t>
          </w:r>
          <w:r>
            <w:rPr>
              <w:noProof/>
            </w:rPr>
            <w:t>Aanleiding</w:t>
          </w:r>
          <w:r>
            <w:rPr>
              <w:noProof/>
            </w:rPr>
            <w:tab/>
          </w:r>
          <w:r>
            <w:rPr>
              <w:noProof/>
            </w:rPr>
            <w:fldChar w:fldCharType="begin"/>
          </w:r>
          <w:r>
            <w:rPr>
              <w:noProof/>
            </w:rPr>
            <w:instrText xml:space="preserve"> PAGEREF _Toc337655408 \h </w:instrText>
          </w:r>
          <w:r>
            <w:rPr>
              <w:noProof/>
            </w:rPr>
          </w:r>
          <w:r>
            <w:rPr>
              <w:noProof/>
            </w:rPr>
            <w:fldChar w:fldCharType="separate"/>
          </w:r>
          <w:r>
            <w:rPr>
              <w:noProof/>
            </w:rPr>
            <w:t>5</w:t>
          </w:r>
          <w:r>
            <w:rPr>
              <w:noProof/>
            </w:rPr>
            <w:fldChar w:fldCharType="end"/>
          </w:r>
        </w:p>
        <w:p w14:paraId="362C4847" w14:textId="77777777" w:rsidR="00795D66" w:rsidRDefault="00795D66">
          <w:pPr>
            <w:pStyle w:val="TOC2"/>
            <w:tabs>
              <w:tab w:val="right" w:leader="dot" w:pos="8290"/>
            </w:tabs>
            <w:rPr>
              <w:rFonts w:asciiTheme="minorHAnsi" w:hAnsiTheme="minorHAnsi"/>
              <w:noProof/>
              <w:sz w:val="24"/>
              <w:szCs w:val="24"/>
              <w:lang w:val="en-GB"/>
            </w:rPr>
          </w:pPr>
          <w:r>
            <w:rPr>
              <w:noProof/>
            </w:rPr>
            <w:t>1.1 Aanleiding</w:t>
          </w:r>
          <w:r>
            <w:rPr>
              <w:noProof/>
            </w:rPr>
            <w:tab/>
          </w:r>
          <w:r>
            <w:rPr>
              <w:noProof/>
            </w:rPr>
            <w:fldChar w:fldCharType="begin"/>
          </w:r>
          <w:r>
            <w:rPr>
              <w:noProof/>
            </w:rPr>
            <w:instrText xml:space="preserve"> PAGEREF _Toc337655409 \h </w:instrText>
          </w:r>
          <w:r>
            <w:rPr>
              <w:noProof/>
            </w:rPr>
          </w:r>
          <w:r>
            <w:rPr>
              <w:noProof/>
            </w:rPr>
            <w:fldChar w:fldCharType="separate"/>
          </w:r>
          <w:r>
            <w:rPr>
              <w:noProof/>
            </w:rPr>
            <w:t>5</w:t>
          </w:r>
          <w:r>
            <w:rPr>
              <w:noProof/>
            </w:rPr>
            <w:fldChar w:fldCharType="end"/>
          </w:r>
        </w:p>
        <w:p w14:paraId="5BDDA2B5" w14:textId="77777777" w:rsidR="00795D66" w:rsidRDefault="00795D66">
          <w:pPr>
            <w:pStyle w:val="TOC2"/>
            <w:tabs>
              <w:tab w:val="right" w:leader="dot" w:pos="8290"/>
            </w:tabs>
            <w:rPr>
              <w:rFonts w:asciiTheme="minorHAnsi" w:hAnsiTheme="minorHAnsi"/>
              <w:noProof/>
              <w:sz w:val="24"/>
              <w:szCs w:val="24"/>
              <w:lang w:val="en-GB"/>
            </w:rPr>
          </w:pPr>
          <w:r>
            <w:rPr>
              <w:noProof/>
            </w:rPr>
            <w:t>1.2 Maatschappelijke relevantie</w:t>
          </w:r>
          <w:r>
            <w:rPr>
              <w:noProof/>
            </w:rPr>
            <w:tab/>
          </w:r>
          <w:r>
            <w:rPr>
              <w:noProof/>
            </w:rPr>
            <w:fldChar w:fldCharType="begin"/>
          </w:r>
          <w:r>
            <w:rPr>
              <w:noProof/>
            </w:rPr>
            <w:instrText xml:space="preserve"> PAGEREF _Toc337655410 \h </w:instrText>
          </w:r>
          <w:r>
            <w:rPr>
              <w:noProof/>
            </w:rPr>
          </w:r>
          <w:r>
            <w:rPr>
              <w:noProof/>
            </w:rPr>
            <w:fldChar w:fldCharType="separate"/>
          </w:r>
          <w:r>
            <w:rPr>
              <w:noProof/>
            </w:rPr>
            <w:t>6</w:t>
          </w:r>
          <w:r>
            <w:rPr>
              <w:noProof/>
            </w:rPr>
            <w:fldChar w:fldCharType="end"/>
          </w:r>
        </w:p>
        <w:p w14:paraId="60B7EE91" w14:textId="77777777" w:rsidR="00795D66" w:rsidRDefault="00795D66">
          <w:pPr>
            <w:pStyle w:val="TOC2"/>
            <w:tabs>
              <w:tab w:val="right" w:leader="dot" w:pos="8290"/>
            </w:tabs>
            <w:rPr>
              <w:rFonts w:asciiTheme="minorHAnsi" w:hAnsiTheme="minorHAnsi"/>
              <w:noProof/>
              <w:sz w:val="24"/>
              <w:szCs w:val="24"/>
              <w:lang w:val="en-GB"/>
            </w:rPr>
          </w:pPr>
          <w:r>
            <w:rPr>
              <w:noProof/>
            </w:rPr>
            <w:t>1.3 Wetenschappelijke relevantie</w:t>
          </w:r>
          <w:r>
            <w:rPr>
              <w:noProof/>
            </w:rPr>
            <w:tab/>
          </w:r>
          <w:r>
            <w:rPr>
              <w:noProof/>
            </w:rPr>
            <w:fldChar w:fldCharType="begin"/>
          </w:r>
          <w:r>
            <w:rPr>
              <w:noProof/>
            </w:rPr>
            <w:instrText xml:space="preserve"> PAGEREF _Toc337655411 \h </w:instrText>
          </w:r>
          <w:r>
            <w:rPr>
              <w:noProof/>
            </w:rPr>
          </w:r>
          <w:r>
            <w:rPr>
              <w:noProof/>
            </w:rPr>
            <w:fldChar w:fldCharType="separate"/>
          </w:r>
          <w:r>
            <w:rPr>
              <w:noProof/>
            </w:rPr>
            <w:t>6</w:t>
          </w:r>
          <w:r>
            <w:rPr>
              <w:noProof/>
            </w:rPr>
            <w:fldChar w:fldCharType="end"/>
          </w:r>
        </w:p>
        <w:p w14:paraId="0B481156" w14:textId="77777777" w:rsidR="00795D66" w:rsidRDefault="00795D66">
          <w:pPr>
            <w:pStyle w:val="TOC2"/>
            <w:tabs>
              <w:tab w:val="right" w:leader="dot" w:pos="8290"/>
            </w:tabs>
            <w:rPr>
              <w:rFonts w:asciiTheme="minorHAnsi" w:hAnsiTheme="minorHAnsi"/>
              <w:noProof/>
              <w:sz w:val="24"/>
              <w:szCs w:val="24"/>
              <w:lang w:val="en-GB"/>
            </w:rPr>
          </w:pPr>
          <w:r>
            <w:rPr>
              <w:noProof/>
            </w:rPr>
            <w:t>1.4 Onderzoeksvragen</w:t>
          </w:r>
          <w:r>
            <w:rPr>
              <w:noProof/>
            </w:rPr>
            <w:tab/>
          </w:r>
          <w:r>
            <w:rPr>
              <w:noProof/>
            </w:rPr>
            <w:fldChar w:fldCharType="begin"/>
          </w:r>
          <w:r>
            <w:rPr>
              <w:noProof/>
            </w:rPr>
            <w:instrText xml:space="preserve"> PAGEREF _Toc337655412 \h </w:instrText>
          </w:r>
          <w:r>
            <w:rPr>
              <w:noProof/>
            </w:rPr>
          </w:r>
          <w:r>
            <w:rPr>
              <w:noProof/>
            </w:rPr>
            <w:fldChar w:fldCharType="separate"/>
          </w:r>
          <w:r>
            <w:rPr>
              <w:noProof/>
            </w:rPr>
            <w:t>6</w:t>
          </w:r>
          <w:r>
            <w:rPr>
              <w:noProof/>
            </w:rPr>
            <w:fldChar w:fldCharType="end"/>
          </w:r>
        </w:p>
        <w:p w14:paraId="66CDCFDB" w14:textId="77777777" w:rsidR="00795D66" w:rsidRDefault="00795D66">
          <w:pPr>
            <w:pStyle w:val="TOC1"/>
            <w:tabs>
              <w:tab w:val="right" w:leader="dot" w:pos="8290"/>
            </w:tabs>
            <w:rPr>
              <w:rFonts w:asciiTheme="minorHAnsi" w:hAnsiTheme="minorHAnsi"/>
              <w:noProof/>
              <w:color w:val="auto"/>
              <w:sz w:val="24"/>
              <w:lang w:val="en-GB"/>
            </w:rPr>
          </w:pPr>
          <w:r>
            <w:rPr>
              <w:noProof/>
            </w:rPr>
            <w:t>2 Theoretisch kader</w:t>
          </w:r>
          <w:r>
            <w:rPr>
              <w:noProof/>
            </w:rPr>
            <w:tab/>
          </w:r>
          <w:r>
            <w:rPr>
              <w:noProof/>
            </w:rPr>
            <w:fldChar w:fldCharType="begin"/>
          </w:r>
          <w:r>
            <w:rPr>
              <w:noProof/>
            </w:rPr>
            <w:instrText xml:space="preserve"> PAGEREF _Toc337655413 \h </w:instrText>
          </w:r>
          <w:r>
            <w:rPr>
              <w:noProof/>
            </w:rPr>
          </w:r>
          <w:r>
            <w:rPr>
              <w:noProof/>
            </w:rPr>
            <w:fldChar w:fldCharType="separate"/>
          </w:r>
          <w:r>
            <w:rPr>
              <w:noProof/>
            </w:rPr>
            <w:t>8</w:t>
          </w:r>
          <w:r>
            <w:rPr>
              <w:noProof/>
            </w:rPr>
            <w:fldChar w:fldCharType="end"/>
          </w:r>
        </w:p>
        <w:p w14:paraId="00ABE692" w14:textId="77777777" w:rsidR="00795D66" w:rsidRDefault="00795D66">
          <w:pPr>
            <w:pStyle w:val="TOC2"/>
            <w:tabs>
              <w:tab w:val="right" w:leader="dot" w:pos="8290"/>
            </w:tabs>
            <w:rPr>
              <w:rFonts w:asciiTheme="minorHAnsi" w:hAnsiTheme="minorHAnsi"/>
              <w:noProof/>
              <w:sz w:val="24"/>
              <w:szCs w:val="24"/>
              <w:lang w:val="en-GB"/>
            </w:rPr>
          </w:pPr>
          <w:r>
            <w:rPr>
              <w:noProof/>
            </w:rPr>
            <w:t>2.1 Skill-gerelateerdheid</w:t>
          </w:r>
          <w:r>
            <w:rPr>
              <w:noProof/>
            </w:rPr>
            <w:tab/>
          </w:r>
          <w:r>
            <w:rPr>
              <w:noProof/>
            </w:rPr>
            <w:fldChar w:fldCharType="begin"/>
          </w:r>
          <w:r>
            <w:rPr>
              <w:noProof/>
            </w:rPr>
            <w:instrText xml:space="preserve"> PAGEREF _Toc337655414 \h </w:instrText>
          </w:r>
          <w:r>
            <w:rPr>
              <w:noProof/>
            </w:rPr>
          </w:r>
          <w:r>
            <w:rPr>
              <w:noProof/>
            </w:rPr>
            <w:fldChar w:fldCharType="separate"/>
          </w:r>
          <w:r>
            <w:rPr>
              <w:noProof/>
            </w:rPr>
            <w:t>8</w:t>
          </w:r>
          <w:r>
            <w:rPr>
              <w:noProof/>
            </w:rPr>
            <w:fldChar w:fldCharType="end"/>
          </w:r>
        </w:p>
        <w:p w14:paraId="5DB912A1" w14:textId="77777777" w:rsidR="00795D66" w:rsidRDefault="00795D66">
          <w:pPr>
            <w:pStyle w:val="TOC2"/>
            <w:tabs>
              <w:tab w:val="right" w:leader="dot" w:pos="8290"/>
            </w:tabs>
            <w:rPr>
              <w:rFonts w:asciiTheme="minorHAnsi" w:hAnsiTheme="minorHAnsi"/>
              <w:noProof/>
              <w:sz w:val="24"/>
              <w:szCs w:val="24"/>
              <w:lang w:val="en-GB"/>
            </w:rPr>
          </w:pPr>
          <w:r>
            <w:rPr>
              <w:noProof/>
            </w:rPr>
            <w:t>2.2 Innovatie en concurrentie in de regio</w:t>
          </w:r>
          <w:r>
            <w:rPr>
              <w:noProof/>
            </w:rPr>
            <w:tab/>
          </w:r>
          <w:r>
            <w:rPr>
              <w:noProof/>
            </w:rPr>
            <w:fldChar w:fldCharType="begin"/>
          </w:r>
          <w:r>
            <w:rPr>
              <w:noProof/>
            </w:rPr>
            <w:instrText xml:space="preserve"> PAGEREF _Toc337655415 \h </w:instrText>
          </w:r>
          <w:r>
            <w:rPr>
              <w:noProof/>
            </w:rPr>
          </w:r>
          <w:r>
            <w:rPr>
              <w:noProof/>
            </w:rPr>
            <w:fldChar w:fldCharType="separate"/>
          </w:r>
          <w:r>
            <w:rPr>
              <w:noProof/>
            </w:rPr>
            <w:t>9</w:t>
          </w:r>
          <w:r>
            <w:rPr>
              <w:noProof/>
            </w:rPr>
            <w:fldChar w:fldCharType="end"/>
          </w:r>
        </w:p>
        <w:p w14:paraId="200C8F0C" w14:textId="77777777" w:rsidR="00795D66" w:rsidRDefault="00795D66">
          <w:pPr>
            <w:pStyle w:val="TOC2"/>
            <w:tabs>
              <w:tab w:val="right" w:leader="dot" w:pos="8290"/>
            </w:tabs>
            <w:rPr>
              <w:rFonts w:asciiTheme="minorHAnsi" w:hAnsiTheme="minorHAnsi"/>
              <w:noProof/>
              <w:sz w:val="24"/>
              <w:szCs w:val="24"/>
              <w:lang w:val="en-GB"/>
            </w:rPr>
          </w:pPr>
          <w:r>
            <w:rPr>
              <w:noProof/>
            </w:rPr>
            <w:t>2.3 Spin-offs</w:t>
          </w:r>
          <w:r>
            <w:rPr>
              <w:noProof/>
            </w:rPr>
            <w:tab/>
          </w:r>
          <w:r>
            <w:rPr>
              <w:noProof/>
            </w:rPr>
            <w:fldChar w:fldCharType="begin"/>
          </w:r>
          <w:r>
            <w:rPr>
              <w:noProof/>
            </w:rPr>
            <w:instrText xml:space="preserve"> PAGEREF _Toc337655416 \h </w:instrText>
          </w:r>
          <w:r>
            <w:rPr>
              <w:noProof/>
            </w:rPr>
          </w:r>
          <w:r>
            <w:rPr>
              <w:noProof/>
            </w:rPr>
            <w:fldChar w:fldCharType="separate"/>
          </w:r>
          <w:r>
            <w:rPr>
              <w:noProof/>
            </w:rPr>
            <w:t>11</w:t>
          </w:r>
          <w:r>
            <w:rPr>
              <w:noProof/>
            </w:rPr>
            <w:fldChar w:fldCharType="end"/>
          </w:r>
        </w:p>
        <w:p w14:paraId="1CD87529" w14:textId="77777777" w:rsidR="00795D66" w:rsidRDefault="00795D66">
          <w:pPr>
            <w:pStyle w:val="TOC2"/>
            <w:tabs>
              <w:tab w:val="right" w:leader="dot" w:pos="8290"/>
            </w:tabs>
            <w:rPr>
              <w:rFonts w:asciiTheme="minorHAnsi" w:hAnsiTheme="minorHAnsi"/>
              <w:noProof/>
              <w:sz w:val="24"/>
              <w:szCs w:val="24"/>
              <w:lang w:val="en-GB"/>
            </w:rPr>
          </w:pPr>
          <w:r>
            <w:rPr>
              <w:noProof/>
            </w:rPr>
            <w:t>2.4 Empirie Spin-offs</w:t>
          </w:r>
          <w:r>
            <w:rPr>
              <w:noProof/>
            </w:rPr>
            <w:tab/>
          </w:r>
          <w:r>
            <w:rPr>
              <w:noProof/>
            </w:rPr>
            <w:fldChar w:fldCharType="begin"/>
          </w:r>
          <w:r>
            <w:rPr>
              <w:noProof/>
            </w:rPr>
            <w:instrText xml:space="preserve"> PAGEREF _Toc337655417 \h </w:instrText>
          </w:r>
          <w:r>
            <w:rPr>
              <w:noProof/>
            </w:rPr>
          </w:r>
          <w:r>
            <w:rPr>
              <w:noProof/>
            </w:rPr>
            <w:fldChar w:fldCharType="separate"/>
          </w:r>
          <w:r>
            <w:rPr>
              <w:noProof/>
            </w:rPr>
            <w:t>13</w:t>
          </w:r>
          <w:r>
            <w:rPr>
              <w:noProof/>
            </w:rPr>
            <w:fldChar w:fldCharType="end"/>
          </w:r>
        </w:p>
        <w:p w14:paraId="37136968" w14:textId="77777777" w:rsidR="00795D66" w:rsidRDefault="00795D66">
          <w:pPr>
            <w:pStyle w:val="TOC1"/>
            <w:tabs>
              <w:tab w:val="right" w:leader="dot" w:pos="8290"/>
            </w:tabs>
            <w:rPr>
              <w:rFonts w:asciiTheme="minorHAnsi" w:hAnsiTheme="minorHAnsi"/>
              <w:noProof/>
              <w:color w:val="auto"/>
              <w:sz w:val="24"/>
              <w:lang w:val="en-GB"/>
            </w:rPr>
          </w:pPr>
          <w:r>
            <w:rPr>
              <w:noProof/>
            </w:rPr>
            <w:t>3 Methodologie</w:t>
          </w:r>
          <w:r>
            <w:rPr>
              <w:noProof/>
            </w:rPr>
            <w:tab/>
          </w:r>
          <w:r>
            <w:rPr>
              <w:noProof/>
            </w:rPr>
            <w:fldChar w:fldCharType="begin"/>
          </w:r>
          <w:r>
            <w:rPr>
              <w:noProof/>
            </w:rPr>
            <w:instrText xml:space="preserve"> PAGEREF _Toc337655418 \h </w:instrText>
          </w:r>
          <w:r>
            <w:rPr>
              <w:noProof/>
            </w:rPr>
          </w:r>
          <w:r>
            <w:rPr>
              <w:noProof/>
            </w:rPr>
            <w:fldChar w:fldCharType="separate"/>
          </w:r>
          <w:r>
            <w:rPr>
              <w:noProof/>
            </w:rPr>
            <w:t>17</w:t>
          </w:r>
          <w:r>
            <w:rPr>
              <w:noProof/>
            </w:rPr>
            <w:fldChar w:fldCharType="end"/>
          </w:r>
        </w:p>
        <w:p w14:paraId="7EBF8781" w14:textId="77777777" w:rsidR="00795D66" w:rsidRDefault="00795D66">
          <w:pPr>
            <w:pStyle w:val="TOC2"/>
            <w:tabs>
              <w:tab w:val="right" w:leader="dot" w:pos="8290"/>
            </w:tabs>
            <w:rPr>
              <w:rFonts w:asciiTheme="minorHAnsi" w:hAnsiTheme="minorHAnsi"/>
              <w:noProof/>
              <w:sz w:val="24"/>
              <w:szCs w:val="24"/>
              <w:lang w:val="en-GB"/>
            </w:rPr>
          </w:pPr>
          <w:r>
            <w:rPr>
              <w:noProof/>
            </w:rPr>
            <w:t>3.1 Onderzoeksgebieden</w:t>
          </w:r>
          <w:r>
            <w:rPr>
              <w:noProof/>
            </w:rPr>
            <w:tab/>
          </w:r>
          <w:r>
            <w:rPr>
              <w:noProof/>
            </w:rPr>
            <w:fldChar w:fldCharType="begin"/>
          </w:r>
          <w:r>
            <w:rPr>
              <w:noProof/>
            </w:rPr>
            <w:instrText xml:space="preserve"> PAGEREF _Toc337655419 \h </w:instrText>
          </w:r>
          <w:r>
            <w:rPr>
              <w:noProof/>
            </w:rPr>
          </w:r>
          <w:r>
            <w:rPr>
              <w:noProof/>
            </w:rPr>
            <w:fldChar w:fldCharType="separate"/>
          </w:r>
          <w:r>
            <w:rPr>
              <w:noProof/>
            </w:rPr>
            <w:t>17</w:t>
          </w:r>
          <w:r>
            <w:rPr>
              <w:noProof/>
            </w:rPr>
            <w:fldChar w:fldCharType="end"/>
          </w:r>
        </w:p>
        <w:p w14:paraId="14BE6012" w14:textId="77777777" w:rsidR="00795D66" w:rsidRDefault="00795D66">
          <w:pPr>
            <w:pStyle w:val="TOC2"/>
            <w:tabs>
              <w:tab w:val="right" w:leader="dot" w:pos="8290"/>
            </w:tabs>
            <w:rPr>
              <w:rFonts w:asciiTheme="minorHAnsi" w:hAnsiTheme="minorHAnsi"/>
              <w:noProof/>
              <w:sz w:val="24"/>
              <w:szCs w:val="24"/>
              <w:lang w:val="en-GB"/>
            </w:rPr>
          </w:pPr>
          <w:r>
            <w:rPr>
              <w:noProof/>
            </w:rPr>
            <w:t>3.2 Operationalisatie</w:t>
          </w:r>
          <w:r>
            <w:rPr>
              <w:noProof/>
            </w:rPr>
            <w:tab/>
          </w:r>
          <w:r>
            <w:rPr>
              <w:noProof/>
            </w:rPr>
            <w:fldChar w:fldCharType="begin"/>
          </w:r>
          <w:r>
            <w:rPr>
              <w:noProof/>
            </w:rPr>
            <w:instrText xml:space="preserve"> PAGEREF _Toc337655420 \h </w:instrText>
          </w:r>
          <w:r>
            <w:rPr>
              <w:noProof/>
            </w:rPr>
          </w:r>
          <w:r>
            <w:rPr>
              <w:noProof/>
            </w:rPr>
            <w:fldChar w:fldCharType="separate"/>
          </w:r>
          <w:r>
            <w:rPr>
              <w:noProof/>
            </w:rPr>
            <w:t>18</w:t>
          </w:r>
          <w:r>
            <w:rPr>
              <w:noProof/>
            </w:rPr>
            <w:fldChar w:fldCharType="end"/>
          </w:r>
        </w:p>
        <w:p w14:paraId="66783DEC" w14:textId="77777777" w:rsidR="00795D66" w:rsidRDefault="00795D66">
          <w:pPr>
            <w:pStyle w:val="TOC2"/>
            <w:tabs>
              <w:tab w:val="right" w:leader="dot" w:pos="8290"/>
            </w:tabs>
            <w:rPr>
              <w:rFonts w:asciiTheme="minorHAnsi" w:hAnsiTheme="minorHAnsi"/>
              <w:noProof/>
              <w:sz w:val="24"/>
              <w:szCs w:val="24"/>
              <w:lang w:val="en-GB"/>
            </w:rPr>
          </w:pPr>
          <w:r>
            <w:rPr>
              <w:noProof/>
            </w:rPr>
            <w:t>3.3 Secundaire data</w:t>
          </w:r>
          <w:r>
            <w:rPr>
              <w:noProof/>
            </w:rPr>
            <w:tab/>
          </w:r>
          <w:r>
            <w:rPr>
              <w:noProof/>
            </w:rPr>
            <w:fldChar w:fldCharType="begin"/>
          </w:r>
          <w:r>
            <w:rPr>
              <w:noProof/>
            </w:rPr>
            <w:instrText xml:space="preserve"> PAGEREF _Toc337655421 \h </w:instrText>
          </w:r>
          <w:r>
            <w:rPr>
              <w:noProof/>
            </w:rPr>
          </w:r>
          <w:r>
            <w:rPr>
              <w:noProof/>
            </w:rPr>
            <w:fldChar w:fldCharType="separate"/>
          </w:r>
          <w:r>
            <w:rPr>
              <w:noProof/>
            </w:rPr>
            <w:t>19</w:t>
          </w:r>
          <w:r>
            <w:rPr>
              <w:noProof/>
            </w:rPr>
            <w:fldChar w:fldCharType="end"/>
          </w:r>
        </w:p>
        <w:p w14:paraId="2DEC6718" w14:textId="77777777" w:rsidR="00795D66" w:rsidRDefault="00795D66">
          <w:pPr>
            <w:pStyle w:val="TOC2"/>
            <w:tabs>
              <w:tab w:val="right" w:leader="dot" w:pos="8290"/>
            </w:tabs>
            <w:rPr>
              <w:rFonts w:asciiTheme="minorHAnsi" w:hAnsiTheme="minorHAnsi"/>
              <w:noProof/>
              <w:sz w:val="24"/>
              <w:szCs w:val="24"/>
              <w:lang w:val="en-GB"/>
            </w:rPr>
          </w:pPr>
          <w:r>
            <w:rPr>
              <w:noProof/>
            </w:rPr>
            <w:t>3.4 Methode voor onderzoek naar skill-gerelateerdheid</w:t>
          </w:r>
          <w:r>
            <w:rPr>
              <w:noProof/>
            </w:rPr>
            <w:tab/>
          </w:r>
          <w:r>
            <w:rPr>
              <w:noProof/>
            </w:rPr>
            <w:fldChar w:fldCharType="begin"/>
          </w:r>
          <w:r>
            <w:rPr>
              <w:noProof/>
            </w:rPr>
            <w:instrText xml:space="preserve"> PAGEREF _Toc337655422 \h </w:instrText>
          </w:r>
          <w:r>
            <w:rPr>
              <w:noProof/>
            </w:rPr>
          </w:r>
          <w:r>
            <w:rPr>
              <w:noProof/>
            </w:rPr>
            <w:fldChar w:fldCharType="separate"/>
          </w:r>
          <w:r>
            <w:rPr>
              <w:noProof/>
            </w:rPr>
            <w:t>20</w:t>
          </w:r>
          <w:r>
            <w:rPr>
              <w:noProof/>
            </w:rPr>
            <w:fldChar w:fldCharType="end"/>
          </w:r>
        </w:p>
        <w:p w14:paraId="613BCDD2" w14:textId="77777777" w:rsidR="00795D66" w:rsidRDefault="00795D66">
          <w:pPr>
            <w:pStyle w:val="TOC2"/>
            <w:tabs>
              <w:tab w:val="right" w:leader="dot" w:pos="8290"/>
            </w:tabs>
            <w:rPr>
              <w:rFonts w:asciiTheme="minorHAnsi" w:hAnsiTheme="minorHAnsi"/>
              <w:noProof/>
              <w:sz w:val="24"/>
              <w:szCs w:val="24"/>
              <w:lang w:val="en-GB"/>
            </w:rPr>
          </w:pPr>
          <w:r>
            <w:rPr>
              <w:noProof/>
            </w:rPr>
            <w:t>3.5 Selectie bedrijven</w:t>
          </w:r>
          <w:r>
            <w:rPr>
              <w:noProof/>
            </w:rPr>
            <w:tab/>
          </w:r>
          <w:r>
            <w:rPr>
              <w:noProof/>
            </w:rPr>
            <w:fldChar w:fldCharType="begin"/>
          </w:r>
          <w:r>
            <w:rPr>
              <w:noProof/>
            </w:rPr>
            <w:instrText xml:space="preserve"> PAGEREF _Toc337655423 \h </w:instrText>
          </w:r>
          <w:r>
            <w:rPr>
              <w:noProof/>
            </w:rPr>
          </w:r>
          <w:r>
            <w:rPr>
              <w:noProof/>
            </w:rPr>
            <w:fldChar w:fldCharType="separate"/>
          </w:r>
          <w:r>
            <w:rPr>
              <w:noProof/>
            </w:rPr>
            <w:t>21</w:t>
          </w:r>
          <w:r>
            <w:rPr>
              <w:noProof/>
            </w:rPr>
            <w:fldChar w:fldCharType="end"/>
          </w:r>
        </w:p>
        <w:p w14:paraId="4E53E3C7" w14:textId="77777777" w:rsidR="00795D66" w:rsidRDefault="00795D66">
          <w:pPr>
            <w:pStyle w:val="TOC2"/>
            <w:tabs>
              <w:tab w:val="right" w:leader="dot" w:pos="8290"/>
            </w:tabs>
            <w:rPr>
              <w:rFonts w:asciiTheme="minorHAnsi" w:hAnsiTheme="minorHAnsi"/>
              <w:noProof/>
              <w:sz w:val="24"/>
              <w:szCs w:val="24"/>
              <w:lang w:val="en-GB"/>
            </w:rPr>
          </w:pPr>
          <w:r>
            <w:rPr>
              <w:noProof/>
            </w:rPr>
            <w:t>3.6 Populatie en respons</w:t>
          </w:r>
          <w:r>
            <w:rPr>
              <w:noProof/>
            </w:rPr>
            <w:tab/>
          </w:r>
          <w:r>
            <w:rPr>
              <w:noProof/>
            </w:rPr>
            <w:fldChar w:fldCharType="begin"/>
          </w:r>
          <w:r>
            <w:rPr>
              <w:noProof/>
            </w:rPr>
            <w:instrText xml:space="preserve"> PAGEREF _Toc337655424 \h </w:instrText>
          </w:r>
          <w:r>
            <w:rPr>
              <w:noProof/>
            </w:rPr>
          </w:r>
          <w:r>
            <w:rPr>
              <w:noProof/>
            </w:rPr>
            <w:fldChar w:fldCharType="separate"/>
          </w:r>
          <w:r>
            <w:rPr>
              <w:noProof/>
            </w:rPr>
            <w:t>22</w:t>
          </w:r>
          <w:r>
            <w:rPr>
              <w:noProof/>
            </w:rPr>
            <w:fldChar w:fldCharType="end"/>
          </w:r>
        </w:p>
        <w:p w14:paraId="0356381E" w14:textId="77777777" w:rsidR="00795D66" w:rsidRDefault="00795D66">
          <w:pPr>
            <w:pStyle w:val="TOC2"/>
            <w:tabs>
              <w:tab w:val="right" w:leader="dot" w:pos="8290"/>
            </w:tabs>
            <w:rPr>
              <w:rFonts w:asciiTheme="minorHAnsi" w:hAnsiTheme="minorHAnsi"/>
              <w:noProof/>
              <w:sz w:val="24"/>
              <w:szCs w:val="24"/>
              <w:lang w:val="en-GB"/>
            </w:rPr>
          </w:pPr>
          <w:r>
            <w:rPr>
              <w:noProof/>
            </w:rPr>
            <w:t>3.7 Interviews</w:t>
          </w:r>
          <w:r>
            <w:rPr>
              <w:noProof/>
            </w:rPr>
            <w:tab/>
          </w:r>
          <w:r>
            <w:rPr>
              <w:noProof/>
            </w:rPr>
            <w:fldChar w:fldCharType="begin"/>
          </w:r>
          <w:r>
            <w:rPr>
              <w:noProof/>
            </w:rPr>
            <w:instrText xml:space="preserve"> PAGEREF _Toc337655425 \h </w:instrText>
          </w:r>
          <w:r>
            <w:rPr>
              <w:noProof/>
            </w:rPr>
          </w:r>
          <w:r>
            <w:rPr>
              <w:noProof/>
            </w:rPr>
            <w:fldChar w:fldCharType="separate"/>
          </w:r>
          <w:r>
            <w:rPr>
              <w:noProof/>
            </w:rPr>
            <w:t>23</w:t>
          </w:r>
          <w:r>
            <w:rPr>
              <w:noProof/>
            </w:rPr>
            <w:fldChar w:fldCharType="end"/>
          </w:r>
        </w:p>
        <w:p w14:paraId="1DB37CD1" w14:textId="77777777" w:rsidR="00795D66" w:rsidRDefault="00795D66">
          <w:pPr>
            <w:pStyle w:val="TOC2"/>
            <w:tabs>
              <w:tab w:val="right" w:leader="dot" w:pos="8290"/>
            </w:tabs>
            <w:rPr>
              <w:rFonts w:asciiTheme="minorHAnsi" w:hAnsiTheme="minorHAnsi"/>
              <w:noProof/>
              <w:sz w:val="24"/>
              <w:szCs w:val="24"/>
              <w:lang w:val="en-GB"/>
            </w:rPr>
          </w:pPr>
          <w:r>
            <w:rPr>
              <w:noProof/>
            </w:rPr>
            <w:t>3.8 Tekortkomingen onderzoeksmethode</w:t>
          </w:r>
          <w:r>
            <w:rPr>
              <w:noProof/>
            </w:rPr>
            <w:tab/>
          </w:r>
          <w:r>
            <w:rPr>
              <w:noProof/>
            </w:rPr>
            <w:fldChar w:fldCharType="begin"/>
          </w:r>
          <w:r>
            <w:rPr>
              <w:noProof/>
            </w:rPr>
            <w:instrText xml:space="preserve"> PAGEREF _Toc337655426 \h </w:instrText>
          </w:r>
          <w:r>
            <w:rPr>
              <w:noProof/>
            </w:rPr>
          </w:r>
          <w:r>
            <w:rPr>
              <w:noProof/>
            </w:rPr>
            <w:fldChar w:fldCharType="separate"/>
          </w:r>
          <w:r>
            <w:rPr>
              <w:noProof/>
            </w:rPr>
            <w:t>24</w:t>
          </w:r>
          <w:r>
            <w:rPr>
              <w:noProof/>
            </w:rPr>
            <w:fldChar w:fldCharType="end"/>
          </w:r>
        </w:p>
        <w:p w14:paraId="09C80DF5" w14:textId="77777777" w:rsidR="00795D66" w:rsidRDefault="00795D66">
          <w:pPr>
            <w:pStyle w:val="TOC1"/>
            <w:tabs>
              <w:tab w:val="right" w:leader="dot" w:pos="8290"/>
            </w:tabs>
            <w:rPr>
              <w:rFonts w:asciiTheme="minorHAnsi" w:hAnsiTheme="minorHAnsi"/>
              <w:noProof/>
              <w:color w:val="auto"/>
              <w:sz w:val="24"/>
              <w:lang w:val="en-GB"/>
            </w:rPr>
          </w:pPr>
          <w:r>
            <w:rPr>
              <w:noProof/>
            </w:rPr>
            <w:t>4 Profiel regio Woerden</w:t>
          </w:r>
          <w:r>
            <w:rPr>
              <w:noProof/>
            </w:rPr>
            <w:tab/>
          </w:r>
          <w:r>
            <w:rPr>
              <w:noProof/>
            </w:rPr>
            <w:fldChar w:fldCharType="begin"/>
          </w:r>
          <w:r>
            <w:rPr>
              <w:noProof/>
            </w:rPr>
            <w:instrText xml:space="preserve"> PAGEREF _Toc337655427 \h </w:instrText>
          </w:r>
          <w:r>
            <w:rPr>
              <w:noProof/>
            </w:rPr>
          </w:r>
          <w:r>
            <w:rPr>
              <w:noProof/>
            </w:rPr>
            <w:fldChar w:fldCharType="separate"/>
          </w:r>
          <w:r>
            <w:rPr>
              <w:noProof/>
            </w:rPr>
            <w:t>25</w:t>
          </w:r>
          <w:r>
            <w:rPr>
              <w:noProof/>
            </w:rPr>
            <w:fldChar w:fldCharType="end"/>
          </w:r>
        </w:p>
        <w:p w14:paraId="5ACC340A" w14:textId="77777777" w:rsidR="00795D66" w:rsidRDefault="00795D66">
          <w:pPr>
            <w:pStyle w:val="TOC2"/>
            <w:tabs>
              <w:tab w:val="right" w:leader="dot" w:pos="8290"/>
            </w:tabs>
            <w:rPr>
              <w:rFonts w:asciiTheme="minorHAnsi" w:hAnsiTheme="minorHAnsi"/>
              <w:noProof/>
              <w:sz w:val="24"/>
              <w:szCs w:val="24"/>
              <w:lang w:val="en-GB"/>
            </w:rPr>
          </w:pPr>
          <w:r>
            <w:rPr>
              <w:noProof/>
            </w:rPr>
            <w:t>4.1 Regio Woerden</w:t>
          </w:r>
          <w:r>
            <w:rPr>
              <w:noProof/>
            </w:rPr>
            <w:tab/>
          </w:r>
          <w:r>
            <w:rPr>
              <w:noProof/>
            </w:rPr>
            <w:fldChar w:fldCharType="begin"/>
          </w:r>
          <w:r>
            <w:rPr>
              <w:noProof/>
            </w:rPr>
            <w:instrText xml:space="preserve"> PAGEREF _Toc337655428 \h </w:instrText>
          </w:r>
          <w:r>
            <w:rPr>
              <w:noProof/>
            </w:rPr>
          </w:r>
          <w:r>
            <w:rPr>
              <w:noProof/>
            </w:rPr>
            <w:fldChar w:fldCharType="separate"/>
          </w:r>
          <w:r>
            <w:rPr>
              <w:noProof/>
            </w:rPr>
            <w:t>25</w:t>
          </w:r>
          <w:r>
            <w:rPr>
              <w:noProof/>
            </w:rPr>
            <w:fldChar w:fldCharType="end"/>
          </w:r>
        </w:p>
        <w:p w14:paraId="66F53AC6" w14:textId="77777777" w:rsidR="00795D66" w:rsidRDefault="00795D66">
          <w:pPr>
            <w:pStyle w:val="TOC2"/>
            <w:tabs>
              <w:tab w:val="right" w:leader="dot" w:pos="8290"/>
            </w:tabs>
            <w:rPr>
              <w:rFonts w:asciiTheme="minorHAnsi" w:hAnsiTheme="minorHAnsi"/>
              <w:noProof/>
              <w:sz w:val="24"/>
              <w:szCs w:val="24"/>
              <w:lang w:val="en-GB"/>
            </w:rPr>
          </w:pPr>
          <w:r>
            <w:rPr>
              <w:noProof/>
            </w:rPr>
            <w:t>4.2 Vergelijkingsregio’s</w:t>
          </w:r>
          <w:r>
            <w:rPr>
              <w:noProof/>
            </w:rPr>
            <w:tab/>
          </w:r>
          <w:r>
            <w:rPr>
              <w:noProof/>
            </w:rPr>
            <w:fldChar w:fldCharType="begin"/>
          </w:r>
          <w:r>
            <w:rPr>
              <w:noProof/>
            </w:rPr>
            <w:instrText xml:space="preserve"> PAGEREF _Toc337655429 \h </w:instrText>
          </w:r>
          <w:r>
            <w:rPr>
              <w:noProof/>
            </w:rPr>
          </w:r>
          <w:r>
            <w:rPr>
              <w:noProof/>
            </w:rPr>
            <w:fldChar w:fldCharType="separate"/>
          </w:r>
          <w:r>
            <w:rPr>
              <w:noProof/>
            </w:rPr>
            <w:t>26</w:t>
          </w:r>
          <w:r>
            <w:rPr>
              <w:noProof/>
            </w:rPr>
            <w:fldChar w:fldCharType="end"/>
          </w:r>
        </w:p>
        <w:p w14:paraId="68DCA148" w14:textId="77777777" w:rsidR="00795D66" w:rsidRDefault="00795D66">
          <w:pPr>
            <w:pStyle w:val="TOC2"/>
            <w:tabs>
              <w:tab w:val="right" w:leader="dot" w:pos="8290"/>
            </w:tabs>
            <w:rPr>
              <w:rFonts w:asciiTheme="minorHAnsi" w:hAnsiTheme="minorHAnsi"/>
              <w:noProof/>
              <w:sz w:val="24"/>
              <w:szCs w:val="24"/>
              <w:lang w:val="en-GB"/>
            </w:rPr>
          </w:pPr>
          <w:r>
            <w:rPr>
              <w:noProof/>
            </w:rPr>
            <w:t>4.3 Gemeentestatistiek</w:t>
          </w:r>
          <w:r>
            <w:rPr>
              <w:noProof/>
            </w:rPr>
            <w:tab/>
          </w:r>
          <w:r>
            <w:rPr>
              <w:noProof/>
            </w:rPr>
            <w:fldChar w:fldCharType="begin"/>
          </w:r>
          <w:r>
            <w:rPr>
              <w:noProof/>
            </w:rPr>
            <w:instrText xml:space="preserve"> PAGEREF _Toc337655430 \h </w:instrText>
          </w:r>
          <w:r>
            <w:rPr>
              <w:noProof/>
            </w:rPr>
          </w:r>
          <w:r>
            <w:rPr>
              <w:noProof/>
            </w:rPr>
            <w:fldChar w:fldCharType="separate"/>
          </w:r>
          <w:r>
            <w:rPr>
              <w:noProof/>
            </w:rPr>
            <w:t>27</w:t>
          </w:r>
          <w:r>
            <w:rPr>
              <w:noProof/>
            </w:rPr>
            <w:fldChar w:fldCharType="end"/>
          </w:r>
        </w:p>
        <w:p w14:paraId="732441D0" w14:textId="77777777" w:rsidR="00795D66" w:rsidRDefault="00795D66">
          <w:pPr>
            <w:pStyle w:val="TOC2"/>
            <w:tabs>
              <w:tab w:val="right" w:leader="dot" w:pos="8290"/>
            </w:tabs>
            <w:rPr>
              <w:rFonts w:asciiTheme="minorHAnsi" w:hAnsiTheme="minorHAnsi"/>
              <w:noProof/>
              <w:sz w:val="24"/>
              <w:szCs w:val="24"/>
              <w:lang w:val="en-GB"/>
            </w:rPr>
          </w:pPr>
          <w:r>
            <w:rPr>
              <w:noProof/>
            </w:rPr>
            <w:t>4.4 Groei</w:t>
          </w:r>
          <w:r>
            <w:rPr>
              <w:noProof/>
            </w:rPr>
            <w:tab/>
          </w:r>
          <w:r>
            <w:rPr>
              <w:noProof/>
            </w:rPr>
            <w:fldChar w:fldCharType="begin"/>
          </w:r>
          <w:r>
            <w:rPr>
              <w:noProof/>
            </w:rPr>
            <w:instrText xml:space="preserve"> PAGEREF _Toc337655431 \h </w:instrText>
          </w:r>
          <w:r>
            <w:rPr>
              <w:noProof/>
            </w:rPr>
          </w:r>
          <w:r>
            <w:rPr>
              <w:noProof/>
            </w:rPr>
            <w:fldChar w:fldCharType="separate"/>
          </w:r>
          <w:r>
            <w:rPr>
              <w:noProof/>
            </w:rPr>
            <w:t>28</w:t>
          </w:r>
          <w:r>
            <w:rPr>
              <w:noProof/>
            </w:rPr>
            <w:fldChar w:fldCharType="end"/>
          </w:r>
        </w:p>
        <w:p w14:paraId="50FDAFAA" w14:textId="77777777" w:rsidR="00795D66" w:rsidRDefault="00795D66">
          <w:pPr>
            <w:pStyle w:val="TOC2"/>
            <w:tabs>
              <w:tab w:val="right" w:leader="dot" w:pos="8290"/>
            </w:tabs>
            <w:rPr>
              <w:rFonts w:asciiTheme="minorHAnsi" w:hAnsiTheme="minorHAnsi"/>
              <w:noProof/>
              <w:sz w:val="24"/>
              <w:szCs w:val="24"/>
              <w:lang w:val="en-GB"/>
            </w:rPr>
          </w:pPr>
          <w:r>
            <w:rPr>
              <w:noProof/>
            </w:rPr>
            <w:t>4.5 Sectorale verdeling werkgelegenheid</w:t>
          </w:r>
          <w:r>
            <w:rPr>
              <w:noProof/>
            </w:rPr>
            <w:tab/>
          </w:r>
          <w:r>
            <w:rPr>
              <w:noProof/>
            </w:rPr>
            <w:fldChar w:fldCharType="begin"/>
          </w:r>
          <w:r>
            <w:rPr>
              <w:noProof/>
            </w:rPr>
            <w:instrText xml:space="preserve"> PAGEREF _Toc337655432 \h </w:instrText>
          </w:r>
          <w:r>
            <w:rPr>
              <w:noProof/>
            </w:rPr>
          </w:r>
          <w:r>
            <w:rPr>
              <w:noProof/>
            </w:rPr>
            <w:fldChar w:fldCharType="separate"/>
          </w:r>
          <w:r>
            <w:rPr>
              <w:noProof/>
            </w:rPr>
            <w:t>29</w:t>
          </w:r>
          <w:r>
            <w:rPr>
              <w:noProof/>
            </w:rPr>
            <w:fldChar w:fldCharType="end"/>
          </w:r>
        </w:p>
        <w:p w14:paraId="2F48E433" w14:textId="77777777" w:rsidR="00795D66" w:rsidRDefault="00795D66">
          <w:pPr>
            <w:pStyle w:val="TOC2"/>
            <w:tabs>
              <w:tab w:val="right" w:leader="dot" w:pos="8290"/>
            </w:tabs>
            <w:rPr>
              <w:rFonts w:asciiTheme="minorHAnsi" w:hAnsiTheme="minorHAnsi"/>
              <w:noProof/>
              <w:sz w:val="24"/>
              <w:szCs w:val="24"/>
              <w:lang w:val="en-GB"/>
            </w:rPr>
          </w:pPr>
          <w:r>
            <w:rPr>
              <w:noProof/>
            </w:rPr>
            <w:t>4.6 Clusters</w:t>
          </w:r>
          <w:r>
            <w:rPr>
              <w:noProof/>
            </w:rPr>
            <w:tab/>
          </w:r>
          <w:r>
            <w:rPr>
              <w:noProof/>
            </w:rPr>
            <w:fldChar w:fldCharType="begin"/>
          </w:r>
          <w:r>
            <w:rPr>
              <w:noProof/>
            </w:rPr>
            <w:instrText xml:space="preserve"> PAGEREF _Toc337655433 \h </w:instrText>
          </w:r>
          <w:r>
            <w:rPr>
              <w:noProof/>
            </w:rPr>
          </w:r>
          <w:r>
            <w:rPr>
              <w:noProof/>
            </w:rPr>
            <w:fldChar w:fldCharType="separate"/>
          </w:r>
          <w:r>
            <w:rPr>
              <w:noProof/>
            </w:rPr>
            <w:t>41</w:t>
          </w:r>
          <w:r>
            <w:rPr>
              <w:noProof/>
            </w:rPr>
            <w:fldChar w:fldCharType="end"/>
          </w:r>
        </w:p>
        <w:p w14:paraId="1A675165" w14:textId="77777777" w:rsidR="00795D66" w:rsidRDefault="00795D66">
          <w:pPr>
            <w:pStyle w:val="TOC2"/>
            <w:tabs>
              <w:tab w:val="right" w:leader="dot" w:pos="8290"/>
            </w:tabs>
            <w:rPr>
              <w:rFonts w:asciiTheme="minorHAnsi" w:hAnsiTheme="minorHAnsi"/>
              <w:noProof/>
              <w:sz w:val="24"/>
              <w:szCs w:val="24"/>
              <w:lang w:val="en-GB"/>
            </w:rPr>
          </w:pPr>
          <w:r>
            <w:rPr>
              <w:noProof/>
            </w:rPr>
            <w:t>4.7 Conclusie</w:t>
          </w:r>
          <w:r>
            <w:rPr>
              <w:noProof/>
            </w:rPr>
            <w:tab/>
          </w:r>
          <w:r>
            <w:rPr>
              <w:noProof/>
            </w:rPr>
            <w:fldChar w:fldCharType="begin"/>
          </w:r>
          <w:r>
            <w:rPr>
              <w:noProof/>
            </w:rPr>
            <w:instrText xml:space="preserve"> PAGEREF _Toc337655434 \h </w:instrText>
          </w:r>
          <w:r>
            <w:rPr>
              <w:noProof/>
            </w:rPr>
          </w:r>
          <w:r>
            <w:rPr>
              <w:noProof/>
            </w:rPr>
            <w:fldChar w:fldCharType="separate"/>
          </w:r>
          <w:r>
            <w:rPr>
              <w:noProof/>
            </w:rPr>
            <w:t>44</w:t>
          </w:r>
          <w:r>
            <w:rPr>
              <w:noProof/>
            </w:rPr>
            <w:fldChar w:fldCharType="end"/>
          </w:r>
        </w:p>
        <w:p w14:paraId="08AA5381" w14:textId="77777777" w:rsidR="00795D66" w:rsidRDefault="00795D66">
          <w:pPr>
            <w:pStyle w:val="TOC1"/>
            <w:tabs>
              <w:tab w:val="right" w:leader="dot" w:pos="8290"/>
            </w:tabs>
            <w:rPr>
              <w:rFonts w:asciiTheme="minorHAnsi" w:hAnsiTheme="minorHAnsi"/>
              <w:noProof/>
              <w:color w:val="auto"/>
              <w:sz w:val="24"/>
              <w:lang w:val="en-GB"/>
            </w:rPr>
          </w:pPr>
          <w:r>
            <w:rPr>
              <w:noProof/>
            </w:rPr>
            <w:t>5 Profiel regio Veenendaal</w:t>
          </w:r>
          <w:r>
            <w:rPr>
              <w:noProof/>
            </w:rPr>
            <w:tab/>
          </w:r>
          <w:r>
            <w:rPr>
              <w:noProof/>
            </w:rPr>
            <w:fldChar w:fldCharType="begin"/>
          </w:r>
          <w:r>
            <w:rPr>
              <w:noProof/>
            </w:rPr>
            <w:instrText xml:space="preserve"> PAGEREF _Toc337655435 \h </w:instrText>
          </w:r>
          <w:r>
            <w:rPr>
              <w:noProof/>
            </w:rPr>
          </w:r>
          <w:r>
            <w:rPr>
              <w:noProof/>
            </w:rPr>
            <w:fldChar w:fldCharType="separate"/>
          </w:r>
          <w:r>
            <w:rPr>
              <w:noProof/>
            </w:rPr>
            <w:t>45</w:t>
          </w:r>
          <w:r>
            <w:rPr>
              <w:noProof/>
            </w:rPr>
            <w:fldChar w:fldCharType="end"/>
          </w:r>
        </w:p>
        <w:p w14:paraId="09523E1B" w14:textId="77777777" w:rsidR="00795D66" w:rsidRDefault="00795D66">
          <w:pPr>
            <w:pStyle w:val="TOC2"/>
            <w:tabs>
              <w:tab w:val="right" w:leader="dot" w:pos="8290"/>
            </w:tabs>
            <w:rPr>
              <w:rFonts w:asciiTheme="minorHAnsi" w:hAnsiTheme="minorHAnsi"/>
              <w:noProof/>
              <w:sz w:val="24"/>
              <w:szCs w:val="24"/>
              <w:lang w:val="en-GB"/>
            </w:rPr>
          </w:pPr>
          <w:r>
            <w:rPr>
              <w:noProof/>
            </w:rPr>
            <w:t>5.1 Regio Veenendaal</w:t>
          </w:r>
          <w:r>
            <w:rPr>
              <w:noProof/>
            </w:rPr>
            <w:tab/>
          </w:r>
          <w:r>
            <w:rPr>
              <w:noProof/>
            </w:rPr>
            <w:fldChar w:fldCharType="begin"/>
          </w:r>
          <w:r>
            <w:rPr>
              <w:noProof/>
            </w:rPr>
            <w:instrText xml:space="preserve"> PAGEREF _Toc337655436 \h </w:instrText>
          </w:r>
          <w:r>
            <w:rPr>
              <w:noProof/>
            </w:rPr>
          </w:r>
          <w:r>
            <w:rPr>
              <w:noProof/>
            </w:rPr>
            <w:fldChar w:fldCharType="separate"/>
          </w:r>
          <w:r>
            <w:rPr>
              <w:noProof/>
            </w:rPr>
            <w:t>45</w:t>
          </w:r>
          <w:r>
            <w:rPr>
              <w:noProof/>
            </w:rPr>
            <w:fldChar w:fldCharType="end"/>
          </w:r>
        </w:p>
        <w:p w14:paraId="332534CD" w14:textId="77777777" w:rsidR="00795D66" w:rsidRDefault="00795D66">
          <w:pPr>
            <w:pStyle w:val="TOC2"/>
            <w:tabs>
              <w:tab w:val="right" w:leader="dot" w:pos="8290"/>
            </w:tabs>
            <w:rPr>
              <w:rFonts w:asciiTheme="minorHAnsi" w:hAnsiTheme="minorHAnsi"/>
              <w:noProof/>
              <w:sz w:val="24"/>
              <w:szCs w:val="24"/>
              <w:lang w:val="en-GB"/>
            </w:rPr>
          </w:pPr>
          <w:r>
            <w:rPr>
              <w:noProof/>
            </w:rPr>
            <w:t>5.2 Vergelijkingsregio</w:t>
          </w:r>
          <w:r>
            <w:rPr>
              <w:noProof/>
            </w:rPr>
            <w:tab/>
          </w:r>
          <w:r>
            <w:rPr>
              <w:noProof/>
            </w:rPr>
            <w:fldChar w:fldCharType="begin"/>
          </w:r>
          <w:r>
            <w:rPr>
              <w:noProof/>
            </w:rPr>
            <w:instrText xml:space="preserve"> PAGEREF _Toc337655437 \h </w:instrText>
          </w:r>
          <w:r>
            <w:rPr>
              <w:noProof/>
            </w:rPr>
          </w:r>
          <w:r>
            <w:rPr>
              <w:noProof/>
            </w:rPr>
            <w:fldChar w:fldCharType="separate"/>
          </w:r>
          <w:r>
            <w:rPr>
              <w:noProof/>
            </w:rPr>
            <w:t>46</w:t>
          </w:r>
          <w:r>
            <w:rPr>
              <w:noProof/>
            </w:rPr>
            <w:fldChar w:fldCharType="end"/>
          </w:r>
        </w:p>
        <w:p w14:paraId="35676FA5" w14:textId="77777777" w:rsidR="00795D66" w:rsidRDefault="00795D66">
          <w:pPr>
            <w:pStyle w:val="TOC2"/>
            <w:tabs>
              <w:tab w:val="right" w:leader="dot" w:pos="8290"/>
            </w:tabs>
            <w:rPr>
              <w:rFonts w:asciiTheme="minorHAnsi" w:hAnsiTheme="minorHAnsi"/>
              <w:noProof/>
              <w:sz w:val="24"/>
              <w:szCs w:val="24"/>
              <w:lang w:val="en-GB"/>
            </w:rPr>
          </w:pPr>
          <w:r>
            <w:rPr>
              <w:noProof/>
            </w:rPr>
            <w:t>5.3 Statistiek op gemeenteniveau</w:t>
          </w:r>
          <w:r>
            <w:rPr>
              <w:noProof/>
            </w:rPr>
            <w:tab/>
          </w:r>
          <w:r>
            <w:rPr>
              <w:noProof/>
            </w:rPr>
            <w:fldChar w:fldCharType="begin"/>
          </w:r>
          <w:r>
            <w:rPr>
              <w:noProof/>
            </w:rPr>
            <w:instrText xml:space="preserve"> PAGEREF _Toc337655438 \h </w:instrText>
          </w:r>
          <w:r>
            <w:rPr>
              <w:noProof/>
            </w:rPr>
          </w:r>
          <w:r>
            <w:rPr>
              <w:noProof/>
            </w:rPr>
            <w:fldChar w:fldCharType="separate"/>
          </w:r>
          <w:r>
            <w:rPr>
              <w:noProof/>
            </w:rPr>
            <w:t>46</w:t>
          </w:r>
          <w:r>
            <w:rPr>
              <w:noProof/>
            </w:rPr>
            <w:fldChar w:fldCharType="end"/>
          </w:r>
        </w:p>
        <w:p w14:paraId="5C32D83E" w14:textId="77777777" w:rsidR="00795D66" w:rsidRDefault="00795D66">
          <w:pPr>
            <w:pStyle w:val="TOC2"/>
            <w:tabs>
              <w:tab w:val="right" w:leader="dot" w:pos="8290"/>
            </w:tabs>
            <w:rPr>
              <w:rFonts w:asciiTheme="minorHAnsi" w:hAnsiTheme="minorHAnsi"/>
              <w:noProof/>
              <w:sz w:val="24"/>
              <w:szCs w:val="24"/>
              <w:lang w:val="en-GB"/>
            </w:rPr>
          </w:pPr>
          <w:r>
            <w:rPr>
              <w:noProof/>
            </w:rPr>
            <w:t>5.4 Groei</w:t>
          </w:r>
          <w:r>
            <w:rPr>
              <w:noProof/>
            </w:rPr>
            <w:tab/>
          </w:r>
          <w:r>
            <w:rPr>
              <w:noProof/>
            </w:rPr>
            <w:fldChar w:fldCharType="begin"/>
          </w:r>
          <w:r>
            <w:rPr>
              <w:noProof/>
            </w:rPr>
            <w:instrText xml:space="preserve"> PAGEREF _Toc337655439 \h </w:instrText>
          </w:r>
          <w:r>
            <w:rPr>
              <w:noProof/>
            </w:rPr>
          </w:r>
          <w:r>
            <w:rPr>
              <w:noProof/>
            </w:rPr>
            <w:fldChar w:fldCharType="separate"/>
          </w:r>
          <w:r>
            <w:rPr>
              <w:noProof/>
            </w:rPr>
            <w:t>47</w:t>
          </w:r>
          <w:r>
            <w:rPr>
              <w:noProof/>
            </w:rPr>
            <w:fldChar w:fldCharType="end"/>
          </w:r>
        </w:p>
        <w:p w14:paraId="259EB16B" w14:textId="77777777" w:rsidR="00795D66" w:rsidRDefault="00795D66">
          <w:pPr>
            <w:pStyle w:val="TOC2"/>
            <w:tabs>
              <w:tab w:val="right" w:leader="dot" w:pos="8290"/>
            </w:tabs>
            <w:rPr>
              <w:rFonts w:asciiTheme="minorHAnsi" w:hAnsiTheme="minorHAnsi"/>
              <w:noProof/>
              <w:sz w:val="24"/>
              <w:szCs w:val="24"/>
              <w:lang w:val="en-GB"/>
            </w:rPr>
          </w:pPr>
          <w:r>
            <w:rPr>
              <w:noProof/>
            </w:rPr>
            <w:t>5.5 Sectorale verdeling werkgelegenheid</w:t>
          </w:r>
          <w:r>
            <w:rPr>
              <w:noProof/>
            </w:rPr>
            <w:tab/>
          </w:r>
          <w:r>
            <w:rPr>
              <w:noProof/>
            </w:rPr>
            <w:fldChar w:fldCharType="begin"/>
          </w:r>
          <w:r>
            <w:rPr>
              <w:noProof/>
            </w:rPr>
            <w:instrText xml:space="preserve"> PAGEREF _Toc337655440 \h </w:instrText>
          </w:r>
          <w:r>
            <w:rPr>
              <w:noProof/>
            </w:rPr>
          </w:r>
          <w:r>
            <w:rPr>
              <w:noProof/>
            </w:rPr>
            <w:fldChar w:fldCharType="separate"/>
          </w:r>
          <w:r>
            <w:rPr>
              <w:noProof/>
            </w:rPr>
            <w:t>49</w:t>
          </w:r>
          <w:r>
            <w:rPr>
              <w:noProof/>
            </w:rPr>
            <w:fldChar w:fldCharType="end"/>
          </w:r>
        </w:p>
        <w:p w14:paraId="5409291E" w14:textId="77777777" w:rsidR="00795D66" w:rsidRDefault="00795D66">
          <w:pPr>
            <w:pStyle w:val="TOC2"/>
            <w:tabs>
              <w:tab w:val="right" w:leader="dot" w:pos="8290"/>
            </w:tabs>
            <w:rPr>
              <w:rFonts w:asciiTheme="minorHAnsi" w:hAnsiTheme="minorHAnsi"/>
              <w:noProof/>
              <w:sz w:val="24"/>
              <w:szCs w:val="24"/>
              <w:lang w:val="en-GB"/>
            </w:rPr>
          </w:pPr>
          <w:r>
            <w:rPr>
              <w:noProof/>
            </w:rPr>
            <w:t>5.6 Clusters</w:t>
          </w:r>
          <w:r>
            <w:rPr>
              <w:noProof/>
            </w:rPr>
            <w:tab/>
          </w:r>
          <w:r>
            <w:rPr>
              <w:noProof/>
            </w:rPr>
            <w:fldChar w:fldCharType="begin"/>
          </w:r>
          <w:r>
            <w:rPr>
              <w:noProof/>
            </w:rPr>
            <w:instrText xml:space="preserve"> PAGEREF _Toc337655441 \h </w:instrText>
          </w:r>
          <w:r>
            <w:rPr>
              <w:noProof/>
            </w:rPr>
          </w:r>
          <w:r>
            <w:rPr>
              <w:noProof/>
            </w:rPr>
            <w:fldChar w:fldCharType="separate"/>
          </w:r>
          <w:r>
            <w:rPr>
              <w:noProof/>
            </w:rPr>
            <w:t>59</w:t>
          </w:r>
          <w:r>
            <w:rPr>
              <w:noProof/>
            </w:rPr>
            <w:fldChar w:fldCharType="end"/>
          </w:r>
        </w:p>
        <w:p w14:paraId="7E7B362B" w14:textId="77777777" w:rsidR="00795D66" w:rsidRDefault="00795D66">
          <w:pPr>
            <w:pStyle w:val="TOC2"/>
            <w:tabs>
              <w:tab w:val="right" w:leader="dot" w:pos="8290"/>
            </w:tabs>
            <w:rPr>
              <w:rFonts w:asciiTheme="minorHAnsi" w:hAnsiTheme="minorHAnsi"/>
              <w:noProof/>
              <w:sz w:val="24"/>
              <w:szCs w:val="24"/>
              <w:lang w:val="en-GB"/>
            </w:rPr>
          </w:pPr>
          <w:r w:rsidRPr="001C2D45">
            <w:rPr>
              <w:rFonts w:ascii="Calibri" w:eastAsia="Times New Roman" w:hAnsi="Calibri" w:cs="Times New Roman"/>
              <w:noProof/>
              <w:color w:val="4F81BD" w:themeColor="accent1"/>
            </w:rPr>
            <w:t>5.7 Conclusie</w:t>
          </w:r>
          <w:r>
            <w:rPr>
              <w:noProof/>
            </w:rPr>
            <w:tab/>
          </w:r>
          <w:r>
            <w:rPr>
              <w:noProof/>
            </w:rPr>
            <w:fldChar w:fldCharType="begin"/>
          </w:r>
          <w:r>
            <w:rPr>
              <w:noProof/>
            </w:rPr>
            <w:instrText xml:space="preserve"> PAGEREF _Toc337655442 \h </w:instrText>
          </w:r>
          <w:r>
            <w:rPr>
              <w:noProof/>
            </w:rPr>
          </w:r>
          <w:r>
            <w:rPr>
              <w:noProof/>
            </w:rPr>
            <w:fldChar w:fldCharType="separate"/>
          </w:r>
          <w:r>
            <w:rPr>
              <w:noProof/>
            </w:rPr>
            <w:t>61</w:t>
          </w:r>
          <w:r>
            <w:rPr>
              <w:noProof/>
            </w:rPr>
            <w:fldChar w:fldCharType="end"/>
          </w:r>
        </w:p>
        <w:p w14:paraId="57D9FA65" w14:textId="77777777" w:rsidR="00795D66" w:rsidRDefault="00795D66">
          <w:pPr>
            <w:pStyle w:val="TOC1"/>
            <w:tabs>
              <w:tab w:val="right" w:leader="dot" w:pos="8290"/>
            </w:tabs>
            <w:rPr>
              <w:rFonts w:asciiTheme="minorHAnsi" w:hAnsiTheme="minorHAnsi"/>
              <w:noProof/>
              <w:color w:val="auto"/>
              <w:sz w:val="24"/>
              <w:lang w:val="en-GB"/>
            </w:rPr>
          </w:pPr>
          <w:r>
            <w:rPr>
              <w:noProof/>
            </w:rPr>
            <w:t>6 Resultaten spin-offs</w:t>
          </w:r>
          <w:r>
            <w:rPr>
              <w:noProof/>
            </w:rPr>
            <w:tab/>
          </w:r>
          <w:r>
            <w:rPr>
              <w:noProof/>
            </w:rPr>
            <w:fldChar w:fldCharType="begin"/>
          </w:r>
          <w:r>
            <w:rPr>
              <w:noProof/>
            </w:rPr>
            <w:instrText xml:space="preserve"> PAGEREF _Toc337655443 \h </w:instrText>
          </w:r>
          <w:r>
            <w:rPr>
              <w:noProof/>
            </w:rPr>
          </w:r>
          <w:r>
            <w:rPr>
              <w:noProof/>
            </w:rPr>
            <w:fldChar w:fldCharType="separate"/>
          </w:r>
          <w:r>
            <w:rPr>
              <w:noProof/>
            </w:rPr>
            <w:t>62</w:t>
          </w:r>
          <w:r>
            <w:rPr>
              <w:noProof/>
            </w:rPr>
            <w:fldChar w:fldCharType="end"/>
          </w:r>
        </w:p>
        <w:p w14:paraId="6067C862" w14:textId="77777777" w:rsidR="00795D66" w:rsidRDefault="00795D66">
          <w:pPr>
            <w:pStyle w:val="TOC2"/>
            <w:tabs>
              <w:tab w:val="right" w:leader="dot" w:pos="8290"/>
            </w:tabs>
            <w:rPr>
              <w:rFonts w:asciiTheme="minorHAnsi" w:hAnsiTheme="minorHAnsi"/>
              <w:noProof/>
              <w:sz w:val="24"/>
              <w:szCs w:val="24"/>
              <w:lang w:val="en-GB"/>
            </w:rPr>
          </w:pPr>
          <w:r>
            <w:rPr>
              <w:noProof/>
            </w:rPr>
            <w:t>6.1 Regiospecialisatie en starters</w:t>
          </w:r>
          <w:r>
            <w:rPr>
              <w:noProof/>
            </w:rPr>
            <w:tab/>
          </w:r>
          <w:r>
            <w:rPr>
              <w:noProof/>
            </w:rPr>
            <w:fldChar w:fldCharType="begin"/>
          </w:r>
          <w:r>
            <w:rPr>
              <w:noProof/>
            </w:rPr>
            <w:instrText xml:space="preserve"> PAGEREF _Toc337655444 \h </w:instrText>
          </w:r>
          <w:r>
            <w:rPr>
              <w:noProof/>
            </w:rPr>
          </w:r>
          <w:r>
            <w:rPr>
              <w:noProof/>
            </w:rPr>
            <w:fldChar w:fldCharType="separate"/>
          </w:r>
          <w:r>
            <w:rPr>
              <w:noProof/>
            </w:rPr>
            <w:t>62</w:t>
          </w:r>
          <w:r>
            <w:rPr>
              <w:noProof/>
            </w:rPr>
            <w:fldChar w:fldCharType="end"/>
          </w:r>
        </w:p>
        <w:p w14:paraId="087F53B0" w14:textId="77777777" w:rsidR="00795D66" w:rsidRDefault="00795D66">
          <w:pPr>
            <w:pStyle w:val="TOC2"/>
            <w:tabs>
              <w:tab w:val="right" w:leader="dot" w:pos="8290"/>
            </w:tabs>
            <w:rPr>
              <w:rFonts w:asciiTheme="minorHAnsi" w:hAnsiTheme="minorHAnsi"/>
              <w:noProof/>
              <w:sz w:val="24"/>
              <w:szCs w:val="24"/>
              <w:lang w:val="en-GB"/>
            </w:rPr>
          </w:pPr>
          <w:r>
            <w:rPr>
              <w:noProof/>
            </w:rPr>
            <w:t>6.2 Ervaring</w:t>
          </w:r>
          <w:r>
            <w:rPr>
              <w:noProof/>
            </w:rPr>
            <w:tab/>
          </w:r>
          <w:r>
            <w:rPr>
              <w:noProof/>
            </w:rPr>
            <w:fldChar w:fldCharType="begin"/>
          </w:r>
          <w:r>
            <w:rPr>
              <w:noProof/>
            </w:rPr>
            <w:instrText xml:space="preserve"> PAGEREF _Toc337655445 \h </w:instrText>
          </w:r>
          <w:r>
            <w:rPr>
              <w:noProof/>
            </w:rPr>
          </w:r>
          <w:r>
            <w:rPr>
              <w:noProof/>
            </w:rPr>
            <w:fldChar w:fldCharType="separate"/>
          </w:r>
          <w:r>
            <w:rPr>
              <w:noProof/>
            </w:rPr>
            <w:t>63</w:t>
          </w:r>
          <w:r>
            <w:rPr>
              <w:noProof/>
            </w:rPr>
            <w:fldChar w:fldCharType="end"/>
          </w:r>
        </w:p>
        <w:p w14:paraId="17BA32A0" w14:textId="77777777" w:rsidR="00795D66" w:rsidRDefault="00795D66">
          <w:pPr>
            <w:pStyle w:val="TOC2"/>
            <w:tabs>
              <w:tab w:val="right" w:leader="dot" w:pos="8290"/>
            </w:tabs>
            <w:rPr>
              <w:rFonts w:asciiTheme="minorHAnsi" w:hAnsiTheme="minorHAnsi"/>
              <w:noProof/>
              <w:sz w:val="24"/>
              <w:szCs w:val="24"/>
              <w:lang w:val="en-GB"/>
            </w:rPr>
          </w:pPr>
          <w:r>
            <w:rPr>
              <w:noProof/>
            </w:rPr>
            <w:t>6.3 Het schaalniveau van spin-offs</w:t>
          </w:r>
          <w:r>
            <w:rPr>
              <w:noProof/>
            </w:rPr>
            <w:tab/>
          </w:r>
          <w:r>
            <w:rPr>
              <w:noProof/>
            </w:rPr>
            <w:fldChar w:fldCharType="begin"/>
          </w:r>
          <w:r>
            <w:rPr>
              <w:noProof/>
            </w:rPr>
            <w:instrText xml:space="preserve"> PAGEREF _Toc337655446 \h </w:instrText>
          </w:r>
          <w:r>
            <w:rPr>
              <w:noProof/>
            </w:rPr>
          </w:r>
          <w:r>
            <w:rPr>
              <w:noProof/>
            </w:rPr>
            <w:fldChar w:fldCharType="separate"/>
          </w:r>
          <w:r>
            <w:rPr>
              <w:noProof/>
            </w:rPr>
            <w:t>65</w:t>
          </w:r>
          <w:r>
            <w:rPr>
              <w:noProof/>
            </w:rPr>
            <w:fldChar w:fldCharType="end"/>
          </w:r>
        </w:p>
        <w:p w14:paraId="5D34D3A1" w14:textId="77777777" w:rsidR="00795D66" w:rsidRDefault="00795D66">
          <w:pPr>
            <w:pStyle w:val="TOC2"/>
            <w:tabs>
              <w:tab w:val="right" w:leader="dot" w:pos="8290"/>
            </w:tabs>
            <w:rPr>
              <w:rFonts w:asciiTheme="minorHAnsi" w:hAnsiTheme="minorHAnsi"/>
              <w:noProof/>
              <w:sz w:val="24"/>
              <w:szCs w:val="24"/>
              <w:lang w:val="en-GB"/>
            </w:rPr>
          </w:pPr>
          <w:r>
            <w:rPr>
              <w:noProof/>
            </w:rPr>
            <w:t>6.4 Locatie respondenten</w:t>
          </w:r>
          <w:r>
            <w:rPr>
              <w:noProof/>
            </w:rPr>
            <w:tab/>
          </w:r>
          <w:r>
            <w:rPr>
              <w:noProof/>
            </w:rPr>
            <w:fldChar w:fldCharType="begin"/>
          </w:r>
          <w:r>
            <w:rPr>
              <w:noProof/>
            </w:rPr>
            <w:instrText xml:space="preserve"> PAGEREF _Toc337655447 \h </w:instrText>
          </w:r>
          <w:r>
            <w:rPr>
              <w:noProof/>
            </w:rPr>
          </w:r>
          <w:r>
            <w:rPr>
              <w:noProof/>
            </w:rPr>
            <w:fldChar w:fldCharType="separate"/>
          </w:r>
          <w:r>
            <w:rPr>
              <w:noProof/>
            </w:rPr>
            <w:t>66</w:t>
          </w:r>
          <w:r>
            <w:rPr>
              <w:noProof/>
            </w:rPr>
            <w:fldChar w:fldCharType="end"/>
          </w:r>
        </w:p>
        <w:p w14:paraId="4EA7A779" w14:textId="77777777" w:rsidR="00795D66" w:rsidRDefault="00795D66">
          <w:pPr>
            <w:pStyle w:val="TOC2"/>
            <w:tabs>
              <w:tab w:val="right" w:leader="dot" w:pos="8290"/>
            </w:tabs>
            <w:rPr>
              <w:rFonts w:asciiTheme="minorHAnsi" w:hAnsiTheme="minorHAnsi"/>
              <w:noProof/>
              <w:sz w:val="24"/>
              <w:szCs w:val="24"/>
              <w:lang w:val="en-GB"/>
            </w:rPr>
          </w:pPr>
          <w:r>
            <w:rPr>
              <w:noProof/>
            </w:rPr>
            <w:t>6.5 Jaar van oprichting</w:t>
          </w:r>
          <w:r>
            <w:rPr>
              <w:noProof/>
            </w:rPr>
            <w:tab/>
          </w:r>
          <w:r>
            <w:rPr>
              <w:noProof/>
            </w:rPr>
            <w:fldChar w:fldCharType="begin"/>
          </w:r>
          <w:r>
            <w:rPr>
              <w:noProof/>
            </w:rPr>
            <w:instrText xml:space="preserve"> PAGEREF _Toc337655448 \h </w:instrText>
          </w:r>
          <w:r>
            <w:rPr>
              <w:noProof/>
            </w:rPr>
          </w:r>
          <w:r>
            <w:rPr>
              <w:noProof/>
            </w:rPr>
            <w:fldChar w:fldCharType="separate"/>
          </w:r>
          <w:r>
            <w:rPr>
              <w:noProof/>
            </w:rPr>
            <w:t>67</w:t>
          </w:r>
          <w:r>
            <w:rPr>
              <w:noProof/>
            </w:rPr>
            <w:fldChar w:fldCharType="end"/>
          </w:r>
        </w:p>
        <w:p w14:paraId="10D09A96" w14:textId="77777777" w:rsidR="00795D66" w:rsidRDefault="00795D66">
          <w:pPr>
            <w:pStyle w:val="TOC2"/>
            <w:tabs>
              <w:tab w:val="right" w:leader="dot" w:pos="8290"/>
            </w:tabs>
            <w:rPr>
              <w:rFonts w:asciiTheme="minorHAnsi" w:hAnsiTheme="minorHAnsi"/>
              <w:noProof/>
              <w:sz w:val="24"/>
              <w:szCs w:val="24"/>
              <w:lang w:val="en-GB"/>
            </w:rPr>
          </w:pPr>
          <w:r>
            <w:rPr>
              <w:noProof/>
            </w:rPr>
            <w:t>6.6 Het aantal werknemers</w:t>
          </w:r>
          <w:r>
            <w:rPr>
              <w:noProof/>
            </w:rPr>
            <w:tab/>
          </w:r>
          <w:r>
            <w:rPr>
              <w:noProof/>
            </w:rPr>
            <w:fldChar w:fldCharType="begin"/>
          </w:r>
          <w:r>
            <w:rPr>
              <w:noProof/>
            </w:rPr>
            <w:instrText xml:space="preserve"> PAGEREF _Toc337655449 \h </w:instrText>
          </w:r>
          <w:r>
            <w:rPr>
              <w:noProof/>
            </w:rPr>
          </w:r>
          <w:r>
            <w:rPr>
              <w:noProof/>
            </w:rPr>
            <w:fldChar w:fldCharType="separate"/>
          </w:r>
          <w:r>
            <w:rPr>
              <w:noProof/>
            </w:rPr>
            <w:t>67</w:t>
          </w:r>
          <w:r>
            <w:rPr>
              <w:noProof/>
            </w:rPr>
            <w:fldChar w:fldCharType="end"/>
          </w:r>
        </w:p>
        <w:p w14:paraId="2DC726DD" w14:textId="77777777" w:rsidR="00795D66" w:rsidRDefault="00795D66">
          <w:pPr>
            <w:pStyle w:val="TOC2"/>
            <w:tabs>
              <w:tab w:val="right" w:leader="dot" w:pos="8290"/>
            </w:tabs>
            <w:rPr>
              <w:rFonts w:asciiTheme="minorHAnsi" w:hAnsiTheme="minorHAnsi"/>
              <w:noProof/>
              <w:sz w:val="24"/>
              <w:szCs w:val="24"/>
              <w:lang w:val="en-GB"/>
            </w:rPr>
          </w:pPr>
          <w:r>
            <w:rPr>
              <w:noProof/>
            </w:rPr>
            <w:t>6.7 Groei fulltime arbeidsplaatsen</w:t>
          </w:r>
          <w:r>
            <w:rPr>
              <w:noProof/>
            </w:rPr>
            <w:tab/>
          </w:r>
          <w:r>
            <w:rPr>
              <w:noProof/>
            </w:rPr>
            <w:fldChar w:fldCharType="begin"/>
          </w:r>
          <w:r>
            <w:rPr>
              <w:noProof/>
            </w:rPr>
            <w:instrText xml:space="preserve"> PAGEREF _Toc337655450 \h </w:instrText>
          </w:r>
          <w:r>
            <w:rPr>
              <w:noProof/>
            </w:rPr>
          </w:r>
          <w:r>
            <w:rPr>
              <w:noProof/>
            </w:rPr>
            <w:fldChar w:fldCharType="separate"/>
          </w:r>
          <w:r>
            <w:rPr>
              <w:noProof/>
            </w:rPr>
            <w:t>69</w:t>
          </w:r>
          <w:r>
            <w:rPr>
              <w:noProof/>
            </w:rPr>
            <w:fldChar w:fldCharType="end"/>
          </w:r>
        </w:p>
        <w:p w14:paraId="4C2AB2DE" w14:textId="77777777" w:rsidR="00795D66" w:rsidRDefault="00795D66">
          <w:pPr>
            <w:pStyle w:val="TOC2"/>
            <w:tabs>
              <w:tab w:val="right" w:leader="dot" w:pos="8290"/>
            </w:tabs>
            <w:rPr>
              <w:rFonts w:asciiTheme="minorHAnsi" w:hAnsiTheme="minorHAnsi"/>
              <w:noProof/>
              <w:sz w:val="24"/>
              <w:szCs w:val="24"/>
              <w:lang w:val="en-GB"/>
            </w:rPr>
          </w:pPr>
          <w:r>
            <w:rPr>
              <w:noProof/>
            </w:rPr>
            <w:t>6.8 Sector huidige onderneming</w:t>
          </w:r>
          <w:r>
            <w:rPr>
              <w:noProof/>
            </w:rPr>
            <w:tab/>
          </w:r>
          <w:r>
            <w:rPr>
              <w:noProof/>
            </w:rPr>
            <w:fldChar w:fldCharType="begin"/>
          </w:r>
          <w:r>
            <w:rPr>
              <w:noProof/>
            </w:rPr>
            <w:instrText xml:space="preserve"> PAGEREF _Toc337655451 \h </w:instrText>
          </w:r>
          <w:r>
            <w:rPr>
              <w:noProof/>
            </w:rPr>
          </w:r>
          <w:r>
            <w:rPr>
              <w:noProof/>
            </w:rPr>
            <w:fldChar w:fldCharType="separate"/>
          </w:r>
          <w:r>
            <w:rPr>
              <w:noProof/>
            </w:rPr>
            <w:t>70</w:t>
          </w:r>
          <w:r>
            <w:rPr>
              <w:noProof/>
            </w:rPr>
            <w:fldChar w:fldCharType="end"/>
          </w:r>
        </w:p>
        <w:p w14:paraId="1D1CCC89" w14:textId="77777777" w:rsidR="00795D66" w:rsidRDefault="00795D66">
          <w:pPr>
            <w:pStyle w:val="TOC2"/>
            <w:tabs>
              <w:tab w:val="right" w:leader="dot" w:pos="8290"/>
            </w:tabs>
            <w:rPr>
              <w:rFonts w:asciiTheme="minorHAnsi" w:hAnsiTheme="minorHAnsi"/>
              <w:noProof/>
              <w:sz w:val="24"/>
              <w:szCs w:val="24"/>
              <w:lang w:val="en-GB"/>
            </w:rPr>
          </w:pPr>
          <w:r>
            <w:rPr>
              <w:noProof/>
            </w:rPr>
            <w:t>6.9 Sector ouderbedrijf</w:t>
          </w:r>
          <w:r>
            <w:rPr>
              <w:noProof/>
            </w:rPr>
            <w:tab/>
          </w:r>
          <w:r>
            <w:rPr>
              <w:noProof/>
            </w:rPr>
            <w:fldChar w:fldCharType="begin"/>
          </w:r>
          <w:r>
            <w:rPr>
              <w:noProof/>
            </w:rPr>
            <w:instrText xml:space="preserve"> PAGEREF _Toc337655452 \h </w:instrText>
          </w:r>
          <w:r>
            <w:rPr>
              <w:noProof/>
            </w:rPr>
          </w:r>
          <w:r>
            <w:rPr>
              <w:noProof/>
            </w:rPr>
            <w:fldChar w:fldCharType="separate"/>
          </w:r>
          <w:r>
            <w:rPr>
              <w:noProof/>
            </w:rPr>
            <w:t>71</w:t>
          </w:r>
          <w:r>
            <w:rPr>
              <w:noProof/>
            </w:rPr>
            <w:fldChar w:fldCharType="end"/>
          </w:r>
        </w:p>
        <w:p w14:paraId="74DF6E18" w14:textId="77777777" w:rsidR="00795D66" w:rsidRDefault="00795D66">
          <w:pPr>
            <w:pStyle w:val="TOC2"/>
            <w:tabs>
              <w:tab w:val="right" w:leader="dot" w:pos="8290"/>
            </w:tabs>
            <w:rPr>
              <w:rFonts w:asciiTheme="minorHAnsi" w:hAnsiTheme="minorHAnsi"/>
              <w:noProof/>
              <w:sz w:val="24"/>
              <w:szCs w:val="24"/>
              <w:lang w:val="en-GB"/>
            </w:rPr>
          </w:pPr>
          <w:r>
            <w:rPr>
              <w:noProof/>
            </w:rPr>
            <w:t>6.10 Vorige functie ondernemer</w:t>
          </w:r>
          <w:r>
            <w:rPr>
              <w:noProof/>
            </w:rPr>
            <w:tab/>
          </w:r>
          <w:r>
            <w:rPr>
              <w:noProof/>
            </w:rPr>
            <w:fldChar w:fldCharType="begin"/>
          </w:r>
          <w:r>
            <w:rPr>
              <w:noProof/>
            </w:rPr>
            <w:instrText xml:space="preserve"> PAGEREF _Toc337655453 \h </w:instrText>
          </w:r>
          <w:r>
            <w:rPr>
              <w:noProof/>
            </w:rPr>
          </w:r>
          <w:r>
            <w:rPr>
              <w:noProof/>
            </w:rPr>
            <w:fldChar w:fldCharType="separate"/>
          </w:r>
          <w:r>
            <w:rPr>
              <w:noProof/>
            </w:rPr>
            <w:t>74</w:t>
          </w:r>
          <w:r>
            <w:rPr>
              <w:noProof/>
            </w:rPr>
            <w:fldChar w:fldCharType="end"/>
          </w:r>
        </w:p>
        <w:p w14:paraId="3A8F961D" w14:textId="77777777" w:rsidR="00795D66" w:rsidRDefault="00795D66">
          <w:pPr>
            <w:pStyle w:val="TOC2"/>
            <w:tabs>
              <w:tab w:val="right" w:leader="dot" w:pos="8290"/>
            </w:tabs>
            <w:rPr>
              <w:rFonts w:asciiTheme="minorHAnsi" w:hAnsiTheme="minorHAnsi"/>
              <w:noProof/>
              <w:sz w:val="24"/>
              <w:szCs w:val="24"/>
              <w:lang w:val="en-GB"/>
            </w:rPr>
          </w:pPr>
          <w:r>
            <w:rPr>
              <w:noProof/>
            </w:rPr>
            <w:t>6.11 Interviews</w:t>
          </w:r>
          <w:r>
            <w:rPr>
              <w:noProof/>
            </w:rPr>
            <w:tab/>
          </w:r>
          <w:r>
            <w:rPr>
              <w:noProof/>
            </w:rPr>
            <w:fldChar w:fldCharType="begin"/>
          </w:r>
          <w:r>
            <w:rPr>
              <w:noProof/>
            </w:rPr>
            <w:instrText xml:space="preserve"> PAGEREF _Toc337655454 \h </w:instrText>
          </w:r>
          <w:r>
            <w:rPr>
              <w:noProof/>
            </w:rPr>
          </w:r>
          <w:r>
            <w:rPr>
              <w:noProof/>
            </w:rPr>
            <w:fldChar w:fldCharType="separate"/>
          </w:r>
          <w:r>
            <w:rPr>
              <w:noProof/>
            </w:rPr>
            <w:t>75</w:t>
          </w:r>
          <w:r>
            <w:rPr>
              <w:noProof/>
            </w:rPr>
            <w:fldChar w:fldCharType="end"/>
          </w:r>
        </w:p>
        <w:p w14:paraId="317EB911" w14:textId="77777777" w:rsidR="00795D66" w:rsidRDefault="00795D66">
          <w:pPr>
            <w:pStyle w:val="TOC2"/>
            <w:tabs>
              <w:tab w:val="right" w:leader="dot" w:pos="8290"/>
            </w:tabs>
            <w:rPr>
              <w:rFonts w:asciiTheme="minorHAnsi" w:hAnsiTheme="minorHAnsi"/>
              <w:noProof/>
              <w:sz w:val="24"/>
              <w:szCs w:val="24"/>
              <w:lang w:val="en-GB"/>
            </w:rPr>
          </w:pPr>
          <w:r>
            <w:rPr>
              <w:noProof/>
            </w:rPr>
            <w:t>6.12 Conclusie</w:t>
          </w:r>
          <w:r>
            <w:rPr>
              <w:noProof/>
            </w:rPr>
            <w:tab/>
          </w:r>
          <w:r>
            <w:rPr>
              <w:noProof/>
            </w:rPr>
            <w:fldChar w:fldCharType="begin"/>
          </w:r>
          <w:r>
            <w:rPr>
              <w:noProof/>
            </w:rPr>
            <w:instrText xml:space="preserve"> PAGEREF _Toc337655455 \h </w:instrText>
          </w:r>
          <w:r>
            <w:rPr>
              <w:noProof/>
            </w:rPr>
          </w:r>
          <w:r>
            <w:rPr>
              <w:noProof/>
            </w:rPr>
            <w:fldChar w:fldCharType="separate"/>
          </w:r>
          <w:r>
            <w:rPr>
              <w:noProof/>
            </w:rPr>
            <w:t>77</w:t>
          </w:r>
          <w:r>
            <w:rPr>
              <w:noProof/>
            </w:rPr>
            <w:fldChar w:fldCharType="end"/>
          </w:r>
        </w:p>
        <w:p w14:paraId="658E958B" w14:textId="77777777" w:rsidR="00795D66" w:rsidRDefault="00795D66">
          <w:pPr>
            <w:pStyle w:val="TOC1"/>
            <w:tabs>
              <w:tab w:val="right" w:leader="dot" w:pos="8290"/>
            </w:tabs>
            <w:rPr>
              <w:rFonts w:asciiTheme="minorHAnsi" w:hAnsiTheme="minorHAnsi"/>
              <w:noProof/>
              <w:color w:val="auto"/>
              <w:sz w:val="24"/>
              <w:lang w:val="en-GB"/>
            </w:rPr>
          </w:pPr>
          <w:r>
            <w:rPr>
              <w:noProof/>
            </w:rPr>
            <w:t>7 Conclusie en discussie</w:t>
          </w:r>
          <w:r>
            <w:rPr>
              <w:noProof/>
            </w:rPr>
            <w:tab/>
          </w:r>
          <w:r>
            <w:rPr>
              <w:noProof/>
            </w:rPr>
            <w:fldChar w:fldCharType="begin"/>
          </w:r>
          <w:r>
            <w:rPr>
              <w:noProof/>
            </w:rPr>
            <w:instrText xml:space="preserve"> PAGEREF _Toc337655456 \h </w:instrText>
          </w:r>
          <w:r>
            <w:rPr>
              <w:noProof/>
            </w:rPr>
          </w:r>
          <w:r>
            <w:rPr>
              <w:noProof/>
            </w:rPr>
            <w:fldChar w:fldCharType="separate"/>
          </w:r>
          <w:r>
            <w:rPr>
              <w:noProof/>
            </w:rPr>
            <w:t>78</w:t>
          </w:r>
          <w:r>
            <w:rPr>
              <w:noProof/>
            </w:rPr>
            <w:fldChar w:fldCharType="end"/>
          </w:r>
        </w:p>
        <w:p w14:paraId="2A0BE391" w14:textId="77777777" w:rsidR="00795D66" w:rsidRDefault="00795D66">
          <w:pPr>
            <w:pStyle w:val="TOC2"/>
            <w:tabs>
              <w:tab w:val="right" w:leader="dot" w:pos="8290"/>
            </w:tabs>
            <w:rPr>
              <w:rFonts w:asciiTheme="minorHAnsi" w:hAnsiTheme="minorHAnsi"/>
              <w:noProof/>
              <w:sz w:val="24"/>
              <w:szCs w:val="24"/>
              <w:lang w:val="en-GB"/>
            </w:rPr>
          </w:pPr>
          <w:r>
            <w:rPr>
              <w:noProof/>
            </w:rPr>
            <w:t>7.1 Conclusie</w:t>
          </w:r>
          <w:r>
            <w:rPr>
              <w:noProof/>
            </w:rPr>
            <w:tab/>
          </w:r>
          <w:r>
            <w:rPr>
              <w:noProof/>
            </w:rPr>
            <w:fldChar w:fldCharType="begin"/>
          </w:r>
          <w:r>
            <w:rPr>
              <w:noProof/>
            </w:rPr>
            <w:instrText xml:space="preserve"> PAGEREF _Toc337655457 \h </w:instrText>
          </w:r>
          <w:r>
            <w:rPr>
              <w:noProof/>
            </w:rPr>
          </w:r>
          <w:r>
            <w:rPr>
              <w:noProof/>
            </w:rPr>
            <w:fldChar w:fldCharType="separate"/>
          </w:r>
          <w:r>
            <w:rPr>
              <w:noProof/>
            </w:rPr>
            <w:t>78</w:t>
          </w:r>
          <w:r>
            <w:rPr>
              <w:noProof/>
            </w:rPr>
            <w:fldChar w:fldCharType="end"/>
          </w:r>
        </w:p>
        <w:p w14:paraId="252604FF" w14:textId="77777777" w:rsidR="00795D66" w:rsidRDefault="00795D66">
          <w:pPr>
            <w:pStyle w:val="TOC2"/>
            <w:tabs>
              <w:tab w:val="right" w:leader="dot" w:pos="8290"/>
            </w:tabs>
            <w:rPr>
              <w:rFonts w:asciiTheme="minorHAnsi" w:hAnsiTheme="minorHAnsi"/>
              <w:noProof/>
              <w:sz w:val="24"/>
              <w:szCs w:val="24"/>
              <w:lang w:val="en-GB"/>
            </w:rPr>
          </w:pPr>
          <w:r>
            <w:rPr>
              <w:noProof/>
            </w:rPr>
            <w:t>7.2 Discussie</w:t>
          </w:r>
          <w:r>
            <w:rPr>
              <w:noProof/>
            </w:rPr>
            <w:tab/>
          </w:r>
          <w:r>
            <w:rPr>
              <w:noProof/>
            </w:rPr>
            <w:fldChar w:fldCharType="begin"/>
          </w:r>
          <w:r>
            <w:rPr>
              <w:noProof/>
            </w:rPr>
            <w:instrText xml:space="preserve"> PAGEREF _Toc337655458 \h </w:instrText>
          </w:r>
          <w:r>
            <w:rPr>
              <w:noProof/>
            </w:rPr>
          </w:r>
          <w:r>
            <w:rPr>
              <w:noProof/>
            </w:rPr>
            <w:fldChar w:fldCharType="separate"/>
          </w:r>
          <w:r>
            <w:rPr>
              <w:noProof/>
            </w:rPr>
            <w:t>79</w:t>
          </w:r>
          <w:r>
            <w:rPr>
              <w:noProof/>
            </w:rPr>
            <w:fldChar w:fldCharType="end"/>
          </w:r>
        </w:p>
        <w:p w14:paraId="3E9A83E0" w14:textId="77777777" w:rsidR="00795D66" w:rsidRDefault="00795D66">
          <w:pPr>
            <w:pStyle w:val="TOC2"/>
            <w:tabs>
              <w:tab w:val="right" w:leader="dot" w:pos="8290"/>
            </w:tabs>
            <w:rPr>
              <w:rFonts w:asciiTheme="minorHAnsi" w:hAnsiTheme="minorHAnsi"/>
              <w:noProof/>
              <w:sz w:val="24"/>
              <w:szCs w:val="24"/>
              <w:lang w:val="en-GB"/>
            </w:rPr>
          </w:pPr>
          <w:r>
            <w:rPr>
              <w:noProof/>
            </w:rPr>
            <w:t>7.3 Beleidsaanbevelingen</w:t>
          </w:r>
          <w:r>
            <w:rPr>
              <w:noProof/>
            </w:rPr>
            <w:tab/>
          </w:r>
          <w:r>
            <w:rPr>
              <w:noProof/>
            </w:rPr>
            <w:fldChar w:fldCharType="begin"/>
          </w:r>
          <w:r>
            <w:rPr>
              <w:noProof/>
            </w:rPr>
            <w:instrText xml:space="preserve"> PAGEREF _Toc337655459 \h </w:instrText>
          </w:r>
          <w:r>
            <w:rPr>
              <w:noProof/>
            </w:rPr>
          </w:r>
          <w:r>
            <w:rPr>
              <w:noProof/>
            </w:rPr>
            <w:fldChar w:fldCharType="separate"/>
          </w:r>
          <w:r>
            <w:rPr>
              <w:noProof/>
            </w:rPr>
            <w:t>80</w:t>
          </w:r>
          <w:r>
            <w:rPr>
              <w:noProof/>
            </w:rPr>
            <w:fldChar w:fldCharType="end"/>
          </w:r>
        </w:p>
        <w:p w14:paraId="48C20F07" w14:textId="77777777" w:rsidR="00795D66" w:rsidRDefault="00795D66">
          <w:pPr>
            <w:pStyle w:val="TOC1"/>
            <w:tabs>
              <w:tab w:val="right" w:leader="dot" w:pos="8290"/>
            </w:tabs>
            <w:rPr>
              <w:rFonts w:asciiTheme="minorHAnsi" w:hAnsiTheme="minorHAnsi"/>
              <w:noProof/>
              <w:color w:val="auto"/>
              <w:sz w:val="24"/>
              <w:lang w:val="en-GB"/>
            </w:rPr>
          </w:pPr>
          <w:r>
            <w:rPr>
              <w:noProof/>
            </w:rPr>
            <w:t>Literatuurlijst</w:t>
          </w:r>
          <w:r>
            <w:rPr>
              <w:noProof/>
            </w:rPr>
            <w:tab/>
          </w:r>
          <w:r>
            <w:rPr>
              <w:noProof/>
            </w:rPr>
            <w:fldChar w:fldCharType="begin"/>
          </w:r>
          <w:r>
            <w:rPr>
              <w:noProof/>
            </w:rPr>
            <w:instrText xml:space="preserve"> PAGEREF _Toc337655460 \h </w:instrText>
          </w:r>
          <w:r>
            <w:rPr>
              <w:noProof/>
            </w:rPr>
          </w:r>
          <w:r>
            <w:rPr>
              <w:noProof/>
            </w:rPr>
            <w:fldChar w:fldCharType="separate"/>
          </w:r>
          <w:r>
            <w:rPr>
              <w:noProof/>
            </w:rPr>
            <w:t>81</w:t>
          </w:r>
          <w:r>
            <w:rPr>
              <w:noProof/>
            </w:rPr>
            <w:fldChar w:fldCharType="end"/>
          </w:r>
        </w:p>
        <w:p w14:paraId="0EC20037" w14:textId="38ACBA7E" w:rsidR="00CD7371" w:rsidRDefault="00CD7371" w:rsidP="00CD7371">
          <w:pPr>
            <w:pStyle w:val="TOC1"/>
            <w:tabs>
              <w:tab w:val="right" w:leader="dot" w:pos="8290"/>
            </w:tabs>
          </w:pPr>
          <w:r>
            <w:fldChar w:fldCharType="end"/>
          </w:r>
        </w:p>
        <w:p w14:paraId="438EE70B" w14:textId="0BB45D22" w:rsidR="00D41DAA" w:rsidRDefault="003355DF"/>
      </w:sdtContent>
    </w:sdt>
    <w:p w14:paraId="3B8EC98B" w14:textId="77777777" w:rsidR="001105A9" w:rsidRPr="001105A9" w:rsidRDefault="001105A9" w:rsidP="006B55BB">
      <w:pPr>
        <w:pStyle w:val="Title"/>
        <w:rPr>
          <w:rFonts w:cs="Calibri"/>
          <w:bCs/>
          <w:szCs w:val="28"/>
        </w:rPr>
      </w:pPr>
      <w:r>
        <w:rPr>
          <w:szCs w:val="28"/>
        </w:rPr>
        <w:br w:type="column"/>
      </w:r>
      <w:bookmarkStart w:id="3" w:name="_Toc316143558"/>
      <w:bookmarkStart w:id="4" w:name="_Toc337655408"/>
      <w:r w:rsidRPr="001105A9">
        <w:rPr>
          <w:rFonts w:cs="Calibri"/>
          <w:bCs/>
          <w:szCs w:val="28"/>
        </w:rPr>
        <w:t xml:space="preserve">1 </w:t>
      </w:r>
      <w:r w:rsidRPr="001105A9">
        <w:t>Aanleiding</w:t>
      </w:r>
      <w:bookmarkEnd w:id="3"/>
      <w:bookmarkEnd w:id="4"/>
    </w:p>
    <w:p w14:paraId="1A2961BD" w14:textId="77777777" w:rsidR="001105A9" w:rsidRPr="00302170" w:rsidRDefault="001105A9" w:rsidP="006B55BB">
      <w:pPr>
        <w:pStyle w:val="Heading1"/>
        <w:rPr>
          <w:rFonts w:cs="Times"/>
        </w:rPr>
      </w:pPr>
      <w:bookmarkStart w:id="5" w:name="_Toc316143559"/>
      <w:bookmarkStart w:id="6" w:name="_Toc337655409"/>
      <w:r w:rsidRPr="00302170">
        <w:t>1.1 Aanleiding</w:t>
      </w:r>
      <w:bookmarkEnd w:id="5"/>
      <w:bookmarkEnd w:id="6"/>
    </w:p>
    <w:p w14:paraId="40973C65" w14:textId="79CDFE64" w:rsidR="001105A9" w:rsidRPr="00302170" w:rsidRDefault="00177FAB" w:rsidP="006B55BB">
      <w:pPr>
        <w:rPr>
          <w:rFonts w:cs="Times"/>
        </w:rPr>
      </w:pPr>
      <w:r>
        <w:t>De</w:t>
      </w:r>
      <w:r w:rsidR="001105A9" w:rsidRPr="00302170">
        <w:t xml:space="preserve"> Economic Board Utrecht (EBU) </w:t>
      </w:r>
      <w:r w:rsidR="001105A9">
        <w:t xml:space="preserve">heeft als doelstelling om </w:t>
      </w:r>
      <w:r w:rsidR="001105A9" w:rsidRPr="00302170">
        <w:t xml:space="preserve">de economische groei van </w:t>
      </w:r>
      <w:r w:rsidR="001105A9">
        <w:t xml:space="preserve">de </w:t>
      </w:r>
      <w:r w:rsidR="001105A9" w:rsidRPr="00302170">
        <w:t>provincie Utrecht</w:t>
      </w:r>
      <w:r w:rsidR="001105A9">
        <w:t xml:space="preserve"> te bevorderen.</w:t>
      </w:r>
      <w:r w:rsidR="001105A9" w:rsidRPr="00302170">
        <w:t xml:space="preserve"> </w:t>
      </w:r>
      <w:r w:rsidR="001105A9">
        <w:t xml:space="preserve">Dat doet de board op verschillende manieren, zowel praktisch als via onderzoek. Bij het onderzoek legt de EBU de focus op het leggen van </w:t>
      </w:r>
      <w:r w:rsidR="001105A9" w:rsidRPr="00302170">
        <w:t xml:space="preserve">verbindingen  tussen bedrijven en sectoren. </w:t>
      </w:r>
      <w:r w:rsidR="001105A9">
        <w:t>Men verwacht dat de vernieuwing van de economie plaatsvindt op de kruispunten van bedrijven en sectoren. Daar zouden ‘neue Kobinationen’ ontstaan (Schumpeter, 1951). Het vinden van z</w:t>
      </w:r>
      <w:r w:rsidR="001105A9" w:rsidRPr="00302170">
        <w:t xml:space="preserve">ulke ‘crossovers’ vormen </w:t>
      </w:r>
      <w:r w:rsidR="001105A9">
        <w:t xml:space="preserve">inmiddels </w:t>
      </w:r>
      <w:r w:rsidR="001105A9" w:rsidRPr="00302170">
        <w:t xml:space="preserve">de hoeksteen van de strategie van de EBU. De EBU sluit daarmee aan op het onderzoek van </w:t>
      </w:r>
      <w:r w:rsidR="001105A9">
        <w:t>V</w:t>
      </w:r>
      <w:r w:rsidR="001105A9" w:rsidRPr="00302170">
        <w:t xml:space="preserve">an Oort (2013) naar de gerelateerde variëteit van de bedrijvigheid in de provincie Utrecht. </w:t>
      </w:r>
      <w:r w:rsidR="001105A9">
        <w:t xml:space="preserve">Het begrip gerelateerde variëteit beschrijft de toename van de toegevoegde waarde in de regionale economie als gevolg van de uitwisseling van kennis en arbeid tussen bedrijven in verschillende sectoren.  </w:t>
      </w:r>
      <w:r w:rsidR="001105A9" w:rsidRPr="00302170">
        <w:t xml:space="preserve">In </w:t>
      </w:r>
      <w:r w:rsidR="001105A9">
        <w:t>he</w:t>
      </w:r>
      <w:r w:rsidR="001105A9" w:rsidRPr="00302170">
        <w:t>t onderzoek</w:t>
      </w:r>
      <w:r w:rsidR="001105A9">
        <w:t xml:space="preserve"> van Van Oort </w:t>
      </w:r>
      <w:r w:rsidR="001105A9" w:rsidRPr="00302170">
        <w:t xml:space="preserve">zijn bedrijfsklassen (op drie digit niveau) met elkaar in verband gebracht en is </w:t>
      </w:r>
      <w:r w:rsidR="001105A9">
        <w:t xml:space="preserve">binnen de provincie Utrecht </w:t>
      </w:r>
      <w:r w:rsidR="001105A9" w:rsidRPr="00302170">
        <w:t>een vergelijking gemaakt tussen de regio’s Utrecht, Amersfoort, Woerden en Veenendaal. Als indicatie voor mogelijke samenwerking tussen bedrijfsklassen</w:t>
      </w:r>
      <w:r w:rsidR="001105A9">
        <w:t>,</w:t>
      </w:r>
      <w:r w:rsidR="001105A9" w:rsidRPr="00302170">
        <w:t xml:space="preserve"> of het opbouwen van nieuwe bedrijfsklassen</w:t>
      </w:r>
      <w:r w:rsidR="001105A9">
        <w:t>,</w:t>
      </w:r>
      <w:r w:rsidR="001105A9" w:rsidRPr="00302170">
        <w:t xml:space="preserve"> is skill-gerelateerdheid onderzocht. Dit gebeurt aan de hand van arbeidsmobiliteit. Hoe meer personeel met kennis en ervaring uit de ene bedrijfsklasse een baan vindt in een andere bedrijfsklasse, hoe sterker de onderlinge banden is en hoe groter de kans op een succesvolle samenwerking tussen bedrijven uit beide bedrijfsklasse</w:t>
      </w:r>
      <w:r w:rsidR="001105A9">
        <w:t>n</w:t>
      </w:r>
      <w:r w:rsidR="001105A9" w:rsidRPr="00302170">
        <w:t xml:space="preserve"> is.</w:t>
      </w:r>
    </w:p>
    <w:p w14:paraId="04F4B308" w14:textId="77777777" w:rsidR="001105A9" w:rsidRPr="00302170" w:rsidRDefault="001105A9" w:rsidP="00D4780A">
      <w:pPr>
        <w:ind w:firstLine="720"/>
        <w:rPr>
          <w:rFonts w:cs="Times"/>
        </w:rPr>
      </w:pPr>
      <w:r w:rsidRPr="00302170">
        <w:t xml:space="preserve">Dit onderzoek sluit </w:t>
      </w:r>
      <w:r>
        <w:t xml:space="preserve">op twee manieren </w:t>
      </w:r>
      <w:r w:rsidRPr="00302170">
        <w:t xml:space="preserve">aan op het onderzoek van </w:t>
      </w:r>
      <w:r>
        <w:t>V</w:t>
      </w:r>
      <w:r w:rsidRPr="00302170">
        <w:t>an Oort (2013)</w:t>
      </w:r>
      <w:r>
        <w:t>.</w:t>
      </w:r>
      <w:r w:rsidRPr="00302170">
        <w:t xml:space="preserve"> Ten eerste omdat dit onderzoek meer in detail ingaat op de economische structuur</w:t>
      </w:r>
      <w:r>
        <w:t xml:space="preserve"> en de variëteit aan sectoren</w:t>
      </w:r>
      <w:r w:rsidRPr="00302170">
        <w:t xml:space="preserve"> van </w:t>
      </w:r>
      <w:r>
        <w:t>twee regio’s in de provincie Utrecht, namelijk de</w:t>
      </w:r>
      <w:r w:rsidRPr="00302170">
        <w:t xml:space="preserve"> regio’s Woerden en Veenendaal. Daarbij wordt gekeken naar de </w:t>
      </w:r>
      <w:r>
        <w:t xml:space="preserve">variëteit van de productiestructuur </w:t>
      </w:r>
      <w:r w:rsidRPr="00302170">
        <w:t>op vier digit niveau van bedri</w:t>
      </w:r>
      <w:r>
        <w:t>jven.</w:t>
      </w:r>
      <w:r w:rsidRPr="00302170">
        <w:t xml:space="preserve"> Om vast te stellen in hoeverre</w:t>
      </w:r>
      <w:r>
        <w:t xml:space="preserve"> de regio’s</w:t>
      </w:r>
      <w:r w:rsidRPr="00302170">
        <w:t xml:space="preserve"> Veenendaal en Woerden respectievelijk afwijken van de rest van de provincie worden deze regio’s in dit onderzoek verder vergeleken met de economische structuur van provincie Utrecht</w:t>
      </w:r>
      <w:r>
        <w:t xml:space="preserve"> in het geheel</w:t>
      </w:r>
      <w:r w:rsidRPr="00302170">
        <w:t>. De economische structuur van de regio Woerden zal ook vergeleken worden met twee andere regio’s in het Groene Hart, namelijk die van Alphen aan de Rijn en Gouda. De regio Veenendaal wordt vergeleken met provincie Utrecht en</w:t>
      </w:r>
      <w:r>
        <w:t xml:space="preserve"> de regio Ede-</w:t>
      </w:r>
      <w:r w:rsidRPr="00302170">
        <w:t>Wageningen.</w:t>
      </w:r>
    </w:p>
    <w:p w14:paraId="3A84E032" w14:textId="77777777" w:rsidR="001105A9" w:rsidRPr="00302170" w:rsidRDefault="001105A9" w:rsidP="004B373F">
      <w:pPr>
        <w:ind w:firstLine="720"/>
      </w:pPr>
      <w:r w:rsidRPr="00302170">
        <w:t>De tweede aanvulling betreft de indicator voor gerelateerdheid. In dit onderzoek wordt een andere indicator gebruikt dan arbeidsmobiliteit. Volgens van Oort (2013) kan skill-gerelateerdheid op drie manieren in kaart worden gebracht, namelijk via baanwisselingen, via samenwerking in innovatieprojecten en via succesvolle nieuwe bedrijven</w:t>
      </w:r>
      <w:r>
        <w:t xml:space="preserve"> die voortbouwen op kennis van andere bedrijven</w:t>
      </w:r>
      <w:r w:rsidRPr="00302170">
        <w:t xml:space="preserve"> (spin-offs). Dit onderzoek richt zich op spin‐offs in de regio’s Woerden en Veenendaal. Spin-offs zijn jonge bedrijven die zijn opgericht door werknemers die eerst bij andere bedrijven of in andere bedrijfsklassen hebben gewerkt. Doordat de oprichters van spin-offs al sectorspecifieke werkervaring en kennis hebben opgedaan, </w:t>
      </w:r>
      <w:r>
        <w:t>zouden</w:t>
      </w:r>
      <w:r w:rsidRPr="00302170">
        <w:t xml:space="preserve"> deze bedrijfjes succesvoller en innovatiever dan andere start-ups</w:t>
      </w:r>
      <w:r>
        <w:t xml:space="preserve"> zijn</w:t>
      </w:r>
      <w:r w:rsidRPr="00302170">
        <w:t xml:space="preserve"> (Koster, 2006). Door bij spin-offs</w:t>
      </w:r>
      <w:r>
        <w:t xml:space="preserve"> die afgelopen tien jaar groei doormaakten</w:t>
      </w:r>
      <w:r w:rsidRPr="00302170">
        <w:t xml:space="preserve"> te onderzoeken uit welke sector of sectoren de oprichters afkomstig zijn en of hun vorige baan in de regio Woerden of Veenendaal gevestigd was, wordt duidelijk in hoeverre er sprake is van succesvolle skill-gerelateerdheid via nieuwe bedrijven.</w:t>
      </w:r>
    </w:p>
    <w:p w14:paraId="21297C11" w14:textId="4F28673F" w:rsidR="001105A9" w:rsidRPr="001105A9" w:rsidRDefault="001105A9" w:rsidP="004B373F">
      <w:pPr>
        <w:ind w:firstLine="720"/>
        <w:rPr>
          <w:b/>
          <w:szCs w:val="24"/>
        </w:rPr>
      </w:pPr>
      <w:r w:rsidRPr="00302170">
        <w:t>Bij dit onderzoek worden de re</w:t>
      </w:r>
      <w:r>
        <w:t>sultaten van het onderzoek van V</w:t>
      </w:r>
      <w:r w:rsidRPr="00302170">
        <w:t xml:space="preserve">an Oort (2013) als uitgangspunt gebruikt. Zo wordt onderzocht of de verbanden tussen sectoren </w:t>
      </w:r>
      <w:r>
        <w:t>die V</w:t>
      </w:r>
      <w:r w:rsidRPr="00302170">
        <w:t>an Oort (2013) op drie cijfers van de SBI‐indeling in de provincie vond, ook gelden op regionaal niveau, bekeken op vier cijfers van de SBI‐indeling. Bovendien wordt duidelijk welke bedrijven in de regio’s Woerden en Veenendaal nieuwe bedrijven genereren en hiermee een belangrijke rol spelen in de economie.</w:t>
      </w:r>
      <w:r w:rsidRPr="00302170">
        <w:rPr>
          <w:rFonts w:cs="Times"/>
        </w:rPr>
        <w:t xml:space="preserve"> </w:t>
      </w:r>
      <w:r w:rsidRPr="00302170">
        <w:t>Het onderzoek eindigt in een conclusie, gevolgd door beleidsadvies gebaseerd op de gevonden resultaten.</w:t>
      </w:r>
    </w:p>
    <w:p w14:paraId="4F894AD4" w14:textId="77777777" w:rsidR="001105A9" w:rsidRPr="00302170" w:rsidRDefault="001105A9" w:rsidP="006B55BB">
      <w:pPr>
        <w:pStyle w:val="Heading1"/>
        <w:rPr>
          <w:rFonts w:cs="Times"/>
        </w:rPr>
      </w:pPr>
      <w:bookmarkStart w:id="7" w:name="_Toc316143560"/>
      <w:bookmarkStart w:id="8" w:name="_Toc337655410"/>
      <w:r w:rsidRPr="00302170">
        <w:t>1.2 Maatschappelijke relevantie</w:t>
      </w:r>
      <w:bookmarkEnd w:id="7"/>
      <w:bookmarkEnd w:id="8"/>
    </w:p>
    <w:p w14:paraId="610878C3" w14:textId="77777777" w:rsidR="001105A9" w:rsidRPr="00302170" w:rsidRDefault="001105A9" w:rsidP="006B55BB">
      <w:pPr>
        <w:rPr>
          <w:rFonts w:cs="Times"/>
        </w:rPr>
      </w:pPr>
      <w:r w:rsidRPr="00302170">
        <w:t xml:space="preserve">Een gedetailleerd inzicht in de sectorale structuur en bedrijfsdynamiek van de regio’s Woerden en Veenendaal maakt het mogelijk om een meer op deze regio’s toegespitste economische beleidsvisie te formuleren. Deze visie sluit aan bij de behoefte van de EBU om overal in de provincie Utrecht zo veel mogelijk profijt te realiseren uit crossovers. Door de skill-gerelateerdheid van sectoren in de regio’s in kaart te brengen kan men rekening houden met mogelijkheden om cross-sectorale samenwerking te stimuleren en nieuwe sectoren op te bouwen. </w:t>
      </w:r>
      <w:r>
        <w:t>Door in te zien hoe de huidige economische structuur aansluit bij groeiende sectoren, kan de regionale economie meegroeien</w:t>
      </w:r>
      <w:r w:rsidRPr="00302170">
        <w:t xml:space="preserve">. Door Woerden en Veenendaal met provincie Utrecht te vergelijken wordt duidelijk in hoeverre de regio’s in provinciaal beleid passen. Als dit niet het geval is, zal er specifiek regionaal beleid </w:t>
      </w:r>
      <w:r>
        <w:t>kunnen</w:t>
      </w:r>
      <w:r w:rsidRPr="00302170">
        <w:t xml:space="preserve"> worden opgesteld voor deze regio’s. Door Woerden en Veenendaal met andere regio’s te vergelijken, ontstaat bovendien een goed beeld van de concurrentieverhouding die deze regio’s hebben ten opzichte van vergelijkbare regio</w:t>
      </w:r>
      <w:r>
        <w:t>’</w:t>
      </w:r>
      <w:r w:rsidRPr="00302170">
        <w:t>s</w:t>
      </w:r>
      <w:r>
        <w:t xml:space="preserve"> buiten provincie Utrecht</w:t>
      </w:r>
      <w:r w:rsidRPr="00302170">
        <w:t>. Aan de hand van de uitkomsten wordt beleidsadvies opgesteld.</w:t>
      </w:r>
    </w:p>
    <w:p w14:paraId="1D0DB133" w14:textId="77777777" w:rsidR="001105A9" w:rsidRPr="00302170" w:rsidRDefault="001105A9" w:rsidP="006B55BB">
      <w:pPr>
        <w:pStyle w:val="Heading1"/>
        <w:rPr>
          <w:rFonts w:cs="Times"/>
        </w:rPr>
      </w:pPr>
      <w:bookmarkStart w:id="9" w:name="_Toc316143561"/>
      <w:bookmarkStart w:id="10" w:name="_Toc337655411"/>
      <w:r w:rsidRPr="00302170">
        <w:t>1.3 Wetenschappelijke relevantie</w:t>
      </w:r>
      <w:bookmarkEnd w:id="9"/>
      <w:bookmarkEnd w:id="10"/>
    </w:p>
    <w:p w14:paraId="3153BBA2" w14:textId="77777777" w:rsidR="001105A9" w:rsidRPr="00302170" w:rsidRDefault="001105A9" w:rsidP="006B55BB">
      <w:pPr>
        <w:rPr>
          <w:rFonts w:cs="Times"/>
        </w:rPr>
      </w:pPr>
      <w:r w:rsidRPr="00302170">
        <w:t>In eerder onderzoek va</w:t>
      </w:r>
      <w:r>
        <w:t>n V</w:t>
      </w:r>
      <w:r w:rsidRPr="00302170">
        <w:t xml:space="preserve">an Oort (2013) is de skill-gerelateerdheid van sectoren op 3 cijfers van de SBI‐index in kaart gebracht aan de hand van arbeidsmobiliteit voor de gehele provincie Utrecht. In dit onderzoek wordt de mate van (sector)specialisatie meer gedetailleerd onderzocht waardoor </w:t>
      </w:r>
      <w:r>
        <w:t>een exacter beeld ontstaat van de situatie binnen de sectoren</w:t>
      </w:r>
      <w:r w:rsidRPr="00302170">
        <w:t xml:space="preserve">. Bovendien is de regionale schaal meer gedetailleerd. Het gaat om de regio’s Woerden en Veenendaal en niet om de gehele provincie Utrecht. </w:t>
      </w:r>
      <w:r>
        <w:t>Dit</w:t>
      </w:r>
      <w:r w:rsidRPr="00302170">
        <w:t xml:space="preserve"> onderzoek combineert onderzoek naar skill-gerelateerdheid, spin-offs en human capital bij ondernem</w:t>
      </w:r>
      <w:r>
        <w:t xml:space="preserve">ers, met als doel </w:t>
      </w:r>
      <w:r w:rsidRPr="00302170">
        <w:t xml:space="preserve">een nieuwe blik te werpen op de skill-gerelateerdheid in de regio’s Woerden en Veenendaal. De resultaten van deze methode </w:t>
      </w:r>
      <w:r>
        <w:t>en het werk van V</w:t>
      </w:r>
      <w:r w:rsidRPr="00302170">
        <w:t>an Oort (2013) kunnen vergeleken worden. Hierdoor ontstaat meer inzicht in hoe de methoden verschillen en overeenkomen qua resultaten.</w:t>
      </w:r>
    </w:p>
    <w:p w14:paraId="745201FA" w14:textId="77777777" w:rsidR="001105A9" w:rsidRDefault="001105A9" w:rsidP="006B55BB">
      <w:pPr>
        <w:pStyle w:val="Heading1"/>
      </w:pPr>
      <w:bookmarkStart w:id="11" w:name="_Toc316143562"/>
      <w:bookmarkStart w:id="12" w:name="_Toc337655412"/>
      <w:r w:rsidRPr="00302170">
        <w:t>1.4 Onderzoeksvragen</w:t>
      </w:r>
      <w:bookmarkEnd w:id="11"/>
      <w:bookmarkEnd w:id="12"/>
    </w:p>
    <w:p w14:paraId="0922C2A5" w14:textId="77777777" w:rsidR="001105A9" w:rsidRDefault="001105A9" w:rsidP="006B55BB">
      <w:r w:rsidRPr="004A2C6B">
        <w:t xml:space="preserve">De centrale vraag luidt als volgt: </w:t>
      </w:r>
    </w:p>
    <w:p w14:paraId="5BB3CDE7" w14:textId="77777777" w:rsidR="006B55BB" w:rsidRPr="00265295" w:rsidRDefault="006B55BB" w:rsidP="006B55BB">
      <w:pPr>
        <w:rPr>
          <w:rFonts w:cs="Times"/>
        </w:rPr>
      </w:pPr>
    </w:p>
    <w:p w14:paraId="1591D9EF" w14:textId="5D2C3936" w:rsidR="001105A9" w:rsidRPr="006B55BB" w:rsidRDefault="001105A9" w:rsidP="006B55BB">
      <w:pPr>
        <w:rPr>
          <w:i/>
        </w:rPr>
      </w:pPr>
      <w:r w:rsidRPr="00302170">
        <w:t>“</w:t>
      </w:r>
      <w:r w:rsidRPr="006B55BB">
        <w:rPr>
          <w:i/>
        </w:rPr>
        <w:t>In hoeverre is er in de regio’s Woerden en Veenendaal op basis van spin-off ontwikkelingen sprake van gerelateerde variëteit van bepaalde bedrijfstakken en in welke mate heeft dit vliegwieleffecten voor de economie in beide regio’s?</w:t>
      </w:r>
      <w:r w:rsidR="006B55BB" w:rsidRPr="006B55BB">
        <w:rPr>
          <w:i/>
        </w:rPr>
        <w:t xml:space="preserve">” </w:t>
      </w:r>
    </w:p>
    <w:p w14:paraId="1BEEF209" w14:textId="77777777" w:rsidR="006B55BB" w:rsidRPr="00302170" w:rsidRDefault="006B55BB" w:rsidP="006B55BB"/>
    <w:p w14:paraId="17625CD3" w14:textId="77777777" w:rsidR="001105A9" w:rsidRDefault="001105A9" w:rsidP="006B55BB">
      <w:r>
        <w:t>Deze vraag wordt beantwoord aan de hand van de volgende vragen</w:t>
      </w:r>
      <w:r w:rsidRPr="00302170">
        <w:t>:</w:t>
      </w:r>
    </w:p>
    <w:p w14:paraId="38C7FD6A" w14:textId="77777777" w:rsidR="006B55BB" w:rsidRPr="00302170" w:rsidRDefault="006B55BB" w:rsidP="006B55BB"/>
    <w:p w14:paraId="338FCA91" w14:textId="77777777" w:rsidR="001105A9" w:rsidRDefault="001105A9" w:rsidP="006B55BB">
      <w:r w:rsidRPr="00302170">
        <w:t>“</w:t>
      </w:r>
      <w:r w:rsidRPr="006B55BB">
        <w:rPr>
          <w:i/>
        </w:rPr>
        <w:t>Is er sprake van een sectorspecialisatie van de werkgelegenheid in de regio’s Woerden en Veenendaal in vergelijking tot omliggende regio’s eruit  en hoe heeft die sectorspecialisatie  zich ontwikkeld tussen 1997 en 2012</w:t>
      </w:r>
      <w:r w:rsidRPr="00302170">
        <w:t>?”</w:t>
      </w:r>
    </w:p>
    <w:p w14:paraId="3B0FA57F" w14:textId="77777777" w:rsidR="00B705C3" w:rsidRDefault="00B705C3" w:rsidP="006B55BB"/>
    <w:p w14:paraId="7256DBA2" w14:textId="624CD945" w:rsidR="001105A9" w:rsidRDefault="001105A9" w:rsidP="006B55BB">
      <w:r>
        <w:t>“</w:t>
      </w:r>
      <w:r w:rsidRPr="006B55BB">
        <w:rPr>
          <w:i/>
        </w:rPr>
        <w:t>Is het mogelijk om op basis van de spin-off ontwikkeling spreken van gerelateerde variëteit tussen bepaalde sectoren in de regio’s Woerden en Veenendaal?</w:t>
      </w:r>
      <w:r>
        <w:t>”</w:t>
      </w:r>
    </w:p>
    <w:p w14:paraId="65DFBF0C" w14:textId="77777777" w:rsidR="006B55BB" w:rsidRDefault="006B55BB" w:rsidP="006B55BB"/>
    <w:p w14:paraId="6C38BDB3" w14:textId="77777777" w:rsidR="00654767" w:rsidRDefault="001105A9" w:rsidP="006B55BB">
      <w:r w:rsidRPr="00302170">
        <w:t>“</w:t>
      </w:r>
      <w:r w:rsidRPr="006B55BB">
        <w:rPr>
          <w:i/>
        </w:rPr>
        <w:t>Welke vliegwieleffecten gemeten aan werkgelegenheidsgroei heeft deze gerelateerde variëteit voor economie in de regio’s Woerden en Veenendaal?”</w:t>
      </w:r>
    </w:p>
    <w:p w14:paraId="56636DA3" w14:textId="77777777" w:rsidR="003910BE" w:rsidRDefault="003910BE" w:rsidP="003910BE">
      <w:pPr>
        <w:pStyle w:val="Title"/>
      </w:pPr>
      <w:r>
        <w:br w:type="column"/>
      </w:r>
      <w:bookmarkStart w:id="13" w:name="_Toc316143563"/>
      <w:bookmarkStart w:id="14" w:name="_Toc337655413"/>
      <w:r>
        <w:t xml:space="preserve">2 </w:t>
      </w:r>
      <w:r w:rsidRPr="000F22A8">
        <w:t>Theoretisch kader</w:t>
      </w:r>
      <w:bookmarkEnd w:id="13"/>
      <w:bookmarkEnd w:id="14"/>
    </w:p>
    <w:p w14:paraId="0EB02AA2" w14:textId="45BB1592" w:rsidR="003910BE" w:rsidRPr="001D7D36" w:rsidRDefault="003910BE" w:rsidP="003910BE">
      <w:r>
        <w:t>Aan de hand van bestaande wetenschappelijke literatuur wordt besproken hoe verschillende sectoren gebruik maken van dezelfde vaardigheden en hoe dit de regionale economie beïnvloedt. Vervolgens wordt duidelijk hoe innovatie plaatsvindt op regionaal niveau en welke rol innovatie speelt voor de regionale con</w:t>
      </w:r>
      <w:r w:rsidR="003355DF">
        <w:t>currentiepositie. In paragraaf 2</w:t>
      </w:r>
      <w:bookmarkStart w:id="15" w:name="_GoBack"/>
      <w:bookmarkEnd w:id="15"/>
      <w:r>
        <w:t>.3 wordt weer ingezoomd op de rol die spin-offs spelen in het regionale innovatiesysteem, en welke invloed zijn hebben op de vaardigheden die aanwezig zijn in de regio. Het theoretisch kader sluit af met een overzicht van empirie rond deze spin-offs.</w:t>
      </w:r>
    </w:p>
    <w:p w14:paraId="176037C2" w14:textId="78B87741" w:rsidR="003910BE" w:rsidRPr="006938A7" w:rsidRDefault="003910BE" w:rsidP="003910BE">
      <w:pPr>
        <w:pStyle w:val="Heading1"/>
      </w:pPr>
      <w:bookmarkStart w:id="16" w:name="_Toc316143564"/>
      <w:bookmarkStart w:id="17" w:name="_Toc337655414"/>
      <w:r>
        <w:t xml:space="preserve">2.1 </w:t>
      </w:r>
      <w:r w:rsidRPr="006938A7">
        <w:t>Skill-gerelateerdheid</w:t>
      </w:r>
      <w:bookmarkEnd w:id="16"/>
      <w:bookmarkEnd w:id="17"/>
    </w:p>
    <w:p w14:paraId="6147DC13" w14:textId="71EF29BD" w:rsidR="003910BE" w:rsidRDefault="003910BE" w:rsidP="003910BE">
      <w:r w:rsidRPr="001D7D36">
        <w:t>Binnen een regio zijn verschillende economische activiteiten</w:t>
      </w:r>
      <w:r>
        <w:t xml:space="preserve"> te vinden en dit is terug te vinden in de samenstelling van de arbeidsmarkt van een regio. Arbeidsmarkten zijn op te delen in sectoren, groepen bedrijven die met dezelfde activiteiten bezig zijn. Binnen een regionale arbeidsmarkt zijn mensen gespecialiseerd in de sector waarin zij actief zijn. Ze hebben door scholing en ervaring de kennis en vaardigheden om hun baan zeer goed te doen, terwijl de meeste andere mensen intensieve bijscholing nodig zullen hebben om de taken die bij dit beroep horen</w:t>
      </w:r>
      <w:r w:rsidR="00F56978">
        <w:t xml:space="preserve"> effectief</w:t>
      </w:r>
      <w:r>
        <w:t xml:space="preserve"> uit te voeren.</w:t>
      </w:r>
    </w:p>
    <w:p w14:paraId="1CD2B380" w14:textId="77777777" w:rsidR="003910BE" w:rsidRDefault="003910BE" w:rsidP="003910BE">
      <w:pPr>
        <w:ind w:firstLine="720"/>
      </w:pPr>
      <w:r>
        <w:t>Ervaren mensen aannemen is voor bedrijven een efficiëntere wijze van het binnenhalen van vaardigheden en kennis dan bijscholing van bestaand personeel (Robinson, 1994). Ervaren werknemers hebben minder tijd nodig om te leren hoe zij hun werk zo efficiënt mogelijk kunnen doen, en zijn daarom aantrekkelijk om aan te nemen voor bedrijven. Hierdoor zullen sollicitanten met sector specifieke ervaring ook een streepje voor hebben op onervaren mensen die op een vacature reageren. Werkzoekenden met ervaring in een sector zullen hierdoor hogere salarissen kunnen verdienen met werk binnen de betreffende sector, en hebben binnen deze sector een hogere kans op het vinden van werk. Bedrijven nemen dus het liefst personeel aan dat de sector kent, terwijl werkzoekenden ook het liefst werken in een sector waar ze al kennis en ervaring in hebben opgedaan. Dit maakt dat mensen over het algemeen werk blijven uitvoeren rondom dezelfde set vaardigheden en vaak in dezelfde sector werkzaam blijven</w:t>
      </w:r>
      <w:r w:rsidRPr="00254B0F">
        <w:t xml:space="preserve"> </w:t>
      </w:r>
      <w:r>
        <w:t>(Neffke &amp; Henning, 2013).</w:t>
      </w:r>
    </w:p>
    <w:p w14:paraId="5A3CECDF" w14:textId="77777777" w:rsidR="003910BE" w:rsidRDefault="003910BE" w:rsidP="003910BE">
      <w:pPr>
        <w:ind w:firstLine="720"/>
      </w:pPr>
      <w:r>
        <w:t>Een ander voordeel van sectorspecifieke ervaring, is dat mensen vaak gebruik kunnen maken van het sociale netwerk dat zij hebben opgebouwd tijdens hun werk in een bepaalde sector. Contacten in dit netwerk helpen vaak bij het vinden van een nieuwe baan, zodat de werknemer in dezelfde branche blijft werken. Omdat de meeste zakelijke en sociale contacten binnen een regio blijven wonen, zullen werkzoekenden proberen om weer aan het werk te komen binnen de regio waar zij eerder werkten. Ook brengt verhuizen vanuit praktisch opzicht veel stres en kosten mee. Hierdoor opereert de arbeidsmarkt over het algemeen op regionaal niveau (Davidsson &amp; Honig, 2003) Er zitten echter geen vaste grenzen aan de regionale arbeidsmarkt, en ook het schaalniveau waarop de kennis zich verspreid verschilt blijft onduidelijk in bestaande literatuur (Malmberg &amp; Maskell, 2002).</w:t>
      </w:r>
    </w:p>
    <w:p w14:paraId="6E5809C4" w14:textId="51DA400B" w:rsidR="003910BE" w:rsidRDefault="003910BE" w:rsidP="003910BE">
      <w:pPr>
        <w:ind w:firstLine="720"/>
      </w:pPr>
      <w:r>
        <w:t xml:space="preserve">Ervaring en locatie spelen dus, door middel van opgedane sectorspecifieke kennis, vaardigheden en contacten, een grote rol speelt bij het vinden van een baan. Soms is er echter behoefte aan ander werk, of zijn er geen nabije banen meer te vinden in de sector waar iemand het meest voor geschrikt is qua ervaring. Het is mogelijk dat een hele sector in de regio krimpt op een zeker moment. Dit kan zijn omdat er geen vraag meer is naar het product dat de sector produceert, of </w:t>
      </w:r>
      <w:r w:rsidR="00C1606D">
        <w:t>omdat bedrijven in de</w:t>
      </w:r>
      <w:r>
        <w:t xml:space="preserve"> regio qua kosten of kwaliteit van de producten niet meer kan concurreren met andere regio’s, of omdat de arbeidsproductiviteit sneller toeneemt dan de groei in vraag naar een product (Frenken et al, 2004). In zo’n geval </w:t>
      </w:r>
      <w:r w:rsidR="00C1606D">
        <w:t>zullen werkloze bewoners vaker voor werk in een andere sector kiezen</w:t>
      </w:r>
      <w:r>
        <w:t>. Ook bij het zoeken van een baan in een andere sector geldt echter dat mensen het liefst een baan hebben waarop zij hun eerder opgebouwde kennis en vaardigheden en sociale netwerk nog zo veel mogelijk kunnen benutten (Neffke &amp; Henning, 2013).</w:t>
      </w:r>
    </w:p>
    <w:p w14:paraId="427B8D7A" w14:textId="77777777" w:rsidR="003910BE" w:rsidRDefault="003910BE" w:rsidP="003910BE">
      <w:pPr>
        <w:ind w:firstLine="720"/>
      </w:pPr>
      <w:r>
        <w:t xml:space="preserve">Hierdoor kiezen mensen die gaan werken in een andere sector over het algemeen voor een sector die min of meer van dezelfde vaardigheden gebruik maakt. </w:t>
      </w:r>
      <w:r w:rsidRPr="00DC4D12">
        <w:t>Een automonteur zal met zijn montagevaardigheden minder hoeven bij te leren om loodgieter te worden dan</w:t>
      </w:r>
      <w:r>
        <w:t xml:space="preserve"> om</w:t>
      </w:r>
      <w:r w:rsidRPr="00DC4D12">
        <w:t xml:space="preserve"> accountant</w:t>
      </w:r>
      <w:r>
        <w:t xml:space="preserve"> te worden</w:t>
      </w:r>
      <w:r w:rsidRPr="00DC4D12">
        <w:t>.</w:t>
      </w:r>
      <w:r>
        <w:t xml:space="preserve"> Op deze wijze hebben veel beroepen overlap in de benodigde vaardigheden.</w:t>
      </w:r>
    </w:p>
    <w:p w14:paraId="18EF631B" w14:textId="70F32DDD" w:rsidR="003910BE" w:rsidRDefault="003910BE" w:rsidP="003910BE">
      <w:pPr>
        <w:ind w:firstLine="720"/>
      </w:pPr>
      <w:r>
        <w:t>Omdat deze overlap bestaat, wordt het mogelijk om voorspellingen te doen over de ontwikkeling van de regionale arbeidsmarkt. Als het duidelijk is dat de werkgelegenheid in een sector krimpt, zullen de mensen die werkzaam waren in deze sector een baan zoeken waar zij dezelfde vaardigheden in kunnen zetten.</w:t>
      </w:r>
      <w:r w:rsidR="00361164">
        <w:t xml:space="preserve"> Sectoren waar vraag naar is, en die aansluiten op de kennis en vaardigheden van de lokale arbeidsmarkt, kunnen hun producten efficiënt en met goede kwaliteit maken hebben een grote kans op te bloeien.</w:t>
      </w:r>
      <w:r>
        <w:t xml:space="preserve"> Door te kijken tussen welke sectoren er arbeidsmigratie plaatsvindt, wordt duidelijk hoe sterk deze sectoren aan elkaar gerelateerd zijn qua vaardigheden (</w:t>
      </w:r>
      <w:r w:rsidRPr="00653BCA">
        <w:rPr>
          <w:i/>
        </w:rPr>
        <w:t>skills</w:t>
      </w:r>
      <w:r>
        <w:t xml:space="preserve">). Hoe vaker mensen vanuit een bepaalde sector werk vinden in een andere sector, hoe sterker deze sectoren aan elkaar gerelateerd zijn. Deze maat wordt </w:t>
      </w:r>
      <w:r w:rsidRPr="003C2BAE">
        <w:rPr>
          <w:i/>
        </w:rPr>
        <w:t>skill-gerelateerdheid</w:t>
      </w:r>
      <w:r>
        <w:t xml:space="preserve"> genoemd en kan gebruikt worden om ontwikkelingen in de regionale arbeidsmarkt van te voren aan te zien komen.</w:t>
      </w:r>
    </w:p>
    <w:p w14:paraId="32B9B7DC" w14:textId="77777777" w:rsidR="003910BE" w:rsidRPr="009A3640" w:rsidRDefault="003910BE" w:rsidP="003910BE">
      <w:pPr>
        <w:ind w:firstLine="720"/>
      </w:pPr>
      <w:r w:rsidRPr="009A3640">
        <w:t xml:space="preserve">Van Oort (2013) heeft skill-gerelateerdheid op basis van arbeidsmigratie gebruikt om de arbeidsmarkt van provincie Utrecht in beeld te brengen. Door te kijken hoe vaak mensen een baan vanuit een zekere sector inwisselde voor een baan uit een andere sector, werd duidelijk hoe sterk deze twee sectoren aan elkaar gerelateerd waren. Van Oort heeft op deze wijze voor provincie Utrecht voor iedere sector op SBI-3 niveau in kaart gebracht hoe sterk de relatie was.  </w:t>
      </w:r>
    </w:p>
    <w:p w14:paraId="3E7640E5" w14:textId="5E064DC4" w:rsidR="003910BE" w:rsidRPr="00AF539C" w:rsidRDefault="003910BE" w:rsidP="003910BE">
      <w:pPr>
        <w:pStyle w:val="Heading1"/>
      </w:pPr>
      <w:bookmarkStart w:id="18" w:name="_Toc316143565"/>
      <w:bookmarkStart w:id="19" w:name="_Toc337655415"/>
      <w:r>
        <w:t>2.2 Innovatie en concurrentie in de regio</w:t>
      </w:r>
      <w:bookmarkEnd w:id="18"/>
      <w:bookmarkEnd w:id="19"/>
    </w:p>
    <w:p w14:paraId="59A46748" w14:textId="77777777" w:rsidR="003910BE" w:rsidRDefault="003910BE" w:rsidP="003910BE">
      <w:r>
        <w:t>In veel sectoren moeten bedrijven zich blijven aanpassen aan te kunnen blijven concurreren met branchegenoten, of zelfs bedrijven uit andere sectoren. Er blijven nieuwe producten op de markt komen, en bedrijven blijven hun management en productieprocessen aanpassen om kosten te besparen of nieuwe markten aan te boren. Bedrijven die zich technologisch of strategisch minder ontwikkelen dan hun concurrenten, zullen minder groeien of zelfs failliet gaan (Saviotti, 1996).</w:t>
      </w:r>
    </w:p>
    <w:p w14:paraId="131B2A0C" w14:textId="712304EB" w:rsidR="003910BE" w:rsidRDefault="003910BE" w:rsidP="003910BE">
      <w:pPr>
        <w:ind w:firstLine="720"/>
      </w:pPr>
      <w:r>
        <w:t>Om een nieuwe strategie te vormen hebben bedrijven informatie nodig over hun sector en omgeving. Om deze strategie uit te kunnen voeren hebben bedrijven de juiste middelen nodig, waaronder de juiste vaardigheden bij werknemers. Bedrijven halen hun informatie en middelen via sociale netwerken en de arbeidsmarkt uit hun omgeving (Boschma, 2011; Burt, 2001). Maar is het voor een bedrijfspopulatie die zich blijft aanpassen om te concurreren beter om in een homogene (en daardoor op één sector gespecialiseerde</w:t>
      </w:r>
      <w:r w:rsidR="00CE3705">
        <w:t xml:space="preserve"> arbeidsmarkt</w:t>
      </w:r>
      <w:r>
        <w:t>), of juist een diverse arbeidsmarkt gevestigd te zijn? Ook bij het beantwoorden van deze vraag speelt skill-gerelateerdheid een belangrijke rol.</w:t>
      </w:r>
    </w:p>
    <w:p w14:paraId="1428CFA0" w14:textId="2B253C44" w:rsidR="003910BE" w:rsidRDefault="003910BE" w:rsidP="003910BE">
      <w:pPr>
        <w:ind w:firstLine="720"/>
      </w:pPr>
      <w:r>
        <w:t xml:space="preserve">In een regio die zich specialiseert, doen veel werknemers vergelijkbaar werk. Hierdoor kunnen bedrijven bij het aannemen van nieuwe werknemers makkelijk gebruik maken van een arbeidsmarkt die gespecialiseerd is in de vaardigheden die zijn nodig hebben. Als een bedrijf innoveert, kan de kennis over deze innovatie ook snel verspreiden via deze arbeidsmarkt. Ook is het aantrekkelijk voor klanten en leveranciers van de sector die zich specialiseert om zich in de regio te vestigen (Van Oort, 2014). </w:t>
      </w:r>
      <w:r w:rsidR="004707D1">
        <w:t>Geografische nabijheid</w:t>
      </w:r>
      <w:r>
        <w:t xml:space="preserve"> maakt communicatie makkelijker en scheelt in sommige gevallen transportkosten. Vooral de snelle communicatie is een voordeel, omdat bedrijven hierdoor een betere vertrouwensband krijgen en efficiënter kunnen samenwerken. Een groep bedrijven die intensief samenwerkt in een regio wordt een cluster genoemd, en kan de economie binnen een regio zeer efficiënt maken (Malmberg &amp; Maskell, 2002).</w:t>
      </w:r>
    </w:p>
    <w:p w14:paraId="7CB1E89D" w14:textId="41712D06" w:rsidR="003910BE" w:rsidRDefault="003910BE" w:rsidP="003910BE">
      <w:r>
        <w:tab/>
        <w:t xml:space="preserve">Toch zitten er ook nadelen aan sterk gespecialiseerde regio’s. Als veel bedrijven op één plek concurreren om dezelfde locaties, grondstoffen, en dezelfde functies binnen de regionale arbeidsmarkt, zullen de kosten stijgen (Broersma &amp; Oosterhaven, 2009). Een ander probleem dat kan voorkomen is </w:t>
      </w:r>
      <w:r w:rsidRPr="005725D8">
        <w:rPr>
          <w:i/>
        </w:rPr>
        <w:t>lock-in</w:t>
      </w:r>
      <w:r>
        <w:t xml:space="preserve">: bedrijven binnen de regio zijn zo op elkaar ingesteld dat mogelijkheden buiten de regio worden genegeerd. Als andere bedrijven in de </w:t>
      </w:r>
      <w:r w:rsidR="00854564">
        <w:t xml:space="preserve">dezelfde </w:t>
      </w:r>
      <w:r>
        <w:t>sector, maar in een andere regio door middel van innovatie een beter of goedkoper product kunnen aanbieden, zal de kennis in de lokale sector niet minder goed kunnen concurreren. Dit zorgt voor problemen in regio’s met een gespecialiseerde arbeidsmarkt, omdat bedrijven die minder goed kunnen concurreren werknemers zullen ontslaan. Als de gehele sector in de regio niet meer kan concurreren, zullen deze mensen in deze sector echter geen baan meer kunnen vinden waar hun specifieke vaardigheden nodig zijn, en ontstaat er structurele werkloosheid (Boschma, 2011; Menzel &amp; Fornahl, 2009).</w:t>
      </w:r>
    </w:p>
    <w:p w14:paraId="5035D7C7" w14:textId="5B7BCD21" w:rsidR="003910BE" w:rsidRDefault="003910BE" w:rsidP="003910BE">
      <w:r>
        <w:tab/>
        <w:t xml:space="preserve">Regio’s met een diverse arbeidsmarkt zijn over het algemeen veel stabieler. Als er een groep bedrijven verdwijnt, zal het </w:t>
      </w:r>
      <w:r w:rsidR="00F20FE2">
        <w:t xml:space="preserve">totaal </w:t>
      </w:r>
      <w:r>
        <w:t>aantal ontslagen</w:t>
      </w:r>
      <w:r w:rsidR="00F20FE2">
        <w:t xml:space="preserve"> in de regio</w:t>
      </w:r>
      <w:r>
        <w:t xml:space="preserve"> kleiner zijn, en zijn er vaak meer aanverwante sectoren waar mensen een deel van hun opgedane vaardigheden opnieuw kunnen inzetten. Aan de andere kant zal een diverse arbeidsmarkt nooit de efficiëntie bereiken van een sterk gespecialiseerde regio (Beaudry &amp; Schivauerova, 2009).</w:t>
      </w:r>
    </w:p>
    <w:p w14:paraId="3CA3DA2A" w14:textId="0C74D2D4" w:rsidR="003910BE" w:rsidRDefault="003910BE" w:rsidP="003910BE">
      <w:pPr>
        <w:ind w:firstLine="720"/>
      </w:pPr>
      <w:r>
        <w:t xml:space="preserve">Net als in een gespecialiseerde regio, wisselen bedrijven en individuen in gediversifieerde regio’s nog altijd veel kennis uit. Mensen met verschillende beroepen spreken elkaar informeel, zodat er een </w:t>
      </w:r>
      <w:r w:rsidRPr="004D2F8D">
        <w:rPr>
          <w:i/>
        </w:rPr>
        <w:t>local buzz</w:t>
      </w:r>
      <w:r>
        <w:t xml:space="preserve"> ontstaat. Hierdoor sijpelt er veel informatie onbedoeld van het ene naar het andere bedrijf, en kunnen</w:t>
      </w:r>
      <w:r w:rsidR="00B050DA">
        <w:t xml:space="preserve"> </w:t>
      </w:r>
      <w:r>
        <w:t>bedrijven makkelijker een partnerschap met elkaar aangaan, of nieuwe kansen tot ondernemen pakken. Bovendien nemen bedrijven werknemers aan uit andere sectoren, omdat er nou eenmaal weinig mensen zijn die hun vaardigheden specifiek op één sector hebben toegespitst (Bathelt et al., 2004). Deze mensen zullen ook kennis en vaardigheden inzetten die traditioneel niet in de sector werden toegepast. Ook zullen ze beter op de hoogte blijven van nieuwe ontwikkelingen in andere sectoren, omdat een groot deel van het sociale netwerk dat zij tijdens hun leven hebben opgebouwd in andere sectoren werkzaam is (Koster, 2006).</w:t>
      </w:r>
    </w:p>
    <w:p w14:paraId="74F5542C" w14:textId="77777777" w:rsidR="003910BE" w:rsidRDefault="003910BE" w:rsidP="003910BE">
      <w:pPr>
        <w:ind w:firstLine="720"/>
      </w:pPr>
      <w:r>
        <w:t>Veel van de kennis uit andere sectoren sluit niet perfect aan bij de behoeften van de sector waar de informatie binnenkomt als kennis van binnen de sector. Hier staat echter tegenover dat ervaring vanuit andere sectoren kan leiden tot nieuwe inzichten, terwijl meer ervaring uit de eigen sector voornamelijk leidt tot kennis die toch al binnen het bedrijf aanwezig was. Voor bedrijven die willen vernieuwen is het aannemen van mensen met ervaring van buiten de sector dus een goede manier om nieuwe mogelijkheden te ontdekken, ondanks dat dit personeel waarschijnlijk langer zal moeten wennen aan nieuw werk (Sapienza et al., 2003).</w:t>
      </w:r>
    </w:p>
    <w:p w14:paraId="02AB10CD" w14:textId="77777777" w:rsidR="003910BE" w:rsidRDefault="003910BE" w:rsidP="003910BE">
      <w:pPr>
        <w:ind w:firstLine="720"/>
      </w:pPr>
      <w:r>
        <w:t xml:space="preserve">Als nieuwe inzichten succes opleveren voor bedrijven, is er sprake van innovatie. De kans op daadwerkelijke innovatie is maar zeer klein als de kennis uit twee volledig ongerelateerde sectoren komt. Als er geen sprake is van skill-gerelateerdheid, wordt het voor mensen met verschillende skill-sets ook moeilijker om duidelijk te communiceren (Castaldi et al, 2013). Dan is er sprake van cognitieve dissonantie: door verschillen in achtergrond begrijpen mensen elkaar niet, en wordt samenwerking zeer lastig (Cohen &amp; Levinthal, 1990). De kans op innovatie is het grootst als het om twee sectoren gaat die traditioneel niet samenwerken, maar toch een overlap hebben in de gebruikte vaardigheden. Het gaat dus om een tussenvorm van diversiteit en specialisatie, dit wordt </w:t>
      </w:r>
      <w:r w:rsidRPr="002460E9">
        <w:rPr>
          <w:i/>
        </w:rPr>
        <w:t>gerelateerde variëteit</w:t>
      </w:r>
      <w:r>
        <w:t xml:space="preserve"> genoemd (Castaldi et al., 2013; Van Oort, 2013).</w:t>
      </w:r>
    </w:p>
    <w:p w14:paraId="77B042D7" w14:textId="203C334D" w:rsidR="003910BE" w:rsidRDefault="003910BE" w:rsidP="003910BE">
      <w:pPr>
        <w:ind w:firstLine="720"/>
      </w:pPr>
      <w:r>
        <w:t xml:space="preserve">Menzel &amp; Fornahl (2009) stellen dat ieder cluster een eigen levensloop kent. Nadat een succesvol cluster is gestart, zal de omgeving zich steeds verder specialiseren en neemt de efficiëntie van productie in het gebied toe. Zonder innovatie zal de markt echter verzadigd raken, of zal een andere, meer innovatieve locatie </w:t>
      </w:r>
      <w:r w:rsidR="00F20302">
        <w:t>de concurrentiestrijd</w:t>
      </w:r>
      <w:r>
        <w:t xml:space="preserve"> winnen in het lokale cluster. Zo zal de productie in het cluster weer dalen. Om relevant te blijven zal een cluster dus efficiënt moeten produceren, maar ook moeten blijven innoveren. Om in beeld te brengen waar in de levensfase een cluster zich bevind</w:t>
      </w:r>
      <w:r w:rsidR="00052212">
        <w:t>t</w:t>
      </w:r>
      <w:r>
        <w:t>, kan worden bekeken in hoeverre</w:t>
      </w:r>
      <w:r w:rsidR="00FB07FD">
        <w:t xml:space="preserve"> lokale</w:t>
      </w:r>
      <w:r>
        <w:t xml:space="preserve"> bedrijven in bepaalde sectoren collectief stoppen met groeien en een krimpfase inzetten. Voor deze sectoren kan vervolgens bekeken worden welke gerelateerde sectoren in de regio wel groeikansen bieden. Met stimuleringsbeleid kan zo werkloosheid worden opgevangen vanuit de krimpende sector. Zo blijft de arbeidsmarkt dynamisch en blijft de regio leren en innoveren (Menzel &amp; Fornahl, 2009).</w:t>
      </w:r>
    </w:p>
    <w:p w14:paraId="40011F0E" w14:textId="7785DE46" w:rsidR="003910BE" w:rsidRDefault="003910BE" w:rsidP="003910BE">
      <w:pPr>
        <w:ind w:firstLine="720"/>
      </w:pPr>
      <w:r>
        <w:t xml:space="preserve">Een belangrijke </w:t>
      </w:r>
      <w:r w:rsidR="00FB07FD">
        <w:t>eigen</w:t>
      </w:r>
      <w:r>
        <w:t xml:space="preserve">schap van innovatie is dat het vaak accumulatief is. Vaak is een eerdere innovatie nodig om een volgende innovatie te kunnen laten </w:t>
      </w:r>
      <w:r w:rsidR="00FB07FD">
        <w:t>plaatsvinden</w:t>
      </w:r>
      <w:r>
        <w:t>. Hierdoor zijn sommige regio’s zeer innovatief, terwijl andere clusters die eenmaal achter zijn geraakt met bij de laatste vernieuwingen op hun vakgebied de concurrentie steeds minder zullen kunnen bijbenen (Boschma &amp; Lambooy, 1999).</w:t>
      </w:r>
    </w:p>
    <w:p w14:paraId="5B9F6A2B" w14:textId="32E24E5E" w:rsidR="003910BE" w:rsidRPr="001D7D36" w:rsidRDefault="003910BE" w:rsidP="003910BE">
      <w:pPr>
        <w:ind w:firstLine="720"/>
      </w:pPr>
      <w:r>
        <w:t xml:space="preserve">Deze innovatie, ook al is het op een zeer kleine schaal, is waar gediversifieerde regio’s op concurreren. Steeds zal er een nieuw niche in de markt gevonden moeten worden. Zeker nu lage loonlanden veel efficiënter produceren dan westerse landen, is het in een land als Nederland belangrijk om in te zetten op innovatie, zodat er nieuwe producten, nieuwe productiemethoden, en nieuwe markten kunnen worden benut voor economische groei. Dit geld ook voor afzonderlijke regio’s binnen Nederland (Boschma, 2011). Spin-offs zijn een belangrijk onderdeel van de structuur waarover innovatie zich binnen een regio verspreid. </w:t>
      </w:r>
    </w:p>
    <w:p w14:paraId="0DB8D15C" w14:textId="298D512F" w:rsidR="003910BE" w:rsidRPr="004D37E4" w:rsidRDefault="003910BE" w:rsidP="003910BE">
      <w:pPr>
        <w:pStyle w:val="Heading1"/>
      </w:pPr>
      <w:bookmarkStart w:id="20" w:name="_Toc316143566"/>
      <w:bookmarkStart w:id="21" w:name="_Toc337655416"/>
      <w:r>
        <w:t xml:space="preserve">2.3 </w:t>
      </w:r>
      <w:r w:rsidRPr="004D37E4">
        <w:t>Spin-offs</w:t>
      </w:r>
      <w:bookmarkEnd w:id="20"/>
      <w:bookmarkEnd w:id="21"/>
    </w:p>
    <w:p w14:paraId="064472D1" w14:textId="53B8649A" w:rsidR="003910BE" w:rsidRDefault="003910BE" w:rsidP="003910BE">
      <w:r>
        <w:t xml:space="preserve">Het succesvol starten van een nieuw bedrijf gaat vaak samen met </w:t>
      </w:r>
      <w:r w:rsidR="00B82601">
        <w:t>enige</w:t>
      </w:r>
      <w:r>
        <w:t xml:space="preserve"> innovatie. Een nieuw bedrijf moet net een ander product, een andere klanten kring, of een ander intern proces (dat het mogelijk maakt om op prijs of service te concurreren) hebben ten opzichte van het gevestigde bedrijfsleven. Anders zullen afnemers bij de gevestigde bedrijven blijven en krijgt een nieuw bedrijf nauwelijks klanten. </w:t>
      </w:r>
      <w:r w:rsidR="008974F4">
        <w:t xml:space="preserve">Nieuwe bedrijven die hun eigen plaats in de regionale markt proberen te vinden zijn dus een belangrijke drijver voor innovatie in de regio. </w:t>
      </w:r>
      <w:r>
        <w:t>Dit maakt het interessant om te kijken welke rol skill-gerelateerdheid speelt bij nieuw ondernemerschap en het opzetten van bedrijven (Shane &amp; Khurana, 2003).</w:t>
      </w:r>
    </w:p>
    <w:p w14:paraId="0AF57ED7" w14:textId="77777777" w:rsidR="003910BE" w:rsidRDefault="003910BE" w:rsidP="003910BE">
      <w:pPr>
        <w:ind w:firstLine="720"/>
      </w:pPr>
      <w:r>
        <w:t xml:space="preserve">Tot nu toe is skill-gerelateerdheid altijd onderzocht door te kijken naar arbeidsmobiliteit onder </w:t>
      </w:r>
      <w:r w:rsidRPr="00722D38">
        <w:rPr>
          <w:i/>
        </w:rPr>
        <w:t>werknemers</w:t>
      </w:r>
      <w:r>
        <w:t>. Naast deze methode, is het mogelijk om skill-gerelateerdheid in kaart te brengen door te kijken naar wie er samenwerken in intersectorale samenwerkingsprojecten, of door te kijken in welke sectoren de oprichters van nieuwe bedrijven ervaring hebben opgedaan (Van Oort, 2013).</w:t>
      </w:r>
    </w:p>
    <w:p w14:paraId="070FB974" w14:textId="77777777" w:rsidR="003910BE" w:rsidRDefault="003910BE" w:rsidP="003910BE">
      <w:pPr>
        <w:ind w:firstLine="720"/>
      </w:pPr>
      <w:r>
        <w:t xml:space="preserve">Ook voor </w:t>
      </w:r>
      <w:r w:rsidRPr="00722D38">
        <w:rPr>
          <w:i/>
        </w:rPr>
        <w:t>werkgevers</w:t>
      </w:r>
      <w:r>
        <w:t xml:space="preserve"> spelen kennis en vaardigheden namelijk een belangrijke rol in de keuze voor het starten van een eigen bedrijf, en de sector waarin dit bedrijf zich vestigt (Shane &amp; Khurana, 2003). Net als werknemers, die een nieuwe baan binnen de regio zoeken waar zij gevestigd zijn, hebben ondernemers de voorkeur om nieuwe bedrijven in de regio op te richten waar zij eerder werkzaam waren. Net als bij werknemers geldt dat ze door in de regio te blijven niet hoeven te verhuizen, en hun sociale en zakelijke netwerken kunnen behouden (Davidsson &amp; Honig, 2003). Doordat startende ondernemers over het algemeen hun ervaring willen toepassen binnen hun eigen regio, speelt ook hier een mate van skill-gerelateerdheid een rol. Skill-gerelateerdheid op basis van startende ondernemers kan ten opzichte van de huidige regionale arbeidsmarkt inzicht geven in de sectoren waar nieuwe bedrijven opgericht zullen worden.</w:t>
      </w:r>
    </w:p>
    <w:p w14:paraId="014A453A" w14:textId="77777777" w:rsidR="003910BE" w:rsidRDefault="003910BE" w:rsidP="003910BE">
      <w:r>
        <w:tab/>
        <w:t>Bedrijven die zijn opgericht door mensen die al ervaring hebben in de sector, of al ervaring hebben met ondernemerschap, worden spin-offs genoemd (Koster, 2006). Van deze bedrijven is vastgesteld dat ze minder vaak stoppen in de eerste jaren van hun bestaan, sneller groeien qua omzet en aantal werknemers, en innovatiever zijn dan andere startende bedrijven (Bernardt et al, 2002; Koster, 2006). Deze bedrijven kunnen sneller aan de slag, omdat ze geen basiskennis meer hoeven te leren, en beginnersfouten kunnen voorkomen. Dit wordt toegeschreven aan de kennis, vaardigheden, en contacten met belangrijke mensen in de branche en regio, die de ondernemer heeft kunnen opdoen tijdens eerder werk (Koster, 2006).</w:t>
      </w:r>
    </w:p>
    <w:p w14:paraId="194E6A62" w14:textId="77777777" w:rsidR="003910BE" w:rsidRDefault="003910BE" w:rsidP="003910BE">
      <w:pPr>
        <w:ind w:firstLine="720"/>
      </w:pPr>
      <w:r>
        <w:t>Spin-offs worden daarom gezien als een belangrijke manier waarop kennis zich verspreidt en ontwikkelt onder bedrijven. Ruim de helft van de spin-offs in Duitsland vestigt zich binnen 25 km van het ouder bedrijf, met een hogere mate van nabijheid als er meer kennis tussen de ouder en de spin-off gedeeld wordt (Egeln et al., 2004). Omdat de meeste spin-offs binnen dezelfde regio vestigen als het bedrijf waar de oprichter vandaan komt (het ouderbedrijf), zijn deze bedrijven ook een belangrijk mechanisme waarmee kennis zich regionaal ontwikkeld. Vanuit één bedrijf dat een nieuwe sector in een regio introduceert, kunnen mensen ervaring opdoen in een sector, en deze ervaring vervolgens gebruiken om nieuwe bedrijven te starten, die de kennis van het eerste bedrijf verspreiden, of zelfs verder ontwikkelen (Boschma et al., 2010; Garnsey et al., 2008; .</w:t>
      </w:r>
    </w:p>
    <w:p w14:paraId="705400CD" w14:textId="77777777" w:rsidR="003910BE" w:rsidRDefault="003910BE" w:rsidP="003910BE">
      <w:pPr>
        <w:ind w:firstLine="720"/>
      </w:pPr>
      <w:r>
        <w:t>Door de mogelijkheden om bestaande successen te kopiëren, maar aan te kunnen vullen met nieuwe ideeën, zijn spin-offs dus een mechanisme waarmee regio’s kunnen profiteren van de kennis en vaardigheden die er aanwezig zijn, maar toch kunnen innoveren. Dit verkleint de kans op lock-in binnen een regio. Ook zijn spin-offs een belangrijke manier waarop regio’s zich vanuit een gespecialiseerde arbeidsmarkt kunnen diversifiëren. Een volledig nieuwe sector, zonder verband met vaardigheden die aanwezig zijn in een regio, zal zich vrijwel nooit vestigen in een regio die nog geen enkele relatie heeft met deze sector. Vanuit een bedrijf dat gebruik maakt van vergelijkbare vaardigheden kunnen wel werknemers komen om een bedrijf te starten in deze nieuwe sector (Boschma et al., 2010; Garnsey et al., 2008).</w:t>
      </w:r>
    </w:p>
    <w:p w14:paraId="61AF9D96" w14:textId="77777777" w:rsidR="003910BE" w:rsidRDefault="003910BE" w:rsidP="003910BE">
      <w:pPr>
        <w:ind w:firstLine="720"/>
      </w:pPr>
      <w:r>
        <w:t>Naast het vinden van mensen die de juiste vaardigheden bezitten om werk in een nieuwe sector uit te kunnen voeren, moet eerst iemand op het idee komen om de nieuwe sector in de regio te introduceren. Hiervoor moet er eerst een potentiele ondernemer in de regio aanwezig zijn die het idee heeft om een bedrijf te starten dat in de nieuwe sector past. Vaak komt dit idee vanuit mensen die al langere tijd aan gerelateerde producten gewerkt heeft, en nu een gat in de (lokale) markt ziet. Om deze gaten in te zien is voornamelijk nieuwe kennis nodig die afkomstig is vanuit het sociale netwerk (Shane &amp; Venkataraman, 2000). Vervolgens moet de potentie van deze informatie goed kunnen worden ingeschat, waar de juiste kennis voor nodig is (Sapienza et al., 2003). Om uiteindelijk het bedrijf te kunnen starten en tot een succes te maken, zijn de juiste vaardigheden nodig. De combinatie van de juiste contacten, kennis en vaardigheden die nodig is om nieuwe kansen in te zien, en te grijpen, komt voornamelijk voor bij mensen die al ervaring hebben opgedaan in een skill-gerelateerde sector (Koster, 2006; Sapienza et al., 2003).</w:t>
      </w:r>
    </w:p>
    <w:p w14:paraId="293D754F" w14:textId="30ABC727" w:rsidR="003910BE" w:rsidRDefault="00E4326A" w:rsidP="003910BE">
      <w:pPr>
        <w:ind w:firstLine="720"/>
      </w:pPr>
      <w:r>
        <w:t>V</w:t>
      </w:r>
      <w:r w:rsidR="003910BE">
        <w:t>aardigheden die bij alle spin-offs van pas komen, zijn ervaring met ondernemen en ervaring met management posities. Dit zijn nou eenmaal vaardigheden die nodig zijn bij het starten van een bedrijf. Deze vaardigheden worden als generieke vaardigheden gezien, en komen volgen Boschma &amp; Lambooy (1999) voornamelijk in stedelijke omgevingen voor.</w:t>
      </w:r>
    </w:p>
    <w:p w14:paraId="35CA2E2B" w14:textId="77777777" w:rsidR="003910BE" w:rsidRDefault="003910BE" w:rsidP="003910BE">
      <w:pPr>
        <w:ind w:firstLine="720"/>
      </w:pPr>
      <w:r>
        <w:t xml:space="preserve">Garnsey et al. (2008), Klepper (2001; 2009; 2010) en Franco &amp; Filson (2006) beschrijven in een aantal case studies hoe spin-offs een cruciale rol spelen in de verspreiding van een nieuwe techniek binnen een regio. Ze laten zien hoe vanuit één bedrijf (de </w:t>
      </w:r>
      <w:r w:rsidRPr="00AB0960">
        <w:rPr>
          <w:i/>
        </w:rPr>
        <w:t>leader firm</w:t>
      </w:r>
      <w:r>
        <w:t>) spin-offs ontstaan die nieuwe techniek verder ontwikkelen. Bedrijven met succesvolle iteraties op deze techniek generen vervolgens weer nieuwe spin-offs die weer nieuwe producten en productieprocessen weten te creëren. Zo ontstaan regio’s zoals Detroit en Silicon Valley, waar succesvolle bedrijven uit één sector zich vlak bij elkaar vestigen. Bij nieuwe, technologisch hoogstaande sectoren zijn voornamelijk kennis en het sociale netwerk belangrijk voor het succes van een bedrijf (Klepper, 2007). Bij sectoren die minder op innovatie gericht zijn, gaat het meer om algemene vaardigheden dan om specifieke kennis die belangrijk zijn. Het sociale netwerk van de ondernemer speelt bij werk in iedere sector een belangrijke rol (</w:t>
      </w:r>
      <w:r w:rsidRPr="000573B6">
        <w:t>Koster, 2006</w:t>
      </w:r>
      <w:r>
        <w:t>).</w:t>
      </w:r>
    </w:p>
    <w:p w14:paraId="1DBDB726" w14:textId="457F9829" w:rsidR="003910BE" w:rsidRPr="006B46B6" w:rsidRDefault="003910BE" w:rsidP="003910BE">
      <w:pPr>
        <w:pStyle w:val="Heading1"/>
      </w:pPr>
      <w:bookmarkStart w:id="22" w:name="_Toc316143567"/>
      <w:bookmarkStart w:id="23" w:name="_Toc337655417"/>
      <w:r>
        <w:t xml:space="preserve">2.4 </w:t>
      </w:r>
      <w:r w:rsidRPr="006B46B6">
        <w:t>Empirie Spin-offs</w:t>
      </w:r>
      <w:bookmarkEnd w:id="22"/>
      <w:bookmarkEnd w:id="23"/>
    </w:p>
    <w:p w14:paraId="1227EA2D" w14:textId="7B126422" w:rsidR="003910BE" w:rsidRDefault="003910BE" w:rsidP="003910BE">
      <w:r>
        <w:t>Er is</w:t>
      </w:r>
      <w:r w:rsidR="00350CF2">
        <w:t xml:space="preserve"> al veel</w:t>
      </w:r>
      <w:r>
        <w:t xml:space="preserve"> onderzoek gedaan naar de factoren die een rol spelen bij het succes dat spin-off bedrijven hebben ten opzichte van andere start-ups (Bernardt et al. 2002). De meest succesvolle spin-offs zijn bedrijven die zijn gestart omdat een, of enkele werknemer(s) van een bedrijf een idee kregen over een nieuw product (productinformatie), of een nieuwe manier om het werk dat zij al eerder deden uit te voeren (procesinnovatie). In sommige gevallen kozen deze werknemers om weg te gaan bij hun werknemer om dit product zelf op de markt te brengen. In andere gevallen besloot het bedrijf waar de werknemers werkzaam waren dat het een interessant idee was, maar te risicovol om zelf uit te voeren. Ook spin-offs van universiteitsmedewerkers worden vaak als bijzondere groep geclassificeerd binnen spin-offs, waarin wetenschappelijke kennis in de economie gebracht wordt, maar door het gebrek aan grote kennisinstituten in de regio’s Veenendaal en Woerden worden deze niet los behandelde in de theorie (Clarysse et al., 2011).</w:t>
      </w:r>
    </w:p>
    <w:p w14:paraId="204F6AC2" w14:textId="77777777" w:rsidR="003910BE" w:rsidRDefault="003910BE" w:rsidP="003910BE">
      <w:pPr>
        <w:ind w:firstLine="720"/>
      </w:pPr>
      <w:r>
        <w:t>Vaak kan een spin-off naast zelf opgedane ervaring vaak gebruik maken van hulp van het ouderbedrijf, hoewel deze hulp vaak na enkele jaren wordt afgebouwd (Bernardt et al., 2002). Deze hulp kan komen in de vorm van financiële middelen, een gegarandeerde afname van producten, of het lenen van faciliteiten. Hulp van het ouderbedrijf leidt volgens Koster (2006) niet tot meer succes dan bij volledig onafhankelijke spin-offs (ook wel spin-outs genoemd) omdat deze bedrijven vaak veel eigenschappen van het ouderbedrijf behouden. Deze eigenschappen passen niet per se bij de nieuwe markt, of (de vaak kleinschaligere) bedrijfsvorm.</w:t>
      </w:r>
    </w:p>
    <w:p w14:paraId="21BF66FA" w14:textId="31FE72E5" w:rsidR="003910BE" w:rsidRDefault="003910BE" w:rsidP="003910BE">
      <w:pPr>
        <w:ind w:firstLine="720"/>
      </w:pPr>
      <w:r>
        <w:t>Slechts 23% van de Nederlandse spin-offs uit het onderzoek van Bernardt et al. (2002) heeft</w:t>
      </w:r>
      <w:r w:rsidR="00350CF2">
        <w:t xml:space="preserve"> bij het starten</w:t>
      </w:r>
      <w:r>
        <w:t xml:space="preserve"> geen contact met het ouderbedrijf. Het formaat van het netwerk van een bedrijf en de mate waarin een bedrijf in R&amp;D investeert hebben een positieve invloed op de kans dat een bedrijf spin-offs genereert</w:t>
      </w:r>
      <w:r w:rsidR="00350CF2">
        <w:t>. Met name in dit netwerk heeft eerdere werkervaring een belangrijke rol</w:t>
      </w:r>
      <w:r>
        <w:t xml:space="preserve"> (Ituriaga &amp; Cruz, 2008). </w:t>
      </w:r>
      <w:r w:rsidR="00350CF2">
        <w:t>Bedrijven met zeer grote netwerken</w:t>
      </w:r>
      <w:r>
        <w:t xml:space="preserve"> genereren dit soort dan ook </w:t>
      </w:r>
      <w:r w:rsidR="00350CF2">
        <w:t>vaker</w:t>
      </w:r>
      <w:r>
        <w:t xml:space="preserve"> spin-offs. 70% van de bedrijven die in Nederland spin-offs genereerde, zorgde voor meer dan één spin-off. Of deze bedrijven bovengemiddeld succesvol of innovatief waren is echter niet bekend (Bernardt et al, 2002). Bedrijven die meerdere spin-offs genereren vormen een belangrijke schakel in het verspreiden van kennis. Ze investeren vaak in kennis, die vervolgens over meerdere bedrijven verspreid wordt, die ieder weer een eigen kennisnetwerk onderhouden. </w:t>
      </w:r>
      <w:r w:rsidR="00ED3512">
        <w:t>Deze efficiënte manier van kennisoverdracht</w:t>
      </w:r>
      <w:r>
        <w:t xml:space="preserve"> maakt het voor overheden interessant om bedrijven die spin-offs genereren te identificeren. Omdat 55% van de kennisintensieve spin-offs zich binnen een straal van 25 km van het ouderbedrijf vestigt, is dit zeker voor regionale overheden belangrijk (Egeln, 2004).</w:t>
      </w:r>
    </w:p>
    <w:p w14:paraId="46DE37C5" w14:textId="77777777" w:rsidR="003910BE" w:rsidRDefault="003910BE" w:rsidP="003910BE">
      <w:pPr>
        <w:ind w:firstLine="720"/>
      </w:pPr>
      <w:r>
        <w:t>In tabel 2.2 is de achtergrond van spin-offs te zien, zoals bleek uit een panel van 1734 midden- en kleinbedrijven in Nederland (Bernardt et al., 2002). Hoewel 36% van de spin-offs in dit panel aangaf bezig te zijn met een ongerelateerde activiteit, zegt slechts 16% van de ondernemers helemaal niets te hebben aan eerdere werkervaring.</w:t>
      </w:r>
    </w:p>
    <w:p w14:paraId="560E6E2F" w14:textId="77777777" w:rsidR="003910BE" w:rsidRDefault="003910BE" w:rsidP="003910BE">
      <w:pPr>
        <w:ind w:firstLine="720"/>
      </w:pPr>
    </w:p>
    <w:tbl>
      <w:tblPr>
        <w:tblStyle w:val="ColorfulGrid-Accent1"/>
        <w:tblW w:w="0" w:type="auto"/>
        <w:tblLook w:val="04A0" w:firstRow="1" w:lastRow="0" w:firstColumn="1" w:lastColumn="0" w:noHBand="0" w:noVBand="1"/>
      </w:tblPr>
      <w:tblGrid>
        <w:gridCol w:w="4258"/>
        <w:gridCol w:w="4258"/>
      </w:tblGrid>
      <w:tr w:rsidR="003910BE" w:rsidRPr="00565A81" w14:paraId="0580F52B" w14:textId="77777777" w:rsidTr="00581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shd w:val="clear" w:color="auto" w:fill="365F91" w:themeFill="accent1" w:themeFillShade="BF"/>
          </w:tcPr>
          <w:p w14:paraId="02A5F751" w14:textId="77777777" w:rsidR="003910BE" w:rsidRPr="00581422" w:rsidRDefault="003910BE" w:rsidP="003910BE">
            <w:pPr>
              <w:rPr>
                <w:sz w:val="18"/>
                <w:szCs w:val="18"/>
              </w:rPr>
            </w:pPr>
            <w:r w:rsidRPr="00581422">
              <w:rPr>
                <w:sz w:val="18"/>
                <w:szCs w:val="18"/>
              </w:rPr>
              <w:t>Relatie spin-off met ouderbedrijf</w:t>
            </w:r>
          </w:p>
        </w:tc>
        <w:tc>
          <w:tcPr>
            <w:tcW w:w="4258" w:type="dxa"/>
            <w:shd w:val="clear" w:color="auto" w:fill="365F91" w:themeFill="accent1" w:themeFillShade="BF"/>
          </w:tcPr>
          <w:p w14:paraId="340D83AB" w14:textId="77777777" w:rsidR="003910BE" w:rsidRPr="00581422" w:rsidRDefault="003910BE" w:rsidP="003910BE">
            <w:pP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81422">
              <w:rPr>
                <w:color w:val="FFFFFF" w:themeColor="background1"/>
                <w:sz w:val="18"/>
                <w:szCs w:val="18"/>
              </w:rPr>
              <w:t>% van spin-offs</w:t>
            </w:r>
          </w:p>
        </w:tc>
      </w:tr>
      <w:tr w:rsidR="003910BE" w:rsidRPr="00565A81" w14:paraId="408D819D" w14:textId="77777777" w:rsidTr="00391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3F4A2606" w14:textId="77777777" w:rsidR="003910BE" w:rsidRPr="00565A81" w:rsidRDefault="003910BE" w:rsidP="003910BE">
            <w:pPr>
              <w:rPr>
                <w:sz w:val="18"/>
                <w:szCs w:val="18"/>
              </w:rPr>
            </w:pPr>
            <w:r w:rsidRPr="00565A81">
              <w:rPr>
                <w:sz w:val="18"/>
                <w:szCs w:val="18"/>
              </w:rPr>
              <w:t>Afgestoten afdeling</w:t>
            </w:r>
          </w:p>
        </w:tc>
        <w:tc>
          <w:tcPr>
            <w:tcW w:w="4258" w:type="dxa"/>
          </w:tcPr>
          <w:p w14:paraId="1AA17EE3" w14:textId="77777777" w:rsidR="003910BE" w:rsidRPr="00565A81" w:rsidRDefault="003910BE" w:rsidP="003910BE">
            <w:pPr>
              <w:jc w:val="right"/>
              <w:cnfStyle w:val="000000100000" w:firstRow="0" w:lastRow="0" w:firstColumn="0" w:lastColumn="0" w:oddVBand="0" w:evenVBand="0" w:oddHBand="1" w:evenHBand="0" w:firstRowFirstColumn="0" w:firstRowLastColumn="0" w:lastRowFirstColumn="0" w:lastRowLastColumn="0"/>
              <w:rPr>
                <w:sz w:val="18"/>
                <w:szCs w:val="18"/>
              </w:rPr>
            </w:pPr>
            <w:r w:rsidRPr="00565A81">
              <w:rPr>
                <w:sz w:val="18"/>
                <w:szCs w:val="18"/>
              </w:rPr>
              <w:t>5%</w:t>
            </w:r>
          </w:p>
        </w:tc>
      </w:tr>
      <w:tr w:rsidR="003910BE" w:rsidRPr="00565A81" w14:paraId="5E93533E" w14:textId="77777777" w:rsidTr="003910BE">
        <w:tc>
          <w:tcPr>
            <w:cnfStyle w:val="001000000000" w:firstRow="0" w:lastRow="0" w:firstColumn="1" w:lastColumn="0" w:oddVBand="0" w:evenVBand="0" w:oddHBand="0" w:evenHBand="0" w:firstRowFirstColumn="0" w:firstRowLastColumn="0" w:lastRowFirstColumn="0" w:lastRowLastColumn="0"/>
            <w:tcW w:w="4258" w:type="dxa"/>
          </w:tcPr>
          <w:p w14:paraId="0FB231E4" w14:textId="77777777" w:rsidR="003910BE" w:rsidRPr="00565A81" w:rsidRDefault="003910BE" w:rsidP="003910BE">
            <w:pPr>
              <w:rPr>
                <w:sz w:val="18"/>
                <w:szCs w:val="18"/>
              </w:rPr>
            </w:pPr>
            <w:r w:rsidRPr="00565A81">
              <w:rPr>
                <w:sz w:val="18"/>
                <w:szCs w:val="18"/>
              </w:rPr>
              <w:t>Zelfde activiteit</w:t>
            </w:r>
          </w:p>
        </w:tc>
        <w:tc>
          <w:tcPr>
            <w:tcW w:w="4258" w:type="dxa"/>
          </w:tcPr>
          <w:p w14:paraId="4230A0BD" w14:textId="77777777" w:rsidR="003910BE" w:rsidRPr="00565A81" w:rsidRDefault="003910BE" w:rsidP="003910BE">
            <w:pPr>
              <w:jc w:val="right"/>
              <w:cnfStyle w:val="000000000000" w:firstRow="0" w:lastRow="0" w:firstColumn="0" w:lastColumn="0" w:oddVBand="0" w:evenVBand="0" w:oddHBand="0" w:evenHBand="0" w:firstRowFirstColumn="0" w:firstRowLastColumn="0" w:lastRowFirstColumn="0" w:lastRowLastColumn="0"/>
              <w:rPr>
                <w:sz w:val="18"/>
                <w:szCs w:val="18"/>
              </w:rPr>
            </w:pPr>
            <w:r w:rsidRPr="00565A81">
              <w:rPr>
                <w:sz w:val="18"/>
                <w:szCs w:val="18"/>
              </w:rPr>
              <w:t>51%</w:t>
            </w:r>
          </w:p>
        </w:tc>
      </w:tr>
      <w:tr w:rsidR="003910BE" w:rsidRPr="00565A81" w14:paraId="7925EC59" w14:textId="77777777" w:rsidTr="00391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8" w:type="dxa"/>
          </w:tcPr>
          <w:p w14:paraId="54ED5088" w14:textId="77777777" w:rsidR="003910BE" w:rsidRPr="00565A81" w:rsidRDefault="003910BE" w:rsidP="003910BE">
            <w:pPr>
              <w:rPr>
                <w:sz w:val="18"/>
                <w:szCs w:val="18"/>
              </w:rPr>
            </w:pPr>
            <w:r w:rsidRPr="00565A81">
              <w:rPr>
                <w:sz w:val="18"/>
                <w:szCs w:val="18"/>
              </w:rPr>
              <w:t>Gerelateerde activiteit</w:t>
            </w:r>
          </w:p>
        </w:tc>
        <w:tc>
          <w:tcPr>
            <w:tcW w:w="4258" w:type="dxa"/>
          </w:tcPr>
          <w:p w14:paraId="2F375789" w14:textId="77777777" w:rsidR="003910BE" w:rsidRPr="00565A81" w:rsidRDefault="003910BE" w:rsidP="003910BE">
            <w:pPr>
              <w:jc w:val="right"/>
              <w:cnfStyle w:val="000000100000" w:firstRow="0" w:lastRow="0" w:firstColumn="0" w:lastColumn="0" w:oddVBand="0" w:evenVBand="0" w:oddHBand="1" w:evenHBand="0" w:firstRowFirstColumn="0" w:firstRowLastColumn="0" w:lastRowFirstColumn="0" w:lastRowLastColumn="0"/>
              <w:rPr>
                <w:sz w:val="18"/>
                <w:szCs w:val="18"/>
              </w:rPr>
            </w:pPr>
            <w:r w:rsidRPr="00565A81">
              <w:rPr>
                <w:sz w:val="18"/>
                <w:szCs w:val="18"/>
              </w:rPr>
              <w:t>17%</w:t>
            </w:r>
          </w:p>
        </w:tc>
      </w:tr>
      <w:tr w:rsidR="003910BE" w:rsidRPr="00565A81" w14:paraId="1A2BEE85" w14:textId="77777777" w:rsidTr="003910BE">
        <w:tc>
          <w:tcPr>
            <w:cnfStyle w:val="001000000000" w:firstRow="0" w:lastRow="0" w:firstColumn="1" w:lastColumn="0" w:oddVBand="0" w:evenVBand="0" w:oddHBand="0" w:evenHBand="0" w:firstRowFirstColumn="0" w:firstRowLastColumn="0" w:lastRowFirstColumn="0" w:lastRowLastColumn="0"/>
            <w:tcW w:w="4258" w:type="dxa"/>
          </w:tcPr>
          <w:p w14:paraId="3EE8FA68" w14:textId="77777777" w:rsidR="003910BE" w:rsidRPr="00565A81" w:rsidRDefault="003910BE" w:rsidP="003910BE">
            <w:pPr>
              <w:rPr>
                <w:sz w:val="18"/>
                <w:szCs w:val="18"/>
              </w:rPr>
            </w:pPr>
            <w:r w:rsidRPr="00565A81">
              <w:rPr>
                <w:sz w:val="18"/>
                <w:szCs w:val="18"/>
              </w:rPr>
              <w:t>Ongerelateerde activiteit</w:t>
            </w:r>
          </w:p>
        </w:tc>
        <w:tc>
          <w:tcPr>
            <w:tcW w:w="4258" w:type="dxa"/>
          </w:tcPr>
          <w:p w14:paraId="0ADB4D2A" w14:textId="77777777" w:rsidR="003910BE" w:rsidRPr="00565A81" w:rsidRDefault="003910BE" w:rsidP="003910BE">
            <w:pPr>
              <w:jc w:val="right"/>
              <w:cnfStyle w:val="000000000000" w:firstRow="0" w:lastRow="0" w:firstColumn="0" w:lastColumn="0" w:oddVBand="0" w:evenVBand="0" w:oddHBand="0" w:evenHBand="0" w:firstRowFirstColumn="0" w:firstRowLastColumn="0" w:lastRowFirstColumn="0" w:lastRowLastColumn="0"/>
              <w:rPr>
                <w:sz w:val="18"/>
                <w:szCs w:val="18"/>
              </w:rPr>
            </w:pPr>
            <w:r w:rsidRPr="00565A81">
              <w:rPr>
                <w:sz w:val="18"/>
                <w:szCs w:val="18"/>
              </w:rPr>
              <w:t>36%</w:t>
            </w:r>
          </w:p>
        </w:tc>
      </w:tr>
    </w:tbl>
    <w:p w14:paraId="226A28E1" w14:textId="77777777" w:rsidR="003910BE" w:rsidRPr="00831D11" w:rsidRDefault="003910BE" w:rsidP="003910BE">
      <w:pPr>
        <w:rPr>
          <w:color w:val="4F81BD" w:themeColor="accent1"/>
          <w:sz w:val="20"/>
          <w:szCs w:val="18"/>
        </w:rPr>
      </w:pPr>
      <w:r>
        <w:rPr>
          <w:b/>
          <w:color w:val="4F81BD" w:themeColor="accent1"/>
          <w:sz w:val="20"/>
          <w:szCs w:val="18"/>
        </w:rPr>
        <w:t>Tabel 2</w:t>
      </w:r>
      <w:r w:rsidRPr="00831D11">
        <w:rPr>
          <w:b/>
          <w:color w:val="4F81BD" w:themeColor="accent1"/>
          <w:sz w:val="20"/>
          <w:szCs w:val="18"/>
        </w:rPr>
        <w:t>.1:</w:t>
      </w:r>
      <w:r w:rsidRPr="00831D11">
        <w:rPr>
          <w:color w:val="4F81BD" w:themeColor="accent1"/>
          <w:sz w:val="20"/>
          <w:szCs w:val="18"/>
        </w:rPr>
        <w:t xml:space="preserve"> Relatie spin-offs en ouderbedrijven (naar Bernardt et al., 2002).</w:t>
      </w:r>
    </w:p>
    <w:p w14:paraId="5DAEFAEE" w14:textId="77777777" w:rsidR="003910BE" w:rsidRDefault="003910BE" w:rsidP="003910BE">
      <w:pPr>
        <w:ind w:firstLine="720"/>
      </w:pPr>
    </w:p>
    <w:p w14:paraId="1CDD6956" w14:textId="67ACBFAB" w:rsidR="003910BE" w:rsidRDefault="003910BE" w:rsidP="00333445">
      <w:r>
        <w:t>Vormen van spin-offs die minder succesvol zijn</w:t>
      </w:r>
      <w:r w:rsidR="00333445">
        <w:t xml:space="preserve"> volgens Bernardt et al (2002)</w:t>
      </w:r>
      <w:r>
        <w:t>, zijn afdelingen van bedrijven die door een bedrijf onafhankelijk gemaakt worden, of ex-werknemers van een bedrijf dat failliet is gegaan, en hun werk proberen voort te zetten. In beide gevallen ligt de reden achter het spin-off worden vaak niet bij een goed idee, maar aan de noodzaak om een baan te behouden</w:t>
      </w:r>
      <w:r w:rsidR="00333445">
        <w:t>.</w:t>
      </w:r>
      <w:r>
        <w:t xml:space="preserve"> Uit onderzoek in Denemarken van Eriksson &amp; Kuhn (2005), blijkt dat spin-offs uit noodzaak (push) significant minder lang weten te bestaan dan andere spin-offs (pull). Push-spin-offs hadden in dit onderzoek wel een langere levensloop dan start-ups zonder ervaring. In het onderzoek van Dahl &amp; Reichstein (2007) was er bij Push-spin-offs minder sprake van banengroei dan bij start-ups zonder ervaring.</w:t>
      </w:r>
    </w:p>
    <w:p w14:paraId="751EB8CB" w14:textId="67B07F1F" w:rsidR="003910BE" w:rsidRDefault="003910BE" w:rsidP="003910BE">
      <w:pPr>
        <w:ind w:firstLine="720"/>
      </w:pPr>
      <w:r>
        <w:t>Dahl &amp; Reichstein (2007) stellen dat spin-offs succesvol zijn omdat deze bedrijven de processen kopiëren die bij hun ouderbedrijf voor succes zorgden, en deze processen aanpassen waar zij verbetering kunnen aanbrengen met nieuwe kennis. Oudere bedrijven zijn te sterk gewend geraakt aan hun bestaande processen om verandering aan te brengen, maar een nieuwe bedrijf dat uit werknemers van het oudere bedrijf bestaat, kan hier wel verandering in aanbrengen. De spin-off is hierdoor dus een voortzetting van het ouderbedrijf die zich aan nieuwe ontwikkelingen heeft aangepast. Dit verklaart ook waarom succesvolle bedrijven (qua omzetgroei) meer spin-offs genereren dan minder succesvolle bedrijven.</w:t>
      </w:r>
      <w:r w:rsidR="00B82601">
        <w:t xml:space="preserve"> Door een goed start-idee over te nemen is het eenvoudiger een bedrijf te beginnen.</w:t>
      </w:r>
      <w:r>
        <w:t xml:space="preserve"> Ook groeit het aantal werknemers van spin-offs afkomstig van deze succesvolle bedrijven sneller dan bij spin-offs van andere bedrijven. Succesvolle bedrijven hebben vaak routines die succes blijven opleveren als deze gekopieerd worden (Agarwal et al., 2004; Dahl &amp; Reichstein, 2007). Agarwal et al. (2004) concluderen dat ondernemers die ooit eerder een startend bedrijf meemaakten (als ondernemer of werknemer), de eerste jaren meer succes boeken met hun bedrijf. Ook heeft de snelheid waarmee een ouderbedrijf groeide invloed op het groeisnelheid van de spin-off die eruit voorkomt (Agarwal et al., 2004).</w:t>
      </w:r>
      <w:r w:rsidR="00B82601">
        <w:t xml:space="preserve"> Ook niet-ondernemers doen belangrijke kennis over het startten van een bedrijf op als ze vanaf het begin bij een onderneming betrokken zijn.</w:t>
      </w:r>
    </w:p>
    <w:p w14:paraId="36A4388F" w14:textId="75939489" w:rsidR="003910BE" w:rsidRDefault="003910BE" w:rsidP="003910BE">
      <w:pPr>
        <w:ind w:firstLine="720"/>
      </w:pPr>
      <w:r>
        <w:t>Koster (2006) en Stam (2015) concludeerden dat start-ups zonder ervaring vaak vernieuwender te werk gaan dan spin-offs, doordat voorkennis van interne processen bij deze bedrijfjes minder groot is dan bij ervaren spin-offs. Ervaring met succesvolle processen bij gevestigde bedrijven zorgt er echter voor dat spin-offs vaker een product tot een succes kunnen maken</w:t>
      </w:r>
      <w:r w:rsidR="00B82601">
        <w:t>. Het is dus een afweging tussen bestaande ideeën die werken en innovatie</w:t>
      </w:r>
      <w:r>
        <w:t xml:space="preserve"> </w:t>
      </w:r>
      <w:r w:rsidR="00B82601">
        <w:t xml:space="preserve">die tot succes leidt </w:t>
      </w:r>
      <w:r>
        <w:t>(Stam, 2015).</w:t>
      </w:r>
    </w:p>
    <w:p w14:paraId="551AA6AE" w14:textId="1E18090A" w:rsidR="003910BE" w:rsidRDefault="003910BE" w:rsidP="003910BE">
      <w:pPr>
        <w:ind w:firstLine="720"/>
      </w:pPr>
      <w:r>
        <w:t xml:space="preserve">Hoewel spin-offs in volgens de definitie in dit onderzoek direct voortkomen uit het laatste bedrijf waar de oprichter vandaan komt, hoeft dit altijd het geval te zijn. Uit onderzoek van Egeln et al. (2004) naar spin-offs die afkomstig zijn vanuit Duitse kennisinstituten bleek dat 53% van de oprichters van start-ups uit kennis en ervaring putten van een eerdere </w:t>
      </w:r>
      <w:r w:rsidR="00B82601">
        <w:t>werkervaring</w:t>
      </w:r>
      <w:r>
        <w:t>, maar niet de laatste baan die zij hadden voor het ondernemerschap.</w:t>
      </w:r>
    </w:p>
    <w:p w14:paraId="7A794E27" w14:textId="77777777" w:rsidR="003910BE" w:rsidRDefault="003910BE" w:rsidP="003910BE">
      <w:pPr>
        <w:ind w:firstLine="720"/>
      </w:pPr>
      <w:r>
        <w:t>De hogere mate van succes die spin-offs kennen, en de rol die deze bedrijven spelen in het regionale kennissysteem, maken spin-offs een veel onderzocht onderwerp. Er is echter nog geen onderzoek gedaan naar skill-gerelateerdheid  tussen de sectoren waar de starters van spin-offs vandaan komen, en de sector waarin zij hun nieuwe onderneming starten.</w:t>
      </w:r>
    </w:p>
    <w:p w14:paraId="1AB8326B" w14:textId="77777777" w:rsidR="003910BE" w:rsidRDefault="003910BE" w:rsidP="003910BE"/>
    <w:p w14:paraId="2772FD47" w14:textId="77777777" w:rsidR="003910BE" w:rsidRDefault="003910BE" w:rsidP="003910BE">
      <w:r>
        <w:rPr>
          <w:noProof/>
          <w:lang w:val="en-US" w:eastAsia="en-US"/>
        </w:rPr>
        <w:drawing>
          <wp:inline distT="0" distB="0" distL="0" distR="0" wp14:anchorId="65BE93A5" wp14:editId="5B330352">
            <wp:extent cx="5270500" cy="3258682"/>
            <wp:effectExtent l="0" t="0" r="12700" b="184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6B4E6F" w14:textId="77777777" w:rsidR="003910BE" w:rsidRPr="00831D11" w:rsidRDefault="003910BE" w:rsidP="003910BE">
      <w:pPr>
        <w:rPr>
          <w:color w:val="4F81BD" w:themeColor="accent1"/>
          <w:sz w:val="20"/>
          <w:szCs w:val="18"/>
        </w:rPr>
      </w:pPr>
      <w:r>
        <w:rPr>
          <w:b/>
          <w:color w:val="4F81BD" w:themeColor="accent1"/>
          <w:sz w:val="20"/>
          <w:szCs w:val="18"/>
        </w:rPr>
        <w:t>Afbeelding 2</w:t>
      </w:r>
      <w:r w:rsidRPr="00831D11">
        <w:rPr>
          <w:b/>
          <w:color w:val="4F81BD" w:themeColor="accent1"/>
          <w:sz w:val="20"/>
          <w:szCs w:val="18"/>
        </w:rPr>
        <w:t>.2:</w:t>
      </w:r>
      <w:r w:rsidRPr="00831D11">
        <w:rPr>
          <w:color w:val="4F81BD" w:themeColor="accent1"/>
          <w:sz w:val="20"/>
          <w:szCs w:val="18"/>
        </w:rPr>
        <w:t xml:space="preserve"> Per onderwerp het percentage respondenten die aangaven van te voren kennis te hebben over aspecten van het nieuwe bedrijf dat zij starten (Koster, 2006).</w:t>
      </w:r>
    </w:p>
    <w:p w14:paraId="0CACB04D" w14:textId="77777777" w:rsidR="003910BE" w:rsidRDefault="003910BE" w:rsidP="003910BE"/>
    <w:p w14:paraId="57F42163" w14:textId="77777777" w:rsidR="003910BE" w:rsidRDefault="003910BE" w:rsidP="003910BE">
      <w:r>
        <w:t>Koster (2006) heeft aan de hand van een panel van Nederlandse starters ook onderzocht in hoeverre ervaring in de sector invloed heeft op voorkennis over de bedrijfsvoering. In afbeelding 2.2 is te zien welke invloed sectorspecifieke ervaring een verschil maakt voor de kennis van ondernemers. Op het gebied van generiek kennis lopen ondernemers met ervaring in de sector waarin zij hun bedrijf oprichten achter bij andere starters, maar als het gaat om kennis over spelers en technieken waarmee de ondernemer te maken krijgt bij het starten van een bedrijf, komt ervaring van binnen de sector goed van pas. Het verschilt per sector in hoeverre deze kennis invloed heeft op het succes van het bedrijf.</w:t>
      </w:r>
    </w:p>
    <w:p w14:paraId="7CEAA9AA" w14:textId="27CF290D" w:rsidR="00C61BA7" w:rsidRDefault="00C61BA7" w:rsidP="00BF4AFE">
      <w:pPr>
        <w:ind w:firstLine="720"/>
      </w:pPr>
      <w:r>
        <w:t>Van Oort (2013) heeft voor provincie Utrecht, waaronder de regio’s Woerden en Veenendaal, onderzocht welke mate arbeidsmigratie voorkwam tussen verschillende sectoren. Hierbij is niet gekeken naar spin-offs, maar het levert een belangrijk inzicht op in de mate waarin lokale bedrijfssectoren skills</w:t>
      </w:r>
      <w:r w:rsidR="00D11E43">
        <w:t xml:space="preserve"> uitwisselen, een goede indicator voor skill-gerelateerdheid en potentiele crossovers. In afbeelding 2.3 zijn de resultaten gepresenteerd.</w:t>
      </w:r>
    </w:p>
    <w:p w14:paraId="36CB141B" w14:textId="77777777" w:rsidR="00D11E43" w:rsidRDefault="00D11E43" w:rsidP="003910BE"/>
    <w:p w14:paraId="51669803" w14:textId="77323A38" w:rsidR="00D11E43" w:rsidRDefault="00D11E43" w:rsidP="00D11E43">
      <w:pPr>
        <w:jc w:val="center"/>
      </w:pPr>
      <w:r>
        <w:rPr>
          <w:noProof/>
          <w:lang w:val="en-US" w:eastAsia="en-US"/>
        </w:rPr>
        <w:drawing>
          <wp:inline distT="0" distB="0" distL="0" distR="0" wp14:anchorId="5CF05E45" wp14:editId="1FDDAEB2">
            <wp:extent cx="4683760" cy="39168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2-13 om 15.17.03.png"/>
                    <pic:cNvPicPr/>
                  </pic:nvPicPr>
                  <pic:blipFill>
                    <a:blip r:embed="rId10">
                      <a:extLst>
                        <a:ext uri="{28A0092B-C50C-407E-A947-70E740481C1C}">
                          <a14:useLocalDpi xmlns:a14="http://schemas.microsoft.com/office/drawing/2010/main" val="0"/>
                        </a:ext>
                      </a:extLst>
                    </a:blip>
                    <a:stretch>
                      <a:fillRect/>
                    </a:stretch>
                  </pic:blipFill>
                  <pic:spPr>
                    <a:xfrm>
                      <a:off x="0" y="0"/>
                      <a:ext cx="4684174" cy="3917212"/>
                    </a:xfrm>
                    <a:prstGeom prst="rect">
                      <a:avLst/>
                    </a:prstGeom>
                  </pic:spPr>
                </pic:pic>
              </a:graphicData>
            </a:graphic>
          </wp:inline>
        </w:drawing>
      </w:r>
    </w:p>
    <w:p w14:paraId="34DEB4E6" w14:textId="77777777" w:rsidR="00D11E43" w:rsidRDefault="00D11E43" w:rsidP="00D11E43">
      <w:pPr>
        <w:jc w:val="left"/>
      </w:pPr>
    </w:p>
    <w:p w14:paraId="3AF7E208" w14:textId="590A82F8" w:rsidR="00D11E43" w:rsidRPr="00831D11" w:rsidRDefault="00D11E43" w:rsidP="00D11E43">
      <w:pPr>
        <w:rPr>
          <w:color w:val="4F81BD" w:themeColor="accent1"/>
          <w:sz w:val="20"/>
          <w:szCs w:val="18"/>
        </w:rPr>
      </w:pPr>
      <w:r>
        <w:rPr>
          <w:b/>
          <w:color w:val="4F81BD" w:themeColor="accent1"/>
          <w:sz w:val="20"/>
          <w:szCs w:val="18"/>
        </w:rPr>
        <w:t>Afbeelding 2.3</w:t>
      </w:r>
      <w:r w:rsidRPr="00831D11">
        <w:rPr>
          <w:b/>
          <w:color w:val="4F81BD" w:themeColor="accent1"/>
          <w:sz w:val="20"/>
          <w:szCs w:val="18"/>
        </w:rPr>
        <w:t>:</w:t>
      </w:r>
      <w:r w:rsidRPr="00831D11">
        <w:rPr>
          <w:color w:val="4F81BD" w:themeColor="accent1"/>
          <w:sz w:val="20"/>
          <w:szCs w:val="18"/>
        </w:rPr>
        <w:t xml:space="preserve"> </w:t>
      </w:r>
      <w:r>
        <w:rPr>
          <w:color w:val="4F81BD" w:themeColor="accent1"/>
          <w:sz w:val="20"/>
          <w:szCs w:val="18"/>
        </w:rPr>
        <w:t>Skill-gerelateerdheid tussen sectoren in in provincie Utrecht</w:t>
      </w:r>
      <w:r w:rsidRPr="00831D11">
        <w:rPr>
          <w:color w:val="4F81BD" w:themeColor="accent1"/>
          <w:sz w:val="20"/>
          <w:szCs w:val="18"/>
        </w:rPr>
        <w:t xml:space="preserve"> (</w:t>
      </w:r>
      <w:r>
        <w:rPr>
          <w:color w:val="4F81BD" w:themeColor="accent1"/>
          <w:sz w:val="20"/>
          <w:szCs w:val="18"/>
        </w:rPr>
        <w:t>van Oort</w:t>
      </w:r>
      <w:r w:rsidRPr="00831D11">
        <w:rPr>
          <w:color w:val="4F81BD" w:themeColor="accent1"/>
          <w:sz w:val="20"/>
          <w:szCs w:val="18"/>
        </w:rPr>
        <w:t xml:space="preserve">, </w:t>
      </w:r>
      <w:r>
        <w:rPr>
          <w:color w:val="4F81BD" w:themeColor="accent1"/>
          <w:sz w:val="20"/>
          <w:szCs w:val="18"/>
        </w:rPr>
        <w:t>2013</w:t>
      </w:r>
      <w:r w:rsidRPr="00831D11">
        <w:rPr>
          <w:color w:val="4F81BD" w:themeColor="accent1"/>
          <w:sz w:val="20"/>
          <w:szCs w:val="18"/>
        </w:rPr>
        <w:t>).</w:t>
      </w:r>
    </w:p>
    <w:p w14:paraId="4BB1A6C6" w14:textId="77777777" w:rsidR="003910BE" w:rsidRDefault="003910BE" w:rsidP="003910BE"/>
    <w:p w14:paraId="7957C6F4" w14:textId="77777777" w:rsidR="003910BE" w:rsidRPr="00A24B64" w:rsidRDefault="003910BE" w:rsidP="003910BE">
      <w:pPr>
        <w:pBdr>
          <w:top w:val="single" w:sz="4" w:space="1" w:color="auto"/>
          <w:left w:val="single" w:sz="4" w:space="4" w:color="auto"/>
          <w:bottom w:val="single" w:sz="4" w:space="1" w:color="auto"/>
          <w:right w:val="single" w:sz="4" w:space="4" w:color="auto"/>
        </w:pBdr>
        <w:rPr>
          <w:b/>
        </w:rPr>
      </w:pPr>
      <w:r w:rsidRPr="00A24B64">
        <w:rPr>
          <w:b/>
        </w:rPr>
        <w:t>ZZP’ers</w:t>
      </w:r>
    </w:p>
    <w:p w14:paraId="3778745B" w14:textId="77777777" w:rsidR="003910BE" w:rsidRDefault="003910BE" w:rsidP="003910BE">
      <w:pPr>
        <w:pBdr>
          <w:top w:val="single" w:sz="4" w:space="1" w:color="auto"/>
          <w:left w:val="single" w:sz="4" w:space="4" w:color="auto"/>
          <w:bottom w:val="single" w:sz="4" w:space="1" w:color="auto"/>
          <w:right w:val="single" w:sz="4" w:space="4" w:color="auto"/>
        </w:pBdr>
      </w:pPr>
      <w:r>
        <w:t>Een bijzondere vorm van startende bedrijfjes zijn zelfstandigen zonder personeel. Dit zijn eenmansbedrijfjes en bestaan vaak uit mensen die zijn weggegaan bij hun vorige werk, of ontslagen zijn, en nu hetzelfde werk doorzetten. De afgelopen tien jaar nam het aantal ZZP’ers zeer snel toe in Nederland. Zandvliet (2013) stelt dat ZZP’ers in de meeste sectoren werken zoals vast personeel dat doet, maar op een manier die voor de werkgever meer flexibel is. In de zakelijke dienstverlening, waar kennisintensieve ZZP’ers werkzaam zijn voor meerdere bedrijven tegelijkertijd, zorgen ze wel voor kruisbestuivingen tussen bedrijven, en daarmee voor snelle kennisdeling en mogelijke innovatie. In dit onderzoek worden ZZP’ers echter als werknemers gezien, en niet meegenomen als ondernemers of spin-offs.</w:t>
      </w:r>
    </w:p>
    <w:p w14:paraId="23148853" w14:textId="77777777" w:rsidR="003910BE" w:rsidRDefault="003910BE" w:rsidP="003910BE"/>
    <w:p w14:paraId="6A449FE1" w14:textId="6F6F37D0" w:rsidR="006B55BB" w:rsidRDefault="00654767" w:rsidP="006B55BB">
      <w:pPr>
        <w:pStyle w:val="Title"/>
      </w:pPr>
      <w:r>
        <w:br w:type="column"/>
      </w:r>
      <w:bookmarkStart w:id="24" w:name="_Toc316143568"/>
      <w:bookmarkStart w:id="25" w:name="_Toc337655418"/>
      <w:r w:rsidR="006B55BB" w:rsidRPr="00915385">
        <w:t xml:space="preserve">3 </w:t>
      </w:r>
      <w:r w:rsidR="006B55BB" w:rsidRPr="00FE117A">
        <w:t>Methodologie</w:t>
      </w:r>
      <w:bookmarkEnd w:id="24"/>
      <w:bookmarkEnd w:id="25"/>
    </w:p>
    <w:p w14:paraId="1FBA9939" w14:textId="06906AF8" w:rsidR="006B55BB" w:rsidRDefault="004C5D26" w:rsidP="006B55BB">
      <w:r>
        <w:t>De gebruikte onderzoeksmethoden worden uitgelegd, te beginnen met de keuze van de verschillende onderzoeksgebieden. Dan worden enkele termen die in het onderzoek gebruikt worden duidelijk geformuleerd, gevolgd door de methode waarmee skill-gerelateerdheid zal worden onderzocht</w:t>
      </w:r>
      <w:r w:rsidR="00BB614A">
        <w:t xml:space="preserve"> en de criteria waar de populatie op wordt geselecteerd. Deze populatie wordt vervolgens verder beschreven aan de hand van enkele statistieken om</w:t>
      </w:r>
      <w:r>
        <w:t xml:space="preserve">. </w:t>
      </w:r>
      <w:r w:rsidR="00751ADC">
        <w:t>Dan volgt</w:t>
      </w:r>
      <w:r w:rsidR="00BB614A">
        <w:t xml:space="preserve"> een overzicht van de interviews die naast de korte telefonische enquête zijn afgenomen.</w:t>
      </w:r>
      <w:r w:rsidR="00751ADC">
        <w:t xml:space="preserve"> Ten slotte komen enkele tekortkomingen van het onderzoek die van te voren zijn vastgesteld aan bod.</w:t>
      </w:r>
    </w:p>
    <w:p w14:paraId="5494E670" w14:textId="77777777" w:rsidR="006B55BB" w:rsidRPr="00302170" w:rsidRDefault="006B55BB" w:rsidP="006B55BB">
      <w:pPr>
        <w:pStyle w:val="Heading1"/>
      </w:pPr>
      <w:bookmarkStart w:id="26" w:name="_Toc316143569"/>
      <w:bookmarkStart w:id="27" w:name="_Toc337655419"/>
      <w:r>
        <w:t>3.1 Onderzoeksgebieden</w:t>
      </w:r>
      <w:bookmarkEnd w:id="26"/>
      <w:bookmarkEnd w:id="27"/>
    </w:p>
    <w:p w14:paraId="6F594282" w14:textId="13D1083C" w:rsidR="006B55BB" w:rsidRPr="00302170" w:rsidRDefault="006B55BB" w:rsidP="006B55BB">
      <w:r w:rsidRPr="00302170">
        <w:t>De regio’s Woerden en Veenendaal zijn gebaseerd op de COROP</w:t>
      </w:r>
      <w:r>
        <w:t xml:space="preserve">-subregio </w:t>
      </w:r>
      <w:r w:rsidRPr="00302170">
        <w:t>indeling. Deze</w:t>
      </w:r>
      <w:r>
        <w:t xml:space="preserve"> indeling is ook gebruikt door V</w:t>
      </w:r>
      <w:r w:rsidRPr="00302170">
        <w:t>an Oort et al</w:t>
      </w:r>
      <w:r w:rsidR="00F445D7">
        <w:t>.</w:t>
      </w:r>
      <w:r w:rsidRPr="00302170">
        <w:t xml:space="preserve"> (2013) en TNO (2013) en laat het onderzoek daardoor eenvoudig vergelijken met eerdere publicaties over provincie Utrecht. Deze indeling deelt de provincie Utrecht in vier regio’s in. Hierbij gaat het om de stadsregio’s Utrecht en Amersfoort, inclusief de voorsteden van deze agglomeraties. De regio Woerden, ook wel West-Utrecht genoemd, bevat de gemeentes die ten westen van stadsgewest Utrecht vallen, namelijk Lopik, Montfoort, Oudewater, de Ronde Venen en Woerden. De regio Veenendaal, ook bekend als Zuidoost Utrecht, bevindt zich ten oosten van Utrecht en ten zuiden van Amersfoort en bevat de gemeentes Renswoude, Rhenen, Utrechtse Heuvelrug, Veenendaal en Wijk bij Duurstede.</w:t>
      </w:r>
    </w:p>
    <w:p w14:paraId="4E595DAD" w14:textId="77777777" w:rsidR="006B55BB" w:rsidRPr="00302170" w:rsidRDefault="006B55BB" w:rsidP="006B55BB">
      <w:pPr>
        <w:ind w:firstLine="720"/>
      </w:pPr>
      <w:r w:rsidRPr="00302170">
        <w:t>Om een beter beeld te krijgen van de regio’s Woerden en Veenendaal, word</w:t>
      </w:r>
      <w:r>
        <w:t>t de sectorstructuur van</w:t>
      </w:r>
      <w:r w:rsidRPr="00302170">
        <w:t xml:space="preserve"> deze regio’s vergeleken met regio’s die buiten de provincie Utrecht liggen, </w:t>
      </w:r>
      <w:r>
        <w:t>en</w:t>
      </w:r>
      <w:r w:rsidRPr="00302170">
        <w:t xml:space="preserve"> qua omvang, inwonertal en functie voor de omgeving vergelijkbaar zijn. De regionale indeling die is gebruikt om de regio’s Woerden en Veenendaal te definiëren is echter niet beschikbaar voor gebieden buiten provincie Utrecht. Daarom zijn er voor dit onderzoek drie groepen van gemeentes ingedeeld. De regio’s Gouda en Alphen aan den Rijn zijn bedoeld ter vergelijking met regio Woerden. Net als regio Woerden bestaan deze aangrenzende regio’s uit een kerngemeente omringd met kleinere dorpskernen en landbouwgebied. De regio Gouda bestaat uit Bodegraven-Reeuwijk, Gouda, Vlist en Waddinxveen. De regio Alphen aan den Rijn bestaat uit de gemeentes Alphen aan den Rijn en Nieuwkoop. Regio Veenendaal wordt vergeleken met</w:t>
      </w:r>
      <w:r>
        <w:t xml:space="preserve"> de regio</w:t>
      </w:r>
      <w:r w:rsidRPr="00302170">
        <w:t xml:space="preserve"> Ede-Wageningen, bestaande uit de gemeentes Ede en Wageningen. Deze gemeentes vormen samen met Veenendaal en Rhenen het WERV gebied, een samenwerkingsverband voor betere integratie van het lan</w:t>
      </w:r>
      <w:r>
        <w:t>dschap en de economie. In tabel 2.1</w:t>
      </w:r>
      <w:r w:rsidRPr="00302170">
        <w:t xml:space="preserve"> is per regio het inwonertal en de oppervlakte van het grondgebied te zien. De vergelijkingsregio’s zijn samengesteld om zoveel mogelijk overeen te komen met de onderzoeksregio’s.</w:t>
      </w:r>
      <w:r>
        <w:t xml:space="preserve"> Meer over de onderzoeksregio’s is te vinden in hoofdstuk 4 en hoofdstuk 5.</w:t>
      </w:r>
    </w:p>
    <w:p w14:paraId="556B97C7" w14:textId="301DA1DF" w:rsidR="006B55BB" w:rsidRPr="00302170" w:rsidRDefault="006B55BB" w:rsidP="006B55BB">
      <w:pPr>
        <w:ind w:firstLine="720"/>
      </w:pPr>
      <w:r w:rsidRPr="00302170">
        <w:t>De ligging van de onderzoeksregio’s en de regio’s waarmee wordt vergele</w:t>
      </w:r>
      <w:r>
        <w:t>ken zijn te zien op afbeelding 3.1</w:t>
      </w:r>
      <w:r w:rsidRPr="00302170">
        <w:t xml:space="preserve">. Tussen 2001 en 2014 zijn enkele gemeentes gefuseerd. Er is in dit onderzoek uitgegaan van het grondgebied dat de gemeentes in 2014 hebben. Bij gegevens uit eerdere jaren zijn gemeentes die in 2014 gefuseerd zijn, in dit onderzoek samengevoegd zodat deze goed te vergelijken zijn. In bijlage </w:t>
      </w:r>
      <w:r w:rsidR="006474EA">
        <w:t>1</w:t>
      </w:r>
      <w:r w:rsidRPr="00090DB0">
        <w:t>.1</w:t>
      </w:r>
      <w:r w:rsidRPr="00302170">
        <w:t xml:space="preserve"> is een overzicht te zien van gemeentelijke her</w:t>
      </w:r>
      <w:r>
        <w:t>i</w:t>
      </w:r>
      <w:r w:rsidRPr="00302170">
        <w:t>ndelingen die van toepassing zijn op de onderzoeksregio’s en de regio’s waar deze mee vergeleken worden.</w:t>
      </w:r>
    </w:p>
    <w:p w14:paraId="1BAA96A5" w14:textId="77777777" w:rsidR="006B55BB" w:rsidRPr="00302170" w:rsidRDefault="006B55BB" w:rsidP="006B55BB"/>
    <w:p w14:paraId="7A61FA40" w14:textId="77777777" w:rsidR="006B55BB" w:rsidRPr="00302170" w:rsidRDefault="006B55BB" w:rsidP="006B55BB"/>
    <w:p w14:paraId="1BCA5FF0" w14:textId="77777777" w:rsidR="006B55BB" w:rsidRPr="00302170" w:rsidRDefault="006B55BB" w:rsidP="006B55BB">
      <w:r w:rsidRPr="00302170">
        <w:rPr>
          <w:noProof/>
          <w:lang w:val="en-US" w:eastAsia="en-US"/>
        </w:rPr>
        <w:drawing>
          <wp:inline distT="0" distB="0" distL="0" distR="0" wp14:anchorId="00D05452" wp14:editId="533F7D4B">
            <wp:extent cx="5270500" cy="272224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onderzoeksgebieden.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2722245"/>
                    </a:xfrm>
                    <a:prstGeom prst="rect">
                      <a:avLst/>
                    </a:prstGeom>
                  </pic:spPr>
                </pic:pic>
              </a:graphicData>
            </a:graphic>
          </wp:inline>
        </w:drawing>
      </w:r>
    </w:p>
    <w:p w14:paraId="3DCF493D" w14:textId="77777777" w:rsidR="006B55BB" w:rsidRPr="004149D8" w:rsidRDefault="006B55BB" w:rsidP="006B55BB">
      <w:pPr>
        <w:rPr>
          <w:color w:val="4F81BD" w:themeColor="accent1"/>
          <w:sz w:val="20"/>
        </w:rPr>
      </w:pPr>
      <w:r w:rsidRPr="004149D8">
        <w:rPr>
          <w:b/>
          <w:color w:val="4F81BD" w:themeColor="accent1"/>
          <w:sz w:val="20"/>
        </w:rPr>
        <w:t>Afbeelding 3.1</w:t>
      </w:r>
      <w:r w:rsidRPr="004149D8">
        <w:rPr>
          <w:color w:val="4F81BD" w:themeColor="accent1"/>
          <w:sz w:val="20"/>
        </w:rPr>
        <w:t>: Kaart van de onderzoeksregio’s Woerden (A) en Veenendaal (B) en de regio’s waar deze mee vergeleken worden; Gouda (C), Alphen a/d Rijn (D) en Ede-Wageningen (E).</w:t>
      </w:r>
    </w:p>
    <w:p w14:paraId="543974D6" w14:textId="77777777" w:rsidR="006B55BB" w:rsidRPr="00302170" w:rsidRDefault="006B55BB" w:rsidP="006B55BB"/>
    <w:tbl>
      <w:tblPr>
        <w:tblStyle w:val="ColorfulGrid-Accent1"/>
        <w:tblW w:w="0" w:type="auto"/>
        <w:tblLook w:val="04A0" w:firstRow="1" w:lastRow="0" w:firstColumn="1" w:lastColumn="0" w:noHBand="0" w:noVBand="1"/>
      </w:tblPr>
      <w:tblGrid>
        <w:gridCol w:w="1680"/>
        <w:gridCol w:w="1144"/>
        <w:gridCol w:w="1442"/>
      </w:tblGrid>
      <w:tr w:rsidR="006B55BB" w:rsidRPr="004149D8" w14:paraId="023E40F6" w14:textId="77777777" w:rsidTr="004B37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hemeFill="accent1" w:themeFillShade="BF"/>
          </w:tcPr>
          <w:p w14:paraId="3B44211D" w14:textId="77777777" w:rsidR="006B55BB" w:rsidRPr="004149D8" w:rsidRDefault="006B55BB" w:rsidP="006B55BB">
            <w:pPr>
              <w:rPr>
                <w:sz w:val="18"/>
                <w:lang w:eastAsia="nl-NL"/>
              </w:rPr>
            </w:pPr>
            <w:r w:rsidRPr="004149D8">
              <w:rPr>
                <w:sz w:val="18"/>
                <w:lang w:eastAsia="nl-NL"/>
              </w:rPr>
              <w:t>Regio</w:t>
            </w:r>
          </w:p>
        </w:tc>
        <w:tc>
          <w:tcPr>
            <w:tcW w:w="0" w:type="auto"/>
            <w:shd w:val="clear" w:color="auto" w:fill="365F91" w:themeFill="accent1" w:themeFillShade="BF"/>
          </w:tcPr>
          <w:p w14:paraId="3FB73A8A" w14:textId="77777777" w:rsidR="006B55BB" w:rsidRPr="004149D8"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lang w:eastAsia="nl-NL"/>
              </w:rPr>
            </w:pPr>
            <w:r w:rsidRPr="004149D8">
              <w:rPr>
                <w:color w:val="FFFFFF" w:themeColor="background1"/>
                <w:sz w:val="18"/>
                <w:lang w:eastAsia="nl-NL"/>
              </w:rPr>
              <w:t>Oppervlakte</w:t>
            </w:r>
          </w:p>
        </w:tc>
        <w:tc>
          <w:tcPr>
            <w:tcW w:w="0" w:type="auto"/>
            <w:shd w:val="clear" w:color="auto" w:fill="365F91" w:themeFill="accent1" w:themeFillShade="BF"/>
          </w:tcPr>
          <w:p w14:paraId="734D9446" w14:textId="77777777" w:rsidR="006B55BB" w:rsidRPr="004149D8"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lang w:eastAsia="nl-NL"/>
              </w:rPr>
            </w:pPr>
            <w:r w:rsidRPr="004149D8">
              <w:rPr>
                <w:color w:val="FFFFFF" w:themeColor="background1"/>
                <w:sz w:val="18"/>
                <w:lang w:eastAsia="nl-NL"/>
              </w:rPr>
              <w:t>Aantal inwoners</w:t>
            </w:r>
          </w:p>
        </w:tc>
      </w:tr>
      <w:tr w:rsidR="006B55BB" w:rsidRPr="004149D8" w14:paraId="05339857" w14:textId="77777777" w:rsidTr="004B3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294ED6D7" w14:textId="77777777" w:rsidR="006B55BB" w:rsidRPr="004149D8" w:rsidRDefault="006B55BB" w:rsidP="006B55BB">
            <w:pPr>
              <w:rPr>
                <w:sz w:val="18"/>
                <w:lang w:eastAsia="nl-NL"/>
              </w:rPr>
            </w:pPr>
            <w:r w:rsidRPr="004149D8">
              <w:rPr>
                <w:sz w:val="18"/>
                <w:lang w:eastAsia="nl-NL"/>
              </w:rPr>
              <w:t>Woerden</w:t>
            </w:r>
          </w:p>
        </w:tc>
        <w:tc>
          <w:tcPr>
            <w:tcW w:w="0" w:type="auto"/>
          </w:tcPr>
          <w:p w14:paraId="5094B5CC"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vertAlign w:val="superscript"/>
                <w:lang w:eastAsia="nl-NL"/>
              </w:rPr>
            </w:pPr>
            <w:r w:rsidRPr="004149D8">
              <w:rPr>
                <w:sz w:val="18"/>
                <w:lang w:eastAsia="nl-NL"/>
              </w:rPr>
              <w:t>366 km</w:t>
            </w:r>
            <w:r w:rsidRPr="004149D8">
              <w:rPr>
                <w:sz w:val="18"/>
                <w:vertAlign w:val="superscript"/>
                <w:lang w:eastAsia="nl-NL"/>
              </w:rPr>
              <w:t>2</w:t>
            </w:r>
          </w:p>
        </w:tc>
        <w:tc>
          <w:tcPr>
            <w:tcW w:w="0" w:type="auto"/>
          </w:tcPr>
          <w:p w14:paraId="740F2CB9"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lang w:eastAsia="nl-NL"/>
              </w:rPr>
            </w:pPr>
            <w:r w:rsidRPr="004149D8">
              <w:rPr>
                <w:sz w:val="18"/>
                <w:lang w:eastAsia="nl-NL"/>
              </w:rPr>
              <w:t>130.000</w:t>
            </w:r>
          </w:p>
        </w:tc>
      </w:tr>
      <w:tr w:rsidR="006B55BB" w:rsidRPr="004149D8" w14:paraId="5EAE8D74" w14:textId="77777777" w:rsidTr="004B373F">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7680112" w14:textId="77777777" w:rsidR="006B55BB" w:rsidRPr="004149D8" w:rsidRDefault="006B55BB" w:rsidP="006B55BB">
            <w:pPr>
              <w:rPr>
                <w:sz w:val="18"/>
                <w:lang w:eastAsia="nl-NL"/>
              </w:rPr>
            </w:pPr>
            <w:r w:rsidRPr="004149D8">
              <w:rPr>
                <w:sz w:val="18"/>
                <w:lang w:eastAsia="nl-NL"/>
              </w:rPr>
              <w:t>Veenendaal</w:t>
            </w:r>
          </w:p>
        </w:tc>
        <w:tc>
          <w:tcPr>
            <w:tcW w:w="0" w:type="auto"/>
          </w:tcPr>
          <w:p w14:paraId="5BFDE39B"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vertAlign w:val="superscript"/>
                <w:lang w:eastAsia="nl-NL"/>
              </w:rPr>
            </w:pPr>
            <w:r w:rsidRPr="004149D8">
              <w:rPr>
                <w:sz w:val="18"/>
                <w:lang w:eastAsia="nl-NL"/>
              </w:rPr>
              <w:t>216,5 km</w:t>
            </w:r>
            <w:r w:rsidRPr="004149D8">
              <w:rPr>
                <w:sz w:val="18"/>
                <w:vertAlign w:val="superscript"/>
                <w:lang w:eastAsia="nl-NL"/>
              </w:rPr>
              <w:t>2</w:t>
            </w:r>
          </w:p>
        </w:tc>
        <w:tc>
          <w:tcPr>
            <w:tcW w:w="0" w:type="auto"/>
          </w:tcPr>
          <w:p w14:paraId="3611A9DF"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lang w:eastAsia="nl-NL"/>
              </w:rPr>
            </w:pPr>
            <w:r w:rsidRPr="004149D8">
              <w:rPr>
                <w:sz w:val="18"/>
                <w:lang w:eastAsia="nl-NL"/>
              </w:rPr>
              <w:t>135.000</w:t>
            </w:r>
          </w:p>
        </w:tc>
      </w:tr>
      <w:tr w:rsidR="006B55BB" w:rsidRPr="004149D8" w14:paraId="7B64D6D2" w14:textId="77777777" w:rsidTr="004B3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697572E1" w14:textId="77777777" w:rsidR="006B55BB" w:rsidRPr="004149D8" w:rsidRDefault="006B55BB" w:rsidP="006B55BB">
            <w:pPr>
              <w:rPr>
                <w:sz w:val="18"/>
                <w:lang w:eastAsia="nl-NL"/>
              </w:rPr>
            </w:pPr>
            <w:r w:rsidRPr="004149D8">
              <w:rPr>
                <w:sz w:val="18"/>
                <w:lang w:eastAsia="nl-NL"/>
              </w:rPr>
              <w:t>Gouda</w:t>
            </w:r>
          </w:p>
        </w:tc>
        <w:tc>
          <w:tcPr>
            <w:tcW w:w="0" w:type="auto"/>
          </w:tcPr>
          <w:p w14:paraId="59C5167A"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vertAlign w:val="superscript"/>
                <w:lang w:eastAsia="nl-NL"/>
              </w:rPr>
            </w:pPr>
            <w:r w:rsidRPr="004149D8">
              <w:rPr>
                <w:sz w:val="18"/>
                <w:lang w:eastAsia="nl-NL"/>
              </w:rPr>
              <w:t>191,5 km</w:t>
            </w:r>
            <w:r w:rsidRPr="004149D8">
              <w:rPr>
                <w:sz w:val="18"/>
                <w:vertAlign w:val="superscript"/>
                <w:lang w:eastAsia="nl-NL"/>
              </w:rPr>
              <w:t>2</w:t>
            </w:r>
          </w:p>
        </w:tc>
        <w:tc>
          <w:tcPr>
            <w:tcW w:w="0" w:type="auto"/>
          </w:tcPr>
          <w:p w14:paraId="78FC2002"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lang w:eastAsia="nl-NL"/>
              </w:rPr>
            </w:pPr>
            <w:r w:rsidRPr="004149D8">
              <w:rPr>
                <w:sz w:val="18"/>
                <w:lang w:eastAsia="nl-NL"/>
              </w:rPr>
              <w:t>139,500</w:t>
            </w:r>
          </w:p>
        </w:tc>
      </w:tr>
      <w:tr w:rsidR="006B55BB" w:rsidRPr="004149D8" w14:paraId="28BBBB0B" w14:textId="77777777" w:rsidTr="004B373F">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66923E48" w14:textId="77777777" w:rsidR="006B55BB" w:rsidRPr="004149D8" w:rsidRDefault="006B55BB" w:rsidP="006B55BB">
            <w:pPr>
              <w:rPr>
                <w:sz w:val="18"/>
                <w:lang w:eastAsia="nl-NL"/>
              </w:rPr>
            </w:pPr>
            <w:r w:rsidRPr="004149D8">
              <w:rPr>
                <w:sz w:val="18"/>
                <w:lang w:eastAsia="nl-NL"/>
              </w:rPr>
              <w:t>Alphen aan den Rijn</w:t>
            </w:r>
          </w:p>
        </w:tc>
        <w:tc>
          <w:tcPr>
            <w:tcW w:w="0" w:type="auto"/>
          </w:tcPr>
          <w:p w14:paraId="136C4413"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vertAlign w:val="superscript"/>
                <w:lang w:eastAsia="nl-NL"/>
              </w:rPr>
            </w:pPr>
            <w:r w:rsidRPr="004149D8">
              <w:rPr>
                <w:sz w:val="18"/>
                <w:lang w:eastAsia="nl-NL"/>
              </w:rPr>
              <w:t>223 km</w:t>
            </w:r>
            <w:r w:rsidRPr="004149D8">
              <w:rPr>
                <w:sz w:val="18"/>
                <w:vertAlign w:val="superscript"/>
                <w:lang w:eastAsia="nl-NL"/>
              </w:rPr>
              <w:t>2</w:t>
            </w:r>
          </w:p>
        </w:tc>
        <w:tc>
          <w:tcPr>
            <w:tcW w:w="0" w:type="auto"/>
          </w:tcPr>
          <w:p w14:paraId="3B7C404E"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lang w:eastAsia="nl-NL"/>
              </w:rPr>
            </w:pPr>
            <w:r w:rsidRPr="004149D8">
              <w:rPr>
                <w:sz w:val="18"/>
                <w:lang w:eastAsia="nl-NL"/>
              </w:rPr>
              <w:t>134.000</w:t>
            </w:r>
          </w:p>
        </w:tc>
      </w:tr>
      <w:tr w:rsidR="006B55BB" w:rsidRPr="004149D8" w14:paraId="493287E6" w14:textId="77777777" w:rsidTr="004B3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5034C25" w14:textId="77777777" w:rsidR="006B55BB" w:rsidRPr="004149D8" w:rsidRDefault="006B55BB" w:rsidP="006B55BB">
            <w:pPr>
              <w:rPr>
                <w:sz w:val="18"/>
                <w:lang w:eastAsia="nl-NL"/>
              </w:rPr>
            </w:pPr>
            <w:r w:rsidRPr="004149D8">
              <w:rPr>
                <w:sz w:val="18"/>
                <w:lang w:eastAsia="nl-NL"/>
              </w:rPr>
              <w:t>Ede-Wageningen</w:t>
            </w:r>
          </w:p>
        </w:tc>
        <w:tc>
          <w:tcPr>
            <w:tcW w:w="0" w:type="auto"/>
          </w:tcPr>
          <w:p w14:paraId="2A8CF54B"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vertAlign w:val="superscript"/>
                <w:lang w:eastAsia="nl-NL"/>
              </w:rPr>
            </w:pPr>
            <w:r w:rsidRPr="004149D8">
              <w:rPr>
                <w:sz w:val="18"/>
                <w:lang w:eastAsia="nl-NL"/>
              </w:rPr>
              <w:t>350 km</w:t>
            </w:r>
            <w:r w:rsidRPr="004149D8">
              <w:rPr>
                <w:sz w:val="18"/>
                <w:vertAlign w:val="superscript"/>
                <w:lang w:eastAsia="nl-NL"/>
              </w:rPr>
              <w:t>2</w:t>
            </w:r>
          </w:p>
        </w:tc>
        <w:tc>
          <w:tcPr>
            <w:tcW w:w="0" w:type="auto"/>
          </w:tcPr>
          <w:p w14:paraId="7CAB0D84"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lang w:eastAsia="nl-NL"/>
              </w:rPr>
            </w:pPr>
            <w:r w:rsidRPr="004149D8">
              <w:rPr>
                <w:sz w:val="18"/>
                <w:lang w:eastAsia="nl-NL"/>
              </w:rPr>
              <w:t>147.500</w:t>
            </w:r>
          </w:p>
        </w:tc>
      </w:tr>
    </w:tbl>
    <w:p w14:paraId="01729751" w14:textId="5694AB9D" w:rsidR="006B55BB" w:rsidRPr="004C5D26" w:rsidRDefault="006B55BB" w:rsidP="006B55BB">
      <w:pPr>
        <w:rPr>
          <w:color w:val="4F81BD" w:themeColor="accent1"/>
          <w:sz w:val="20"/>
        </w:rPr>
      </w:pPr>
      <w:r w:rsidRPr="004149D8">
        <w:rPr>
          <w:b/>
          <w:color w:val="4F81BD" w:themeColor="accent1"/>
          <w:sz w:val="20"/>
        </w:rPr>
        <w:t>Tabel 3.1</w:t>
      </w:r>
      <w:r w:rsidRPr="004149D8">
        <w:rPr>
          <w:color w:val="4F81BD" w:themeColor="accent1"/>
          <w:sz w:val="20"/>
        </w:rPr>
        <w:t>: De oppervlakte en het inwonertal van de onderzoeksregio’s en de vergelijkingsregio’s.</w:t>
      </w:r>
    </w:p>
    <w:p w14:paraId="24239D86" w14:textId="77777777" w:rsidR="006B55BB" w:rsidRPr="00706142" w:rsidRDefault="006B55BB" w:rsidP="004C5D26">
      <w:pPr>
        <w:pStyle w:val="Heading1"/>
      </w:pPr>
      <w:bookmarkStart w:id="28" w:name="_Toc337655420"/>
      <w:r>
        <w:t>3.2 Operationalisatie</w:t>
      </w:r>
      <w:bookmarkEnd w:id="28"/>
    </w:p>
    <w:p w14:paraId="055EDFC6" w14:textId="4CB70758" w:rsidR="006B55BB" w:rsidRDefault="003E7DF7" w:rsidP="006B55BB">
      <w:pPr>
        <w:pStyle w:val="Heading2"/>
      </w:pPr>
      <w:r>
        <w:t>Locatie q</w:t>
      </w:r>
      <w:r w:rsidR="006B55BB">
        <w:t>uotiënt</w:t>
      </w:r>
    </w:p>
    <w:p w14:paraId="23BB4F7D" w14:textId="77777777" w:rsidR="006B55BB" w:rsidRDefault="006B55BB" w:rsidP="006B55BB">
      <w:r>
        <w:t>Het locatie quotiënt wordt gebruikt om aan te tonen hoe groot het aandeel van een sector  is in de economie van een regio (X</w:t>
      </w:r>
      <w:r w:rsidRPr="008E1741">
        <w:rPr>
          <w:vertAlign w:val="subscript"/>
        </w:rPr>
        <w:t>sr</w:t>
      </w:r>
      <w:r>
        <w:t>/X</w:t>
      </w:r>
      <w:r w:rsidRPr="008E1741">
        <w:rPr>
          <w:vertAlign w:val="subscript"/>
        </w:rPr>
        <w:t>tr</w:t>
      </w:r>
      <w:r>
        <w:t>), ten opzichte van een groter gebied waar de regio toe behoord (X</w:t>
      </w:r>
      <w:r w:rsidRPr="008E1741">
        <w:rPr>
          <w:vertAlign w:val="subscript"/>
        </w:rPr>
        <w:t>sv</w:t>
      </w:r>
      <w:r>
        <w:t>/X</w:t>
      </w:r>
      <w:r w:rsidRPr="008E1741">
        <w:rPr>
          <w:vertAlign w:val="subscript"/>
        </w:rPr>
        <w:t>tv</w:t>
      </w:r>
      <w:r>
        <w:t>). Het LQ kan worden berekend aan de hand van het aantal bedrijfsvestigingen of het aantal banen in een sector. Het wordt berekend met behulp van de volgende formule:</w:t>
      </w:r>
    </w:p>
    <w:p w14:paraId="63E5321B" w14:textId="77777777" w:rsidR="006B55BB" w:rsidRDefault="006B55BB" w:rsidP="006B55BB"/>
    <w:p w14:paraId="6AC02723" w14:textId="77777777" w:rsidR="006B55BB" w:rsidRDefault="006B55BB" w:rsidP="001D0BD4">
      <w:pPr>
        <w:jc w:val="center"/>
      </w:pPr>
      <w:r>
        <w:rPr>
          <w:noProof/>
          <w:lang w:val="en-US" w:eastAsia="en-US"/>
        </w:rPr>
        <w:drawing>
          <wp:inline distT="0" distB="0" distL="0" distR="0" wp14:anchorId="45B6863B" wp14:editId="06485E87">
            <wp:extent cx="1137920" cy="885509"/>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qformule.png"/>
                    <pic:cNvPicPr/>
                  </pic:nvPicPr>
                  <pic:blipFill>
                    <a:blip r:embed="rId12">
                      <a:extLst>
                        <a:ext uri="{28A0092B-C50C-407E-A947-70E740481C1C}">
                          <a14:useLocalDpi xmlns:a14="http://schemas.microsoft.com/office/drawing/2010/main" val="0"/>
                        </a:ext>
                      </a:extLst>
                    </a:blip>
                    <a:stretch>
                      <a:fillRect/>
                    </a:stretch>
                  </pic:blipFill>
                  <pic:spPr>
                    <a:xfrm>
                      <a:off x="0" y="0"/>
                      <a:ext cx="1138360" cy="885851"/>
                    </a:xfrm>
                    <a:prstGeom prst="rect">
                      <a:avLst/>
                    </a:prstGeom>
                  </pic:spPr>
                </pic:pic>
              </a:graphicData>
            </a:graphic>
          </wp:inline>
        </w:drawing>
      </w:r>
    </w:p>
    <w:p w14:paraId="68AA4C78" w14:textId="77777777" w:rsidR="006B55BB" w:rsidRDefault="006B55BB" w:rsidP="006B55BB"/>
    <w:p w14:paraId="2710A65B" w14:textId="40F7B5AF" w:rsidR="006B55BB" w:rsidRPr="006B55BB" w:rsidRDefault="006B55BB" w:rsidP="006B55BB">
      <w:pPr>
        <w:rPr>
          <w:szCs w:val="24"/>
        </w:rPr>
      </w:pPr>
      <w:r>
        <w:t>Bij een positief LQ is maakt de betreffende sector een groter deel uit van de economie in de regio, bij een negatief LQ is de sector juist kleiner. Bijvoorbeeld: een LQ gebaseerd op arbeidsplaatsen van 0,8 ligt het percentage banen in de sector ten opzichte van het totaal aantal banen in de regio 0,8 keer zo hoog als in het gebied waarmee vergeleken wordt (bijvoorbeeld de provincie).</w:t>
      </w:r>
    </w:p>
    <w:p w14:paraId="44CAC581" w14:textId="77777777" w:rsidR="006B55BB" w:rsidRDefault="006B55BB" w:rsidP="006B55BB">
      <w:pPr>
        <w:pStyle w:val="Heading2"/>
      </w:pPr>
      <w:r>
        <w:t>Divergentiemaat</w:t>
      </w:r>
    </w:p>
    <w:p w14:paraId="285D17DD" w14:textId="77777777" w:rsidR="004F0989" w:rsidRDefault="006B55BB" w:rsidP="004F0989">
      <w:r w:rsidRPr="007C5164">
        <w:t xml:space="preserve">Om verschillen tussen de economische opbouw van regio’s te vergelijken in één maat wordt een methode gebruikt die door Krugman (1999) is ontwikkeld. </w:t>
      </w:r>
      <w:r>
        <w:t>Het doel van de methode is om te zien in hoeverre de economische sectoren elkaar overlappen, of juist aanvullen tussen verschillende regio’s.</w:t>
      </w:r>
      <w:r w:rsidR="004F0989">
        <w:rPr>
          <w:lang w:val="en-US"/>
        </w:rPr>
        <w:t xml:space="preserve"> </w:t>
      </w:r>
      <w:r>
        <w:t>Met deze methode kunnen dus ook regio’s van gel</w:t>
      </w:r>
      <w:r w:rsidR="004F0989">
        <w:t>ijke grootte vergeleken worden.</w:t>
      </w:r>
    </w:p>
    <w:p w14:paraId="6CA5E154" w14:textId="16694D6F" w:rsidR="006B55BB" w:rsidRDefault="006B55BB" w:rsidP="004F0989">
      <w:pPr>
        <w:ind w:firstLine="720"/>
      </w:pPr>
      <w:r w:rsidRPr="007C5164">
        <w:t xml:space="preserve">Per sector wordt berekent wat </w:t>
      </w:r>
      <w:r>
        <w:t>het aandeel</w:t>
      </w:r>
      <w:r w:rsidRPr="007C5164">
        <w:t xml:space="preserve"> in de totale economie (in werkgelegenheid, of hoeveelheden </w:t>
      </w:r>
      <w:r>
        <w:t>bedrijfsvestigingen</w:t>
      </w:r>
      <w:r w:rsidRPr="007C5164">
        <w:t xml:space="preserve">) van </w:t>
      </w:r>
      <w:r>
        <w:t xml:space="preserve">de te vergelijken </w:t>
      </w:r>
      <w:r w:rsidRPr="007C5164">
        <w:t>regio’s</w:t>
      </w:r>
      <w:r>
        <w:t xml:space="preserve"> is</w:t>
      </w:r>
      <w:r w:rsidRPr="007C5164">
        <w:t xml:space="preserve">. Vervolgens wordt het aandeel dat een sector heeft in </w:t>
      </w:r>
      <w:r>
        <w:t>een</w:t>
      </w:r>
      <w:r w:rsidRPr="007C5164">
        <w:t xml:space="preserve"> regio</w:t>
      </w:r>
      <w:r>
        <w:t xml:space="preserve"> (S*)</w:t>
      </w:r>
      <w:r w:rsidRPr="007C5164">
        <w:t xml:space="preserve"> afgetrokken van </w:t>
      </w:r>
      <w:r>
        <w:t>een</w:t>
      </w:r>
      <w:r w:rsidRPr="007C5164">
        <w:t xml:space="preserve"> andere regio</w:t>
      </w:r>
      <w:r>
        <w:t xml:space="preserve"> (S)</w:t>
      </w:r>
      <w:r w:rsidRPr="007C5164">
        <w:t>. Alle afwijkingen worden vervolgens bij elkaar opgeteld. Dit levert de volgende formule op:</w:t>
      </w:r>
    </w:p>
    <w:p w14:paraId="32C2537F" w14:textId="77777777" w:rsidR="006B55BB" w:rsidRPr="007C5164" w:rsidRDefault="006B55BB" w:rsidP="006B55BB"/>
    <w:p w14:paraId="6409EBE7" w14:textId="77777777" w:rsidR="006B55BB" w:rsidRDefault="006B55BB" w:rsidP="001D0BD4">
      <w:pPr>
        <w:jc w:val="center"/>
      </w:pPr>
      <w:r w:rsidRPr="007C5164">
        <w:rPr>
          <w:noProof/>
          <w:lang w:val="en-US" w:eastAsia="en-US"/>
        </w:rPr>
        <w:drawing>
          <wp:inline distT="0" distB="0" distL="0" distR="0" wp14:anchorId="215F1366" wp14:editId="5777E5ED">
            <wp:extent cx="1249680" cy="42338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e krugman.png"/>
                    <pic:cNvPicPr/>
                  </pic:nvPicPr>
                  <pic:blipFill>
                    <a:blip r:embed="rId13">
                      <a:extLst>
                        <a:ext uri="{28A0092B-C50C-407E-A947-70E740481C1C}">
                          <a14:useLocalDpi xmlns:a14="http://schemas.microsoft.com/office/drawing/2010/main" val="0"/>
                        </a:ext>
                      </a:extLst>
                    </a:blip>
                    <a:stretch>
                      <a:fillRect/>
                    </a:stretch>
                  </pic:blipFill>
                  <pic:spPr>
                    <a:xfrm>
                      <a:off x="0" y="0"/>
                      <a:ext cx="1249706" cy="423395"/>
                    </a:xfrm>
                    <a:prstGeom prst="rect">
                      <a:avLst/>
                    </a:prstGeom>
                  </pic:spPr>
                </pic:pic>
              </a:graphicData>
            </a:graphic>
          </wp:inline>
        </w:drawing>
      </w:r>
    </w:p>
    <w:p w14:paraId="6BABE2AB" w14:textId="77777777" w:rsidR="006B55BB" w:rsidRPr="007C5164" w:rsidRDefault="006B55BB" w:rsidP="006B55BB"/>
    <w:p w14:paraId="3FC729E3" w14:textId="7A01E20C" w:rsidR="006B55BB" w:rsidRDefault="006B55BB" w:rsidP="006B55BB">
      <w:r w:rsidRPr="007C5164">
        <w:t xml:space="preserve">Uit deze formule komt een cijfer dat zich tussen de 0 en de 2 bevindt. Als de uitslag exact 0 is, zijn de regio’s identiek qua verdeling van economische activiteit over sectoren. Is de uitslag 2, dan is er geen </w:t>
      </w:r>
      <w:r>
        <w:t xml:space="preserve">enkele </w:t>
      </w:r>
      <w:r w:rsidRPr="007C5164">
        <w:t xml:space="preserve">overlap tussen de sectoren </w:t>
      </w:r>
      <w:r>
        <w:t>die</w:t>
      </w:r>
      <w:r w:rsidRPr="007C5164">
        <w:t xml:space="preserve"> </w:t>
      </w:r>
      <w:r>
        <w:t>in de</w:t>
      </w:r>
      <w:r w:rsidRPr="007C5164">
        <w:t xml:space="preserve"> regio’s actief zijn.</w:t>
      </w:r>
    </w:p>
    <w:p w14:paraId="09C83694" w14:textId="77777777" w:rsidR="006B55BB" w:rsidRDefault="006B55BB" w:rsidP="006B55BB"/>
    <w:p w14:paraId="569EAD80" w14:textId="77777777" w:rsidR="006B55BB" w:rsidRDefault="006B55BB" w:rsidP="006B55BB">
      <w:pPr>
        <w:pStyle w:val="Heading2"/>
      </w:pPr>
      <w:r>
        <w:t>Productgerelateerdheid</w:t>
      </w:r>
    </w:p>
    <w:p w14:paraId="2072DEA5" w14:textId="77777777" w:rsidR="006B55BB" w:rsidRDefault="006B55BB" w:rsidP="006B55BB">
      <w:r>
        <w:t>Productgerelateerdheid wordt aangeduid aan de hand van de SBI-indeling van het CBS (CBS, 2014). De SBI-index verdeelt bedrijven onder in sectoren aan de hand van het product dat deze bedrijven produceren, of de dienst die zij leveren. In dit onderzoek wordt geen onderscheid gemaakt tussen producten of diensten. Hoe meer cijfers de SBI-code overeen komt, des te sterker de producten overeenkomen, en des te sterker de relatie tussen sectoren op het gebied van productgerelateerdheid. Voor analyses met weinig respondenten worden sbi-codes gegroepeerd naar SBI-secties zoals het CBS deze heeft geformuleerd.</w:t>
      </w:r>
    </w:p>
    <w:p w14:paraId="71D41CEE" w14:textId="77777777" w:rsidR="006B55BB" w:rsidRDefault="006B55BB" w:rsidP="006B55BB"/>
    <w:p w14:paraId="7166D11E" w14:textId="77777777" w:rsidR="006B55BB" w:rsidRPr="00B27C50" w:rsidRDefault="006B55BB" w:rsidP="006B55BB">
      <w:pPr>
        <w:pStyle w:val="Heading2"/>
      </w:pPr>
      <w:r w:rsidRPr="00B27C50">
        <w:t>Skill-gerelateerdheid</w:t>
      </w:r>
    </w:p>
    <w:p w14:paraId="10715314" w14:textId="77777777" w:rsidR="006B55BB" w:rsidRDefault="006B55BB" w:rsidP="006B55BB">
      <w:r>
        <w:t>Bij skill-gerelateerdheid draait het niet om overeenkomsten tussen de producten, maar om de kennis, vaardigheden en het netwerk dat nodig is om het product te maken (of dienst te leveren). Zie paragraaf 3.4 voor de methode die gebruikt is om skill-gerelateerdheid vast te stellen in dit onderzoek.</w:t>
      </w:r>
    </w:p>
    <w:p w14:paraId="668CDE63" w14:textId="77777777" w:rsidR="006B55BB" w:rsidRDefault="006B55BB" w:rsidP="006B55BB"/>
    <w:p w14:paraId="453C57AD" w14:textId="77777777" w:rsidR="006B55BB" w:rsidRDefault="006B55BB" w:rsidP="006B55BB">
      <w:pPr>
        <w:pStyle w:val="Heading2"/>
      </w:pPr>
      <w:r>
        <w:t>Fulltime werkplekken</w:t>
      </w:r>
    </w:p>
    <w:p w14:paraId="36FC6E47" w14:textId="77777777" w:rsidR="006B55BB" w:rsidRDefault="006B55BB" w:rsidP="006B55BB">
      <w:r>
        <w:t>De groei van bedrijven wordt gemeten aan de hand van het aantal aangeboden werkplekken zoals in de PAR en LISA zijn opgegeven. Hierbij wordt gekeken naar fulltime werkplekken. Een werkplek wordt in deze databestanden al als fulltime aangemerkt als er meer dan twaalf uur per week gewerkt wordt.</w:t>
      </w:r>
    </w:p>
    <w:p w14:paraId="0D1F58E3" w14:textId="77777777" w:rsidR="006B55BB" w:rsidRDefault="006B55BB" w:rsidP="006B55BB"/>
    <w:p w14:paraId="06A1ADB2" w14:textId="77777777" w:rsidR="006B55BB" w:rsidRPr="006175D6" w:rsidRDefault="006B55BB" w:rsidP="006B55BB">
      <w:pPr>
        <w:pStyle w:val="Heading2"/>
      </w:pPr>
      <w:r w:rsidRPr="006175D6">
        <w:t>Spin-off</w:t>
      </w:r>
    </w:p>
    <w:p w14:paraId="773B3560" w14:textId="30E3E363" w:rsidR="006B55BB" w:rsidRDefault="006B55BB" w:rsidP="006B55BB">
      <w:r>
        <w:t xml:space="preserve"> Zie paragraaf 3.4 voor de operationalisatie van spin-offs.</w:t>
      </w:r>
    </w:p>
    <w:p w14:paraId="357B8D3A" w14:textId="77777777" w:rsidR="006B55BB" w:rsidRPr="00302170" w:rsidRDefault="006B55BB" w:rsidP="006B55BB">
      <w:pPr>
        <w:pStyle w:val="Heading1"/>
      </w:pPr>
      <w:bookmarkStart w:id="29" w:name="_Toc316143570"/>
      <w:bookmarkStart w:id="30" w:name="_Toc337655421"/>
      <w:r>
        <w:t xml:space="preserve">3.3 </w:t>
      </w:r>
      <w:r w:rsidRPr="00302170">
        <w:t>Secundaire data</w:t>
      </w:r>
      <w:bookmarkEnd w:id="29"/>
      <w:bookmarkEnd w:id="30"/>
    </w:p>
    <w:p w14:paraId="5FE5AC88" w14:textId="77777777" w:rsidR="006B55BB" w:rsidRPr="00302170" w:rsidRDefault="006B55BB" w:rsidP="006B55BB">
      <w:r>
        <w:t xml:space="preserve">Voor gegevens over de sectorale structuur in de onderzoeksregio’s wordt gebruik gemaakt van het LISA databestand, bij onderzoek naar startende ondernemers wordt het PAR gebruikt. Het LISA </w:t>
      </w:r>
      <w:r w:rsidRPr="00302170">
        <w:t xml:space="preserve">databestand bevat de adresgegevens, het aantal werknemers en de hoofdactiviteit aan de hand van een SBI-code van iedere bedrijfsvestiging in Nederland. Het bestand wordt sinds 1995 bijgehouden, hoewel de agrarische sector pas sinds 2012 volledig wordt verwerkt in LISA. Er wordt gebruik gemaakt van dit databestand omdat dit een uniforme blik geeft op </w:t>
      </w:r>
      <w:r>
        <w:t xml:space="preserve">zowel </w:t>
      </w:r>
      <w:r w:rsidRPr="00302170">
        <w:t>de regio’s die binnen provincie Utrecht onderzocht worden, als de vergelijkingsregio’s in Gelderland en Zuid-Holland.</w:t>
      </w:r>
    </w:p>
    <w:p w14:paraId="0918BBAB" w14:textId="77777777" w:rsidR="006B55BB" w:rsidRPr="00302170" w:rsidRDefault="006B55BB" w:rsidP="006B55BB">
      <w:pPr>
        <w:ind w:firstLine="720"/>
      </w:pPr>
      <w:r>
        <w:t>Om mogelijke start-ups te identificeren</w:t>
      </w:r>
      <w:r w:rsidRPr="00302170">
        <w:t xml:space="preserve"> wordt daarnaast gebruik gemaakt van het provinciaal arbeidsregister (PAR). Deze dataset bevat alle bedrijfsvestigingen die in de provincie Utrecht gevestigd zijn, en bevat binnen deze provincie dezelfde bedrijven als het LISA databestand. In tegenstelling tot LISA bevat het PAR echter ook de datum waarop een bedrijf gestart is. Ook bevat</w:t>
      </w:r>
      <w:r>
        <w:t>te</w:t>
      </w:r>
      <w:r w:rsidRPr="00302170">
        <w:t xml:space="preserve"> het PAR op het moment </w:t>
      </w:r>
      <w:r>
        <w:t>dat dit onderzoek startte</w:t>
      </w:r>
      <w:r w:rsidRPr="00302170">
        <w:t xml:space="preserve"> al alle data die over 2013 verzameld is, terwijl de laatste data van LISA over 2012 gaat. Hierdoor kan de analyse actueler worden uitgevoerd.</w:t>
      </w:r>
    </w:p>
    <w:p w14:paraId="16C157E4" w14:textId="08E02612" w:rsidR="006B55BB" w:rsidRDefault="006B55BB" w:rsidP="006B55BB">
      <w:pPr>
        <w:ind w:firstLine="720"/>
      </w:pPr>
      <w:r w:rsidRPr="00302170">
        <w:t>Omdat zowel het PAR als het LISA gegevens op het niveau van bedrijfsvestigingen bevatten, worden alleen alle werknemers van bedrijven die werkzaam zijn in vestigingen in de onderzoeksregio’s geteld. Als een bedrijf meerdere vestigingen heeft binnen de regio, worden deze vestigingen als losse onderzoekseenheden gezien.</w:t>
      </w:r>
    </w:p>
    <w:p w14:paraId="125583CC" w14:textId="77777777" w:rsidR="006B55BB" w:rsidRDefault="006B55BB" w:rsidP="006B55BB">
      <w:pPr>
        <w:pStyle w:val="Heading1"/>
      </w:pPr>
      <w:bookmarkStart w:id="31" w:name="_Toc316143571"/>
      <w:bookmarkStart w:id="32" w:name="_Toc337655422"/>
      <w:r>
        <w:t>3.4 Methode voor onderzoek naar skill-gerelateerdheid</w:t>
      </w:r>
      <w:bookmarkEnd w:id="31"/>
      <w:bookmarkEnd w:id="32"/>
    </w:p>
    <w:p w14:paraId="75ADE4E6" w14:textId="77777777" w:rsidR="006B55BB" w:rsidRPr="006B55BB" w:rsidRDefault="006B55BB" w:rsidP="006B55BB">
      <w:r w:rsidRPr="006B55BB">
        <w:t>Zoals in het theoretisch kader is gebleken,  zullen ondernemers bij het starten van een nieuw bedrijf er vaak voor kiezen om hun ervaring en vaardigheden zo goed mogelijk in te zetten op een manier waarvan zij vermoeden dat er geld mee te verdienen valt. Bovendien blijven veel ondernemers actief in de regio waar zij wonen en eerder werkten. Hierdoor bouwt een nieuwe generatie bedrijven voort op de kennis vanuit bedrijven die eerder aanwezig waren in de regio. Bij deze bedrijven deden ondernemers immers hun ervaring op. Ook nieuwe sectoren komen op deze wijze voort uit kennis en bedrijven die al in de regio aanwezig waren.</w:t>
      </w:r>
    </w:p>
    <w:p w14:paraId="2B3349CF" w14:textId="77777777" w:rsidR="006B55BB" w:rsidRPr="006B55BB" w:rsidRDefault="006B55BB" w:rsidP="006B55BB">
      <w:pPr>
        <w:ind w:firstLine="720"/>
      </w:pPr>
      <w:r w:rsidRPr="006B55BB">
        <w:t>Het doel van dit onderzoek is om het verband tussen sectoren aan te tonen aan de hand van de opgedane ervaring en het hergebruik van vaardigheden in nieuwe sectoren. Om dit te onderzoeken worden bedrijven geselecteerd vanuit het provinciaal arbeidsplaatsen register (PAR) In het PAR staan alle bedrijven in provincie Utrecht geregistreerd. Van ieder bedrijf is te zien in welke sector zij opereren aan de hand van SBI-codes. De selectiecriteria voor dit onderzoek worden duidelijk in paragraaf 3.2. Geselecteerde bedrijven worden opgebeld met de vraag of de originele oprichter nog werkzaam is bij het bedrijf en of deze mee wil werken aan het onderzoek. Als dit het geval is, wordt gevraagd naar de volgende punten:</w:t>
      </w:r>
    </w:p>
    <w:p w14:paraId="69A36695" w14:textId="77777777" w:rsidR="006B55BB" w:rsidRDefault="006B55BB" w:rsidP="006B55BB"/>
    <w:p w14:paraId="3CA360E8" w14:textId="77777777" w:rsidR="006B55BB" w:rsidRPr="002A06BB" w:rsidRDefault="006B55BB" w:rsidP="006B55BB">
      <w:pPr>
        <w:pStyle w:val="ListParagraph"/>
        <w:numPr>
          <w:ilvl w:val="0"/>
          <w:numId w:val="3"/>
        </w:numPr>
      </w:pPr>
      <w:r w:rsidRPr="004F020F">
        <w:rPr>
          <w:i/>
        </w:rPr>
        <w:t>Het jaar van oprichten van het bedrijf</w:t>
      </w:r>
      <w:r w:rsidRPr="002A06BB">
        <w:t>. Er staan fouten in he</w:t>
      </w:r>
      <w:r>
        <w:t>t Provinciaal Arbeids R</w:t>
      </w:r>
      <w:r w:rsidRPr="002A06BB">
        <w:t>egister betreffende de oprichtingsdata. Door naar het jaar van oprichten te vragen wordt gecontroleerd of het bedrijf aan de voorwaarden van de selectie bedrijven voldoet die in paragraaf 3.2 wordt toegelicht.</w:t>
      </w:r>
    </w:p>
    <w:p w14:paraId="62C98B02" w14:textId="77777777" w:rsidR="006B55BB" w:rsidRDefault="006B55BB" w:rsidP="006B55BB">
      <w:pPr>
        <w:pStyle w:val="ListParagraph"/>
        <w:numPr>
          <w:ilvl w:val="0"/>
          <w:numId w:val="3"/>
        </w:numPr>
      </w:pPr>
      <w:r w:rsidRPr="004F020F">
        <w:rPr>
          <w:i/>
        </w:rPr>
        <w:t>De laatste activiteit van de oprichter van het bedrijf.</w:t>
      </w:r>
      <w:r>
        <w:t xml:space="preserve"> Zo wordt duidelijk of de oprichter in zijn vorige baan ook al ondernemer was, of deze bij een ander bedrijf werkte (en zijn huidige bedrijf dus een spin-off is), of dat geen directe werkervaring was voor het startten van het huidige bedrijf.</w:t>
      </w:r>
    </w:p>
    <w:p w14:paraId="68E6A6B0" w14:textId="77777777" w:rsidR="006B55BB" w:rsidRDefault="006B55BB" w:rsidP="006B55BB">
      <w:pPr>
        <w:pStyle w:val="ListParagraph"/>
        <w:numPr>
          <w:ilvl w:val="0"/>
          <w:numId w:val="3"/>
        </w:numPr>
      </w:pPr>
      <w:r w:rsidRPr="00C06DF3">
        <w:t>Als de ondernemer voor het oprichten van het huidige bedrijf bij een ander bedrijf werkte, wordt gevra</w:t>
      </w:r>
      <w:r>
        <w:t>agd bij welk bedrijf dit was en in welke plaats. Hierdoor wordt duidelijk of de ondernemer al eerder werkzaam was in de regio, en het bedrijf kan worden opgezocht in het PAR, of LISA bestand en wordt hier een SBI code aan verbonden.</w:t>
      </w:r>
    </w:p>
    <w:p w14:paraId="73959B68" w14:textId="77777777" w:rsidR="006B55BB" w:rsidRDefault="006B55BB" w:rsidP="006B55BB">
      <w:pPr>
        <w:pStyle w:val="ListParagraph"/>
        <w:numPr>
          <w:ilvl w:val="0"/>
          <w:numId w:val="3"/>
        </w:numPr>
      </w:pPr>
      <w:r>
        <w:t>Vervolgens wordt gevraagd of zij A) vaardigheden, B) sociale contacten, of C) financiële of materiele middelen hebben verkregen via hun vorige werkgever</w:t>
      </w:r>
      <w:r w:rsidRPr="00B53C3E">
        <w:t>.</w:t>
      </w:r>
      <w:r>
        <w:t xml:space="preserve"> Deze drie manieren worden onderscheiden als voordelen die spin-offs hebben. Met deze vraag wordt bekeken in hoeverre spin-offs deze factoren overerven.</w:t>
      </w:r>
    </w:p>
    <w:p w14:paraId="4D77CD15" w14:textId="77777777" w:rsidR="006B55BB" w:rsidRPr="007B2D09" w:rsidRDefault="006B55BB" w:rsidP="006B55BB">
      <w:pPr>
        <w:pStyle w:val="ListParagraph"/>
        <w:numPr>
          <w:ilvl w:val="0"/>
          <w:numId w:val="3"/>
        </w:numPr>
      </w:pPr>
      <w:r w:rsidRPr="007B2D09">
        <w:t>Als het bedrijf een spin-off blijkt te zijn, wordt gevraagd of het mogelijk is om een vervolg interview te houden, voor verdere info</w:t>
      </w:r>
      <w:r>
        <w:t>r</w:t>
      </w:r>
      <w:r w:rsidRPr="007B2D09">
        <w:t>matie.</w:t>
      </w:r>
      <w:r>
        <w:t xml:space="preserve"> Zo wordt duidelijk welke keuzes leidden tot het opzetten van een eigen bedrijf, welke ervaringen vanuit het vorige bedrijf toepasbaar zijn in een spin-off, en welke andere factoren er meespelen bij het vormen van een spin-off.</w:t>
      </w:r>
    </w:p>
    <w:p w14:paraId="0803727A" w14:textId="77777777" w:rsidR="006B55BB" w:rsidRPr="007B2D09" w:rsidRDefault="006B55BB" w:rsidP="006B55BB"/>
    <w:p w14:paraId="074B6F9E" w14:textId="77777777" w:rsidR="006B55BB" w:rsidRPr="006B55BB" w:rsidRDefault="006B55BB" w:rsidP="006B55BB">
      <w:r w:rsidRPr="006B55BB">
        <w:t>De SBI-code van het huidige bedrijf en de vorige werkplek van de ondernemer worden vervolgens met elkaar vergeleken. Hierdoor wordt a) duidelijk hoe vaak een bepaalde sector spin-offs voortbrengt, en daarmee kennis in de regio genereert en verspreidt, en b) hoe vaak een verband tussen twee sectoren voorkomt, en in hoeverre zij skill-gerelateerd zijn aan elkaar.</w:t>
      </w:r>
    </w:p>
    <w:p w14:paraId="7405A3D6" w14:textId="77777777" w:rsidR="006B55BB" w:rsidRPr="006B55BB" w:rsidRDefault="006B55BB" w:rsidP="006B55BB">
      <w:r w:rsidRPr="006B55BB">
        <w:tab/>
        <w:t>Eerder onderzocht Van Oort (2013) al skill-gerelateerdheid in de gehele provincie Utrecht door de huidige baan van werknemers te koppelen aan de laatste baan die zij hiervoor hadden. Hierdoor ontstond een maat van skill-gerelateerdheid op de arbeidsmarkt. Dit onderzoek herhaalt deze methode, maar richt zich op werkgevers in plaats van werknemers. Zo ontstaat er een maat van skill-gerelateerdheid, die inzicht geeft in de generatie van nieuwe bedrijven. Indirect zal de generatie van nieuwe bedrijven wel invloed hebben op de arbeidsmarkt.</w:t>
      </w:r>
    </w:p>
    <w:p w14:paraId="176B45BA" w14:textId="77777777" w:rsidR="006B55BB" w:rsidRPr="006B55BB" w:rsidRDefault="006B55BB" w:rsidP="006B55BB">
      <w:r w:rsidRPr="006B55BB">
        <w:tab/>
        <w:t>Dit onderzoek wijkt verder af van dat van Van Oort (2013) door gebruik te maken van een lager schaalniveau. Waar Van Oort skill-gerelateerdheid over de gehele provincie Utrecht onderzocht, wordt hier alleen gekeken naar de afzonderlijke regio’s Woerden en Veenendaal. Ook de sectorindeling die in dit onderzoek gebruik wordt is meer gedetailleerd: waar Van Oort gebruik maakt van drie cijfers van het SBI, wordt in dit onderzoek gekeken naar de eerste vier cijfers van de SBI-codes. Hierdoor wordt er meer rekening gehouden met subsectoren, en ontstaat een genuanceerder beeld van de onderlinge skill-gerelateerdheid tussen sectoren. Er is gekozen om geen gebruik te maken van de volle vijf cijfers van het SBI omdat er op deze wijze te veel unieke sectoren zijn, en het lastig wordt om vanuit de relatief kleine populatie van de regio Woerden en Veenendaal verbanden aan te kunnen tonen tussen sectoren.</w:t>
      </w:r>
    </w:p>
    <w:p w14:paraId="0EA5B396" w14:textId="6FC3130F" w:rsidR="006B55BB" w:rsidRDefault="006B55BB" w:rsidP="006B55BB">
      <w:r w:rsidRPr="006B55BB">
        <w:tab/>
        <w:t xml:space="preserve">Om een beter beeld te krijgen van de manier waarop spin-offs human capital, social capital en financieel kapitaal overerven zijn er drie interviews geweest met bedrijfsoprichters die dieper op de materie in gingen dan de telefonische gesprekken. Deze semi gestructureerde interviews zijn face-to-face afgenomen aan de hand van de topiclist in bijlage 2.1. De transcripties van deze interviews zijn te </w:t>
      </w:r>
      <w:r w:rsidR="00D4780A">
        <w:t>vinden in bijlages 2.2 tot 2.4.</w:t>
      </w:r>
    </w:p>
    <w:p w14:paraId="05E73F9D" w14:textId="77777777" w:rsidR="006B55BB" w:rsidRPr="00145188" w:rsidRDefault="006B55BB" w:rsidP="00D4780A">
      <w:pPr>
        <w:pStyle w:val="Heading1"/>
      </w:pPr>
      <w:bookmarkStart w:id="33" w:name="_Toc316143572"/>
      <w:bookmarkStart w:id="34" w:name="_Toc337655423"/>
      <w:r>
        <w:t xml:space="preserve">3.5 </w:t>
      </w:r>
      <w:r w:rsidRPr="00145188">
        <w:t>Selectie bedrijven</w:t>
      </w:r>
      <w:bookmarkEnd w:id="33"/>
      <w:bookmarkEnd w:id="34"/>
    </w:p>
    <w:p w14:paraId="13800D68" w14:textId="77777777" w:rsidR="006B55BB" w:rsidRDefault="006B55BB" w:rsidP="006B55BB">
      <w:r>
        <w:t>De twee regio’s die worden onderzocht zijn regio Woerden en regio Veenendaal. In deze regio’s worden vanuit het provinciaal arbeidsplaatsen register bedrijven geselecteerd die tussen de 15 en de 10 jaar oud zijn. De bedrijven moeten succes hebben gehad. Er wordt vanuit gegaan dat bedrijven die tien jaar hebben kunnen bestaan op eigen kracht winst hebben kunnen maken en hiermee als succesvol beschouwd kunnen worden.</w:t>
      </w:r>
    </w:p>
    <w:p w14:paraId="328EF811" w14:textId="77777777" w:rsidR="006B55BB" w:rsidRDefault="006B55BB" w:rsidP="006B55BB">
      <w:r>
        <w:t>Er is voor gekozen om geen bedrijven van ouder dan vijftien jaar te onderzoeken omdat de kans dat de oprichter niet meer werkzaam is bij het bedrijf toeneemt naarmate een bedrijf ouder wordt. Een tweede succesfactor die wordt meegenomen in de selectiecriteria is dat bedrijven die onderzocht worden groei in werknemers moeten hebben doorgemaakt in de laatste tien jaar. Er is gekozen voor groei in werknemers omdat deze informatie beschikbaar is in het PAR, in tegenstelling tot ander maten van succes. Alleen de oprichter zelf geldt als primaire bron over zijn achtergrond. Bedrijven waar de oprichter niet meer werkzaam is, worden niet verder onderzocht.</w:t>
      </w:r>
    </w:p>
    <w:p w14:paraId="009DCB91" w14:textId="29BF0FBA" w:rsidR="006B55BB" w:rsidRPr="00D4780A" w:rsidRDefault="006B55BB" w:rsidP="006B55BB">
      <w:pPr>
        <w:rPr>
          <w:b/>
        </w:rPr>
      </w:pPr>
      <w:r w:rsidRPr="00E7658C">
        <w:t xml:space="preserve">Als bedrijven </w:t>
      </w:r>
      <w:r>
        <w:t>geselecteerd zijn voor het onderzoek, maar uit telefoongesprekken blijkt dat de bedrijven niet aan de selectiecriteria voldoen, worden deze niet meegenomen in de resultaten.</w:t>
      </w:r>
    </w:p>
    <w:p w14:paraId="40973B50" w14:textId="77777777" w:rsidR="006B55BB" w:rsidRPr="00805A73" w:rsidRDefault="006B55BB" w:rsidP="00D4780A">
      <w:pPr>
        <w:pStyle w:val="Heading1"/>
      </w:pPr>
      <w:bookmarkStart w:id="35" w:name="_Toc316143573"/>
      <w:bookmarkStart w:id="36" w:name="_Toc337655424"/>
      <w:r>
        <w:t xml:space="preserve">3.6 </w:t>
      </w:r>
      <w:r w:rsidRPr="00805A73">
        <w:t>Populatie en respons</w:t>
      </w:r>
      <w:bookmarkEnd w:id="35"/>
      <w:bookmarkEnd w:id="36"/>
    </w:p>
    <w:p w14:paraId="04CB4A67" w14:textId="77777777" w:rsidR="006B55BB" w:rsidRDefault="006B55BB" w:rsidP="006B55BB">
      <w:r>
        <w:t>Er zijn in totaal 25.838 bedrijven gevestigd in de twee onderzoeksregio’s, waarvan 11.983 in Woerden en 13.355 in Veenendaal. Voor de enquête worden alleen starters geselecteerd die minder dan vijftien jaar bestaan hebben. Daarnaast moeten de bedrijven minstens tien jaar bestaan hebben, om als succesvol bestempeld te worden. Hierdoor vallen bedrijven buiten het tijdskader van 1998 tot 2003 niet onder de populatie.</w:t>
      </w:r>
    </w:p>
    <w:p w14:paraId="05F2044C" w14:textId="77777777" w:rsidR="006B55BB" w:rsidRDefault="006B55BB" w:rsidP="006B55BB">
      <w:r>
        <w:t>Hierbij moet rekening worden gehouden met het feit dat de dataset de startdatum per bedrijfsvestiging noteert. Bij bedrijven die verhuisd zijn, of meerdere vestigingen hebben geeft de dataset dus niet de startdatum van het bedrijf aan. Bij bedrijven waarmee contact is opgenomen zijn deze data gecorrigeerd, en verwijderd uit de dataset. Bij bedrijven die buiten de populatie vallen was dit helaas niet mogelijk.</w:t>
      </w:r>
    </w:p>
    <w:p w14:paraId="309B97E6" w14:textId="77777777" w:rsidR="006B55BB" w:rsidRDefault="006B55BB" w:rsidP="006B55BB">
      <w:r>
        <w:t>Als tweede maat van succes wordt genomen dat het aantal fulltime arbeidsplaatsen dat de bedrijven bieden gegroeid moet zijn gegroeid in de afgelopen tien jaar. Hiermee tonen bedrijven dat zij de ambitie te hebben om te groeien, en de middelen te hebben om deze ambitie waar te maken. Tabel 3.2 laat zien welke bedrijven op basis van data uit het PAR tussen de tien en vijftien jaar oud zijn er groeiden in deze periode.</w:t>
      </w:r>
    </w:p>
    <w:p w14:paraId="5C1F268C" w14:textId="77777777" w:rsidR="006B55BB" w:rsidRDefault="006B55BB" w:rsidP="006B55BB"/>
    <w:tbl>
      <w:tblPr>
        <w:tblStyle w:val="ColorfulGrid-Accent1"/>
        <w:tblW w:w="0" w:type="auto"/>
        <w:tblLook w:val="04A0" w:firstRow="1" w:lastRow="0" w:firstColumn="1" w:lastColumn="0" w:noHBand="0" w:noVBand="1"/>
      </w:tblPr>
      <w:tblGrid>
        <w:gridCol w:w="1085"/>
        <w:gridCol w:w="1071"/>
        <w:gridCol w:w="990"/>
        <w:gridCol w:w="627"/>
        <w:gridCol w:w="664"/>
        <w:gridCol w:w="665"/>
        <w:gridCol w:w="902"/>
      </w:tblGrid>
      <w:tr w:rsidR="006B55BB" w:rsidRPr="004149D8" w14:paraId="4D4FD7CE" w14:textId="77777777" w:rsidTr="004B37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hemeFill="accent1" w:themeFillShade="BF"/>
            <w:noWrap/>
            <w:hideMark/>
          </w:tcPr>
          <w:p w14:paraId="3216BA74" w14:textId="77777777" w:rsidR="006B55BB" w:rsidRPr="004149D8" w:rsidRDefault="006B55BB" w:rsidP="006B55BB">
            <w:pPr>
              <w:rPr>
                <w:sz w:val="18"/>
                <w:szCs w:val="18"/>
                <w:lang w:val="en-GB"/>
              </w:rPr>
            </w:pPr>
          </w:p>
        </w:tc>
        <w:tc>
          <w:tcPr>
            <w:tcW w:w="0" w:type="auto"/>
            <w:gridSpan w:val="2"/>
            <w:shd w:val="clear" w:color="auto" w:fill="365F91" w:themeFill="accent1" w:themeFillShade="BF"/>
            <w:noWrap/>
            <w:hideMark/>
          </w:tcPr>
          <w:p w14:paraId="2CFBB5B4" w14:textId="77777777" w:rsidR="006B55BB" w:rsidRPr="004149D8"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Aantal bedrijven in regio</w:t>
            </w:r>
          </w:p>
        </w:tc>
        <w:tc>
          <w:tcPr>
            <w:tcW w:w="0" w:type="auto"/>
            <w:gridSpan w:val="2"/>
            <w:shd w:val="clear" w:color="auto" w:fill="365F91" w:themeFill="accent1" w:themeFillShade="BF"/>
            <w:noWrap/>
            <w:hideMark/>
          </w:tcPr>
          <w:p w14:paraId="4F7691C2" w14:textId="77777777" w:rsidR="006B55BB" w:rsidRPr="004149D8"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Starters</w:t>
            </w:r>
          </w:p>
        </w:tc>
        <w:tc>
          <w:tcPr>
            <w:tcW w:w="0" w:type="auto"/>
            <w:gridSpan w:val="2"/>
            <w:shd w:val="clear" w:color="auto" w:fill="365F91" w:themeFill="accent1" w:themeFillShade="BF"/>
            <w:noWrap/>
            <w:hideMark/>
          </w:tcPr>
          <w:p w14:paraId="12C29160" w14:textId="77777777" w:rsidR="006B55BB" w:rsidRPr="004149D8"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Starters met groei</w:t>
            </w:r>
          </w:p>
        </w:tc>
      </w:tr>
      <w:tr w:rsidR="006B55BB" w:rsidRPr="004149D8" w14:paraId="13AA08E0" w14:textId="77777777" w:rsidTr="004B37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16E211" w14:textId="77777777" w:rsidR="006B55BB" w:rsidRPr="004149D8" w:rsidRDefault="006B55BB" w:rsidP="006B55BB">
            <w:pPr>
              <w:rPr>
                <w:sz w:val="18"/>
                <w:szCs w:val="18"/>
                <w:lang w:val="en-GB"/>
              </w:rPr>
            </w:pPr>
          </w:p>
        </w:tc>
        <w:tc>
          <w:tcPr>
            <w:tcW w:w="0" w:type="auto"/>
            <w:shd w:val="clear" w:color="auto" w:fill="365F91" w:themeFill="accent1" w:themeFillShade="BF"/>
            <w:noWrap/>
            <w:hideMark/>
          </w:tcPr>
          <w:p w14:paraId="07EB4CB1"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abs</w:t>
            </w:r>
          </w:p>
        </w:tc>
        <w:tc>
          <w:tcPr>
            <w:tcW w:w="0" w:type="auto"/>
            <w:shd w:val="clear" w:color="auto" w:fill="365F91" w:themeFill="accent1" w:themeFillShade="BF"/>
            <w:noWrap/>
            <w:hideMark/>
          </w:tcPr>
          <w:p w14:paraId="68E9E3B6"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w:t>
            </w:r>
          </w:p>
        </w:tc>
        <w:tc>
          <w:tcPr>
            <w:tcW w:w="0" w:type="auto"/>
            <w:shd w:val="clear" w:color="auto" w:fill="365F91" w:themeFill="accent1" w:themeFillShade="BF"/>
            <w:noWrap/>
            <w:hideMark/>
          </w:tcPr>
          <w:p w14:paraId="6FD1ACE8"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abs</w:t>
            </w:r>
          </w:p>
        </w:tc>
        <w:tc>
          <w:tcPr>
            <w:tcW w:w="0" w:type="auto"/>
            <w:shd w:val="clear" w:color="auto" w:fill="365F91" w:themeFill="accent1" w:themeFillShade="BF"/>
            <w:noWrap/>
            <w:hideMark/>
          </w:tcPr>
          <w:p w14:paraId="59E340C8"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w:t>
            </w:r>
          </w:p>
        </w:tc>
        <w:tc>
          <w:tcPr>
            <w:tcW w:w="0" w:type="auto"/>
            <w:shd w:val="clear" w:color="auto" w:fill="365F91" w:themeFill="accent1" w:themeFillShade="BF"/>
            <w:noWrap/>
            <w:hideMark/>
          </w:tcPr>
          <w:p w14:paraId="7E392646"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abs</w:t>
            </w:r>
          </w:p>
        </w:tc>
        <w:tc>
          <w:tcPr>
            <w:tcW w:w="0" w:type="auto"/>
            <w:shd w:val="clear" w:color="auto" w:fill="365F91" w:themeFill="accent1" w:themeFillShade="BF"/>
            <w:noWrap/>
            <w:hideMark/>
          </w:tcPr>
          <w:p w14:paraId="717E41AA"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GB"/>
              </w:rPr>
            </w:pPr>
            <w:r w:rsidRPr="004149D8">
              <w:rPr>
                <w:color w:val="FFFFFF" w:themeColor="background1"/>
                <w:sz w:val="18"/>
                <w:szCs w:val="18"/>
                <w:lang w:val="en-GB"/>
              </w:rPr>
              <w:t>%</w:t>
            </w:r>
          </w:p>
        </w:tc>
      </w:tr>
      <w:tr w:rsidR="006B55BB" w:rsidRPr="004149D8" w14:paraId="0C8C35E2" w14:textId="77777777" w:rsidTr="004B373F">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23456C" w14:textId="77777777" w:rsidR="006B55BB" w:rsidRPr="004149D8" w:rsidRDefault="006B55BB" w:rsidP="006B55BB">
            <w:pPr>
              <w:rPr>
                <w:sz w:val="18"/>
                <w:szCs w:val="18"/>
                <w:lang w:val="en-GB"/>
              </w:rPr>
            </w:pPr>
            <w:r w:rsidRPr="004149D8">
              <w:rPr>
                <w:sz w:val="18"/>
                <w:szCs w:val="18"/>
                <w:lang w:val="en-GB"/>
              </w:rPr>
              <w:t>Woerden</w:t>
            </w:r>
          </w:p>
        </w:tc>
        <w:tc>
          <w:tcPr>
            <w:tcW w:w="0" w:type="auto"/>
            <w:noWrap/>
            <w:hideMark/>
          </w:tcPr>
          <w:p w14:paraId="4D2B4E73"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11.883</w:t>
            </w:r>
          </w:p>
        </w:tc>
        <w:tc>
          <w:tcPr>
            <w:tcW w:w="0" w:type="auto"/>
            <w:noWrap/>
            <w:hideMark/>
          </w:tcPr>
          <w:p w14:paraId="116D6254"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47,1%</w:t>
            </w:r>
          </w:p>
        </w:tc>
        <w:tc>
          <w:tcPr>
            <w:tcW w:w="0" w:type="auto"/>
            <w:noWrap/>
            <w:hideMark/>
          </w:tcPr>
          <w:p w14:paraId="2C61EE1C"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1.521</w:t>
            </w:r>
          </w:p>
        </w:tc>
        <w:tc>
          <w:tcPr>
            <w:tcW w:w="0" w:type="auto"/>
            <w:noWrap/>
            <w:hideMark/>
          </w:tcPr>
          <w:p w14:paraId="43F8677D"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56,4%</w:t>
            </w:r>
          </w:p>
        </w:tc>
        <w:tc>
          <w:tcPr>
            <w:tcW w:w="0" w:type="auto"/>
            <w:noWrap/>
            <w:hideMark/>
          </w:tcPr>
          <w:p w14:paraId="2BA6EC8B"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202</w:t>
            </w:r>
          </w:p>
        </w:tc>
        <w:tc>
          <w:tcPr>
            <w:tcW w:w="0" w:type="auto"/>
            <w:noWrap/>
            <w:hideMark/>
          </w:tcPr>
          <w:p w14:paraId="3DCD6AEF"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54,6%</w:t>
            </w:r>
          </w:p>
        </w:tc>
      </w:tr>
      <w:tr w:rsidR="006B55BB" w:rsidRPr="004149D8" w14:paraId="703754E0" w14:textId="77777777" w:rsidTr="004B37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FBD785" w14:textId="77777777" w:rsidR="006B55BB" w:rsidRPr="004149D8" w:rsidRDefault="006B55BB" w:rsidP="006B55BB">
            <w:pPr>
              <w:rPr>
                <w:sz w:val="18"/>
                <w:szCs w:val="18"/>
                <w:lang w:val="en-GB"/>
              </w:rPr>
            </w:pPr>
            <w:r w:rsidRPr="004149D8">
              <w:rPr>
                <w:sz w:val="18"/>
                <w:szCs w:val="18"/>
                <w:lang w:val="en-GB"/>
              </w:rPr>
              <w:t>Veenendaal</w:t>
            </w:r>
          </w:p>
        </w:tc>
        <w:tc>
          <w:tcPr>
            <w:tcW w:w="0" w:type="auto"/>
            <w:noWrap/>
            <w:hideMark/>
          </w:tcPr>
          <w:p w14:paraId="4D8800E7"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szCs w:val="18"/>
                <w:lang w:val="en-GB"/>
              </w:rPr>
            </w:pPr>
            <w:r w:rsidRPr="004149D8">
              <w:rPr>
                <w:sz w:val="18"/>
                <w:szCs w:val="18"/>
                <w:lang w:val="en-GB"/>
              </w:rPr>
              <w:t>13.355</w:t>
            </w:r>
          </w:p>
        </w:tc>
        <w:tc>
          <w:tcPr>
            <w:tcW w:w="0" w:type="auto"/>
            <w:noWrap/>
            <w:hideMark/>
          </w:tcPr>
          <w:p w14:paraId="759773DC"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szCs w:val="18"/>
                <w:lang w:val="en-GB"/>
              </w:rPr>
            </w:pPr>
            <w:r w:rsidRPr="004149D8">
              <w:rPr>
                <w:sz w:val="18"/>
                <w:szCs w:val="18"/>
                <w:lang w:val="en-GB"/>
              </w:rPr>
              <w:t>52,9%</w:t>
            </w:r>
          </w:p>
        </w:tc>
        <w:tc>
          <w:tcPr>
            <w:tcW w:w="0" w:type="auto"/>
            <w:noWrap/>
            <w:hideMark/>
          </w:tcPr>
          <w:p w14:paraId="4E44A5DF"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szCs w:val="18"/>
                <w:lang w:val="en-GB"/>
              </w:rPr>
            </w:pPr>
            <w:r w:rsidRPr="004149D8">
              <w:rPr>
                <w:sz w:val="18"/>
                <w:szCs w:val="18"/>
                <w:lang w:val="en-GB"/>
              </w:rPr>
              <w:t>1.178</w:t>
            </w:r>
          </w:p>
        </w:tc>
        <w:tc>
          <w:tcPr>
            <w:tcW w:w="0" w:type="auto"/>
            <w:noWrap/>
            <w:hideMark/>
          </w:tcPr>
          <w:p w14:paraId="3A9C4C08"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szCs w:val="18"/>
                <w:lang w:val="en-GB"/>
              </w:rPr>
            </w:pPr>
            <w:r w:rsidRPr="004149D8">
              <w:rPr>
                <w:sz w:val="18"/>
                <w:szCs w:val="18"/>
                <w:lang w:val="en-GB"/>
              </w:rPr>
              <w:t>43,6%</w:t>
            </w:r>
          </w:p>
        </w:tc>
        <w:tc>
          <w:tcPr>
            <w:tcW w:w="0" w:type="auto"/>
            <w:noWrap/>
            <w:hideMark/>
          </w:tcPr>
          <w:p w14:paraId="191D9797"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szCs w:val="18"/>
                <w:lang w:val="en-GB"/>
              </w:rPr>
            </w:pPr>
            <w:r w:rsidRPr="004149D8">
              <w:rPr>
                <w:sz w:val="18"/>
                <w:szCs w:val="18"/>
                <w:lang w:val="en-GB"/>
              </w:rPr>
              <w:t>168</w:t>
            </w:r>
          </w:p>
        </w:tc>
        <w:tc>
          <w:tcPr>
            <w:tcW w:w="0" w:type="auto"/>
            <w:noWrap/>
            <w:hideMark/>
          </w:tcPr>
          <w:p w14:paraId="1F4D36AD"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szCs w:val="18"/>
                <w:lang w:val="en-GB"/>
              </w:rPr>
            </w:pPr>
            <w:r w:rsidRPr="004149D8">
              <w:rPr>
                <w:sz w:val="18"/>
                <w:szCs w:val="18"/>
                <w:lang w:val="en-GB"/>
              </w:rPr>
              <w:t>45,4%</w:t>
            </w:r>
          </w:p>
        </w:tc>
      </w:tr>
      <w:tr w:rsidR="006B55BB" w:rsidRPr="004149D8" w14:paraId="58538810" w14:textId="77777777" w:rsidTr="004B373F">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C000E6" w14:textId="77777777" w:rsidR="006B55BB" w:rsidRPr="004149D8" w:rsidRDefault="006B55BB" w:rsidP="006B55BB">
            <w:pPr>
              <w:rPr>
                <w:sz w:val="18"/>
                <w:szCs w:val="18"/>
                <w:lang w:val="en-GB"/>
              </w:rPr>
            </w:pPr>
            <w:r w:rsidRPr="004149D8">
              <w:rPr>
                <w:sz w:val="18"/>
                <w:szCs w:val="18"/>
                <w:lang w:val="en-GB"/>
              </w:rPr>
              <w:t>Totaal</w:t>
            </w:r>
          </w:p>
        </w:tc>
        <w:tc>
          <w:tcPr>
            <w:tcW w:w="0" w:type="auto"/>
            <w:noWrap/>
            <w:hideMark/>
          </w:tcPr>
          <w:p w14:paraId="01EF4436"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25.238</w:t>
            </w:r>
          </w:p>
        </w:tc>
        <w:tc>
          <w:tcPr>
            <w:tcW w:w="0" w:type="auto"/>
            <w:noWrap/>
            <w:hideMark/>
          </w:tcPr>
          <w:p w14:paraId="53187820"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100%</w:t>
            </w:r>
          </w:p>
        </w:tc>
        <w:tc>
          <w:tcPr>
            <w:tcW w:w="0" w:type="auto"/>
            <w:noWrap/>
            <w:hideMark/>
          </w:tcPr>
          <w:p w14:paraId="6CC5396B"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2.699</w:t>
            </w:r>
          </w:p>
        </w:tc>
        <w:tc>
          <w:tcPr>
            <w:tcW w:w="0" w:type="auto"/>
            <w:noWrap/>
            <w:hideMark/>
          </w:tcPr>
          <w:p w14:paraId="6538ADE3"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100%</w:t>
            </w:r>
          </w:p>
        </w:tc>
        <w:tc>
          <w:tcPr>
            <w:tcW w:w="0" w:type="auto"/>
            <w:noWrap/>
            <w:hideMark/>
          </w:tcPr>
          <w:p w14:paraId="4A73CC95"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sidRPr="004149D8">
              <w:rPr>
                <w:sz w:val="18"/>
                <w:szCs w:val="18"/>
                <w:lang w:val="en-GB"/>
              </w:rPr>
              <w:t>370</w:t>
            </w:r>
          </w:p>
        </w:tc>
        <w:tc>
          <w:tcPr>
            <w:tcW w:w="0" w:type="auto"/>
            <w:noWrap/>
            <w:hideMark/>
          </w:tcPr>
          <w:p w14:paraId="577C5847" w14:textId="1388449A" w:rsidR="006B55BB" w:rsidRPr="004149D8" w:rsidRDefault="003514E8" w:rsidP="006B55BB">
            <w:pPr>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100</w:t>
            </w:r>
            <w:r w:rsidR="006B55BB" w:rsidRPr="004149D8">
              <w:rPr>
                <w:sz w:val="18"/>
                <w:szCs w:val="18"/>
                <w:lang w:val="en-GB"/>
              </w:rPr>
              <w:t>%</w:t>
            </w:r>
          </w:p>
        </w:tc>
      </w:tr>
    </w:tbl>
    <w:p w14:paraId="1797B9B6" w14:textId="77777777" w:rsidR="006B55BB" w:rsidRPr="004149D8" w:rsidRDefault="006B55BB" w:rsidP="006B55BB">
      <w:pPr>
        <w:rPr>
          <w:color w:val="4F81BD" w:themeColor="accent1"/>
          <w:sz w:val="20"/>
          <w:szCs w:val="20"/>
        </w:rPr>
      </w:pPr>
      <w:r w:rsidRPr="004149D8">
        <w:rPr>
          <w:b/>
          <w:color w:val="4F81BD" w:themeColor="accent1"/>
          <w:sz w:val="20"/>
          <w:szCs w:val="20"/>
        </w:rPr>
        <w:t>Tabel 3.2:</w:t>
      </w:r>
      <w:r w:rsidRPr="004149D8">
        <w:rPr>
          <w:color w:val="4F81BD" w:themeColor="accent1"/>
          <w:sz w:val="20"/>
          <w:szCs w:val="20"/>
        </w:rPr>
        <w:t xml:space="preserve"> Aantallen bedrijven die uit het PAR geselecteerd zijn om contact mee op te nemen. Starters zijn bedrijven die in de periode van 1998 tot en met 2003 zijn opgericht. Groei gaat uit van een stijging in het aantal werknemers tussen 2003 en 2013.</w:t>
      </w:r>
    </w:p>
    <w:p w14:paraId="32BC442C" w14:textId="77777777" w:rsidR="006B55BB" w:rsidRDefault="006B55BB" w:rsidP="006B55BB"/>
    <w:p w14:paraId="7B9029A4" w14:textId="7FE48387" w:rsidR="006B55BB" w:rsidRDefault="006B55BB" w:rsidP="006B55BB">
      <w:r>
        <w:t>Van de bedrijven die na deze selectieprocedure zijn overgebleven, zijn de contactgegevens opgezocht, zodat er telef</w:t>
      </w:r>
      <w:r w:rsidR="00E40C4C">
        <w:t xml:space="preserve">onisch geënquêteerd kan worden. </w:t>
      </w:r>
      <w:r>
        <w:t>Van 124 bedrijven zijn echter geen contactgegevens gevonden, zodat zij buiten het onderzoek vallen.</w:t>
      </w:r>
    </w:p>
    <w:p w14:paraId="649A7ABA" w14:textId="77777777" w:rsidR="006B55BB" w:rsidRDefault="006B55BB" w:rsidP="006B55BB">
      <w:r>
        <w:t>Na bedrijven gesproken te hebben bleek bij twaalf bedrijven de datum waarop de vestiging volgens het PAR geopend was niet hetzelfde jaar te zijn waarin het bedrijf startte.</w:t>
      </w:r>
    </w:p>
    <w:p w14:paraId="15631F0B" w14:textId="77777777" w:rsidR="006B55BB" w:rsidRDefault="006B55BB" w:rsidP="006B55BB">
      <w:r>
        <w:t>In de telefonische gesprekken is bij bedrijven ook gevraagd of zij zelfstandig zijn, of onderdeel van een ander bedrijf. Acht bedrijven die niet zelfstandig zijn bij het onderzoek uitgesloten. Tenslotte zijn er zeven bedrijven uitgesloten waar de oprichter niet meer aanwezig was bij het bedrijf. In tabel 3.3 is te vinden hoeveel bedrijven vanuit de selectie uit het par niet in het onderzoek zijn opgenomen, en met welke reden.</w:t>
      </w:r>
    </w:p>
    <w:p w14:paraId="16AAAAF0" w14:textId="3075C3C3" w:rsidR="006B55BB" w:rsidRDefault="00751ADC" w:rsidP="006B55BB">
      <w:r>
        <w:br w:type="column"/>
      </w:r>
    </w:p>
    <w:tbl>
      <w:tblPr>
        <w:tblStyle w:val="ColorfulGrid-Accent1"/>
        <w:tblW w:w="0" w:type="auto"/>
        <w:tblLook w:val="04A0" w:firstRow="1" w:lastRow="0" w:firstColumn="1" w:lastColumn="0" w:noHBand="0" w:noVBand="1"/>
      </w:tblPr>
      <w:tblGrid>
        <w:gridCol w:w="2796"/>
        <w:gridCol w:w="619"/>
        <w:gridCol w:w="839"/>
      </w:tblGrid>
      <w:tr w:rsidR="006B55BB" w:rsidRPr="00017C6D" w14:paraId="32044919" w14:textId="77777777" w:rsidTr="004B373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hemeFill="accent1" w:themeFillShade="BF"/>
            <w:noWrap/>
            <w:hideMark/>
          </w:tcPr>
          <w:p w14:paraId="2C6C66AC" w14:textId="77777777" w:rsidR="006B55BB" w:rsidRPr="00017C6D" w:rsidRDefault="006B55BB" w:rsidP="006B55BB">
            <w:pPr>
              <w:rPr>
                <w:sz w:val="18"/>
                <w:szCs w:val="18"/>
              </w:rPr>
            </w:pPr>
          </w:p>
        </w:tc>
        <w:tc>
          <w:tcPr>
            <w:tcW w:w="0" w:type="auto"/>
            <w:gridSpan w:val="2"/>
            <w:shd w:val="clear" w:color="auto" w:fill="365F91" w:themeFill="accent1" w:themeFillShade="BF"/>
            <w:noWrap/>
            <w:hideMark/>
          </w:tcPr>
          <w:p w14:paraId="55AB91C6" w14:textId="77777777" w:rsidR="006B55BB" w:rsidRPr="00017C6D"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17C6D">
              <w:rPr>
                <w:color w:val="FFFFFF" w:themeColor="background1"/>
                <w:sz w:val="18"/>
                <w:szCs w:val="18"/>
              </w:rPr>
              <w:t>Aantal bedrijven</w:t>
            </w:r>
          </w:p>
        </w:tc>
      </w:tr>
      <w:tr w:rsidR="006B55BB" w:rsidRPr="00017C6D" w14:paraId="1089B87E" w14:textId="77777777" w:rsidTr="004B37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751AB2" w14:textId="77777777" w:rsidR="006B55BB" w:rsidRPr="00017C6D" w:rsidRDefault="006B55BB" w:rsidP="006B55BB">
            <w:pPr>
              <w:rPr>
                <w:sz w:val="18"/>
                <w:szCs w:val="18"/>
              </w:rPr>
            </w:pPr>
          </w:p>
        </w:tc>
        <w:tc>
          <w:tcPr>
            <w:tcW w:w="0" w:type="auto"/>
            <w:shd w:val="clear" w:color="auto" w:fill="365F91" w:themeFill="accent1" w:themeFillShade="BF"/>
            <w:noWrap/>
            <w:hideMark/>
          </w:tcPr>
          <w:p w14:paraId="4C8E1DF7"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017C6D">
              <w:rPr>
                <w:color w:val="FFFFFF" w:themeColor="background1"/>
                <w:sz w:val="18"/>
                <w:szCs w:val="18"/>
              </w:rPr>
              <w:t>abs</w:t>
            </w:r>
          </w:p>
        </w:tc>
        <w:tc>
          <w:tcPr>
            <w:tcW w:w="0" w:type="auto"/>
            <w:shd w:val="clear" w:color="auto" w:fill="365F91" w:themeFill="accent1" w:themeFillShade="BF"/>
            <w:noWrap/>
            <w:hideMark/>
          </w:tcPr>
          <w:p w14:paraId="03207DE0"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017C6D">
              <w:rPr>
                <w:color w:val="FFFFFF" w:themeColor="background1"/>
                <w:sz w:val="18"/>
                <w:szCs w:val="18"/>
              </w:rPr>
              <w:t>%</w:t>
            </w:r>
          </w:p>
        </w:tc>
      </w:tr>
      <w:tr w:rsidR="006B55BB" w:rsidRPr="00017C6D" w14:paraId="09966682" w14:textId="77777777" w:rsidTr="004B373F">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778382" w14:textId="3C425D56" w:rsidR="006B55BB" w:rsidRPr="00017C6D" w:rsidRDefault="006B55BB" w:rsidP="006B55BB">
            <w:pPr>
              <w:rPr>
                <w:sz w:val="18"/>
                <w:szCs w:val="18"/>
              </w:rPr>
            </w:pPr>
            <w:r w:rsidRPr="00017C6D">
              <w:rPr>
                <w:sz w:val="18"/>
                <w:szCs w:val="18"/>
              </w:rPr>
              <w:t>Geen contactgegev</w:t>
            </w:r>
            <w:r w:rsidR="00017C6D" w:rsidRPr="00017C6D">
              <w:rPr>
                <w:sz w:val="18"/>
                <w:szCs w:val="18"/>
              </w:rPr>
              <w:t>e</w:t>
            </w:r>
            <w:r w:rsidRPr="00017C6D">
              <w:rPr>
                <w:sz w:val="18"/>
                <w:szCs w:val="18"/>
              </w:rPr>
              <w:t>ns beschikbaar</w:t>
            </w:r>
          </w:p>
        </w:tc>
        <w:tc>
          <w:tcPr>
            <w:tcW w:w="0" w:type="auto"/>
            <w:noWrap/>
            <w:hideMark/>
          </w:tcPr>
          <w:p w14:paraId="19FCD285" w14:textId="77777777" w:rsidR="006B55BB" w:rsidRPr="00017C6D" w:rsidRDefault="006B55BB" w:rsidP="006B55BB">
            <w:pPr>
              <w:cnfStyle w:val="000000000000" w:firstRow="0" w:lastRow="0" w:firstColumn="0" w:lastColumn="0" w:oddVBand="0" w:evenVBand="0" w:oddHBand="0" w:evenHBand="0" w:firstRowFirstColumn="0" w:firstRowLastColumn="0" w:lastRowFirstColumn="0" w:lastRowLastColumn="0"/>
              <w:rPr>
                <w:sz w:val="18"/>
                <w:szCs w:val="18"/>
              </w:rPr>
            </w:pPr>
            <w:r w:rsidRPr="00017C6D">
              <w:rPr>
                <w:sz w:val="18"/>
                <w:szCs w:val="18"/>
              </w:rPr>
              <w:t>124</w:t>
            </w:r>
          </w:p>
        </w:tc>
        <w:tc>
          <w:tcPr>
            <w:tcW w:w="0" w:type="auto"/>
            <w:noWrap/>
            <w:hideMark/>
          </w:tcPr>
          <w:p w14:paraId="1324E5F3" w14:textId="77777777" w:rsidR="006B55BB" w:rsidRPr="00017C6D" w:rsidRDefault="006B55BB" w:rsidP="006B55BB">
            <w:pPr>
              <w:cnfStyle w:val="000000000000" w:firstRow="0" w:lastRow="0" w:firstColumn="0" w:lastColumn="0" w:oddVBand="0" w:evenVBand="0" w:oddHBand="0" w:evenHBand="0" w:firstRowFirstColumn="0" w:firstRowLastColumn="0" w:lastRowFirstColumn="0" w:lastRowLastColumn="0"/>
              <w:rPr>
                <w:sz w:val="18"/>
                <w:szCs w:val="18"/>
              </w:rPr>
            </w:pPr>
            <w:r w:rsidRPr="00017C6D">
              <w:rPr>
                <w:sz w:val="18"/>
                <w:szCs w:val="18"/>
              </w:rPr>
              <w:t>33,5%</w:t>
            </w:r>
          </w:p>
        </w:tc>
      </w:tr>
      <w:tr w:rsidR="006B55BB" w:rsidRPr="00017C6D" w14:paraId="7384F13C" w14:textId="77777777" w:rsidTr="004B37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E74AC9" w14:textId="77777777" w:rsidR="006B55BB" w:rsidRPr="00017C6D" w:rsidRDefault="006B55BB" w:rsidP="006B55BB">
            <w:pPr>
              <w:rPr>
                <w:sz w:val="18"/>
                <w:szCs w:val="18"/>
              </w:rPr>
            </w:pPr>
            <w:r w:rsidRPr="00017C6D">
              <w:rPr>
                <w:sz w:val="18"/>
                <w:szCs w:val="18"/>
              </w:rPr>
              <w:t>Verkeerd nummer</w:t>
            </w:r>
          </w:p>
        </w:tc>
        <w:tc>
          <w:tcPr>
            <w:tcW w:w="0" w:type="auto"/>
            <w:noWrap/>
            <w:hideMark/>
          </w:tcPr>
          <w:p w14:paraId="692CFEBF"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sz w:val="18"/>
                <w:szCs w:val="18"/>
              </w:rPr>
            </w:pPr>
            <w:r w:rsidRPr="00017C6D">
              <w:rPr>
                <w:sz w:val="18"/>
                <w:szCs w:val="18"/>
              </w:rPr>
              <w:t>13</w:t>
            </w:r>
          </w:p>
        </w:tc>
        <w:tc>
          <w:tcPr>
            <w:tcW w:w="0" w:type="auto"/>
            <w:noWrap/>
            <w:hideMark/>
          </w:tcPr>
          <w:p w14:paraId="7E35DDA5"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sz w:val="18"/>
                <w:szCs w:val="18"/>
              </w:rPr>
            </w:pPr>
            <w:r w:rsidRPr="00017C6D">
              <w:rPr>
                <w:sz w:val="18"/>
                <w:szCs w:val="18"/>
              </w:rPr>
              <w:t>3,5%</w:t>
            </w:r>
          </w:p>
        </w:tc>
      </w:tr>
      <w:tr w:rsidR="006B55BB" w:rsidRPr="00017C6D" w14:paraId="216D1B9C" w14:textId="77777777" w:rsidTr="004B373F">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277306" w14:textId="77777777" w:rsidR="006B55BB" w:rsidRPr="00017C6D" w:rsidRDefault="006B55BB" w:rsidP="006B55BB">
            <w:pPr>
              <w:rPr>
                <w:sz w:val="18"/>
                <w:szCs w:val="18"/>
              </w:rPr>
            </w:pPr>
            <w:r w:rsidRPr="00017C6D">
              <w:rPr>
                <w:sz w:val="18"/>
                <w:szCs w:val="18"/>
              </w:rPr>
              <w:t>Addres klopt niet</w:t>
            </w:r>
          </w:p>
        </w:tc>
        <w:tc>
          <w:tcPr>
            <w:tcW w:w="0" w:type="auto"/>
            <w:noWrap/>
            <w:hideMark/>
          </w:tcPr>
          <w:p w14:paraId="5A747A21" w14:textId="77777777" w:rsidR="006B55BB" w:rsidRPr="00017C6D" w:rsidRDefault="006B55BB" w:rsidP="006B55BB">
            <w:pPr>
              <w:cnfStyle w:val="000000000000" w:firstRow="0" w:lastRow="0" w:firstColumn="0" w:lastColumn="0" w:oddVBand="0" w:evenVBand="0" w:oddHBand="0" w:evenHBand="0" w:firstRowFirstColumn="0" w:firstRowLastColumn="0" w:lastRowFirstColumn="0" w:lastRowLastColumn="0"/>
              <w:rPr>
                <w:sz w:val="18"/>
                <w:szCs w:val="18"/>
              </w:rPr>
            </w:pPr>
            <w:r w:rsidRPr="00017C6D">
              <w:rPr>
                <w:sz w:val="18"/>
                <w:szCs w:val="18"/>
              </w:rPr>
              <w:t>14</w:t>
            </w:r>
          </w:p>
        </w:tc>
        <w:tc>
          <w:tcPr>
            <w:tcW w:w="0" w:type="auto"/>
            <w:noWrap/>
            <w:hideMark/>
          </w:tcPr>
          <w:p w14:paraId="417E32BC" w14:textId="77777777" w:rsidR="006B55BB" w:rsidRPr="00017C6D" w:rsidRDefault="006B55BB" w:rsidP="006B55BB">
            <w:pPr>
              <w:cnfStyle w:val="000000000000" w:firstRow="0" w:lastRow="0" w:firstColumn="0" w:lastColumn="0" w:oddVBand="0" w:evenVBand="0" w:oddHBand="0" w:evenHBand="0" w:firstRowFirstColumn="0" w:firstRowLastColumn="0" w:lastRowFirstColumn="0" w:lastRowLastColumn="0"/>
              <w:rPr>
                <w:sz w:val="18"/>
                <w:szCs w:val="18"/>
              </w:rPr>
            </w:pPr>
            <w:r w:rsidRPr="00017C6D">
              <w:rPr>
                <w:sz w:val="18"/>
                <w:szCs w:val="18"/>
              </w:rPr>
              <w:t>3,8%</w:t>
            </w:r>
          </w:p>
        </w:tc>
      </w:tr>
      <w:tr w:rsidR="006B55BB" w:rsidRPr="00017C6D" w14:paraId="1E930D0A" w14:textId="77777777" w:rsidTr="004B37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C8E3D2" w14:textId="77777777" w:rsidR="006B55BB" w:rsidRPr="00017C6D" w:rsidRDefault="006B55BB" w:rsidP="006B55BB">
            <w:pPr>
              <w:rPr>
                <w:sz w:val="18"/>
                <w:szCs w:val="18"/>
              </w:rPr>
            </w:pPr>
            <w:r w:rsidRPr="00017C6D">
              <w:rPr>
                <w:sz w:val="18"/>
                <w:szCs w:val="18"/>
              </w:rPr>
              <w:t>Start datum klopt niet</w:t>
            </w:r>
          </w:p>
        </w:tc>
        <w:tc>
          <w:tcPr>
            <w:tcW w:w="0" w:type="auto"/>
            <w:noWrap/>
            <w:hideMark/>
          </w:tcPr>
          <w:p w14:paraId="42D8D950"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sz w:val="18"/>
                <w:szCs w:val="18"/>
              </w:rPr>
            </w:pPr>
            <w:r w:rsidRPr="00017C6D">
              <w:rPr>
                <w:sz w:val="18"/>
                <w:szCs w:val="18"/>
              </w:rPr>
              <w:t>12</w:t>
            </w:r>
          </w:p>
        </w:tc>
        <w:tc>
          <w:tcPr>
            <w:tcW w:w="0" w:type="auto"/>
            <w:noWrap/>
            <w:hideMark/>
          </w:tcPr>
          <w:p w14:paraId="1415ACCE"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sz w:val="18"/>
                <w:szCs w:val="18"/>
              </w:rPr>
            </w:pPr>
            <w:r w:rsidRPr="00017C6D">
              <w:rPr>
                <w:sz w:val="18"/>
                <w:szCs w:val="18"/>
              </w:rPr>
              <w:t>3,2%</w:t>
            </w:r>
          </w:p>
        </w:tc>
      </w:tr>
      <w:tr w:rsidR="006B55BB" w:rsidRPr="00017C6D" w14:paraId="4276E0BD" w14:textId="77777777" w:rsidTr="004B373F">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6806F0" w14:textId="77777777" w:rsidR="006B55BB" w:rsidRPr="00017C6D" w:rsidRDefault="006B55BB" w:rsidP="006B55BB">
            <w:pPr>
              <w:rPr>
                <w:sz w:val="18"/>
                <w:szCs w:val="18"/>
              </w:rPr>
            </w:pPr>
            <w:r w:rsidRPr="00017C6D">
              <w:rPr>
                <w:sz w:val="18"/>
                <w:szCs w:val="18"/>
              </w:rPr>
              <w:t>Neemt telefoon niet op</w:t>
            </w:r>
          </w:p>
        </w:tc>
        <w:tc>
          <w:tcPr>
            <w:tcW w:w="0" w:type="auto"/>
            <w:noWrap/>
            <w:hideMark/>
          </w:tcPr>
          <w:p w14:paraId="53DED18B" w14:textId="77777777" w:rsidR="006B55BB" w:rsidRPr="00017C6D" w:rsidRDefault="006B55BB" w:rsidP="006B55BB">
            <w:pPr>
              <w:cnfStyle w:val="000000000000" w:firstRow="0" w:lastRow="0" w:firstColumn="0" w:lastColumn="0" w:oddVBand="0" w:evenVBand="0" w:oddHBand="0" w:evenHBand="0" w:firstRowFirstColumn="0" w:firstRowLastColumn="0" w:lastRowFirstColumn="0" w:lastRowLastColumn="0"/>
              <w:rPr>
                <w:sz w:val="18"/>
                <w:szCs w:val="18"/>
              </w:rPr>
            </w:pPr>
            <w:r w:rsidRPr="00017C6D">
              <w:rPr>
                <w:sz w:val="18"/>
                <w:szCs w:val="18"/>
              </w:rPr>
              <w:t>30</w:t>
            </w:r>
          </w:p>
        </w:tc>
        <w:tc>
          <w:tcPr>
            <w:tcW w:w="0" w:type="auto"/>
            <w:noWrap/>
            <w:hideMark/>
          </w:tcPr>
          <w:p w14:paraId="2619AFB8" w14:textId="77777777" w:rsidR="006B55BB" w:rsidRPr="00017C6D" w:rsidRDefault="006B55BB" w:rsidP="006B55BB">
            <w:pPr>
              <w:cnfStyle w:val="000000000000" w:firstRow="0" w:lastRow="0" w:firstColumn="0" w:lastColumn="0" w:oddVBand="0" w:evenVBand="0" w:oddHBand="0" w:evenHBand="0" w:firstRowFirstColumn="0" w:firstRowLastColumn="0" w:lastRowFirstColumn="0" w:lastRowLastColumn="0"/>
              <w:rPr>
                <w:sz w:val="18"/>
                <w:szCs w:val="18"/>
              </w:rPr>
            </w:pPr>
            <w:r w:rsidRPr="00017C6D">
              <w:rPr>
                <w:sz w:val="18"/>
                <w:szCs w:val="18"/>
              </w:rPr>
              <w:t>8,1%</w:t>
            </w:r>
          </w:p>
        </w:tc>
      </w:tr>
      <w:tr w:rsidR="006B55BB" w:rsidRPr="00017C6D" w14:paraId="483F022C" w14:textId="77777777" w:rsidTr="004B37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9883A8" w14:textId="77777777" w:rsidR="006B55BB" w:rsidRPr="00017C6D" w:rsidRDefault="006B55BB" w:rsidP="006B55BB">
            <w:pPr>
              <w:rPr>
                <w:sz w:val="18"/>
                <w:szCs w:val="18"/>
              </w:rPr>
            </w:pPr>
            <w:r w:rsidRPr="00017C6D">
              <w:rPr>
                <w:sz w:val="18"/>
                <w:szCs w:val="18"/>
              </w:rPr>
              <w:t>Oprichters niet langer aanwezig</w:t>
            </w:r>
          </w:p>
        </w:tc>
        <w:tc>
          <w:tcPr>
            <w:tcW w:w="0" w:type="auto"/>
            <w:noWrap/>
            <w:hideMark/>
          </w:tcPr>
          <w:p w14:paraId="26FFAB6F"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sz w:val="18"/>
                <w:szCs w:val="18"/>
              </w:rPr>
            </w:pPr>
            <w:r w:rsidRPr="00017C6D">
              <w:rPr>
                <w:sz w:val="18"/>
                <w:szCs w:val="18"/>
              </w:rPr>
              <w:t>7</w:t>
            </w:r>
          </w:p>
        </w:tc>
        <w:tc>
          <w:tcPr>
            <w:tcW w:w="0" w:type="auto"/>
            <w:noWrap/>
            <w:hideMark/>
          </w:tcPr>
          <w:p w14:paraId="39608E47"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sz w:val="18"/>
                <w:szCs w:val="18"/>
              </w:rPr>
            </w:pPr>
            <w:r w:rsidRPr="00017C6D">
              <w:rPr>
                <w:sz w:val="18"/>
                <w:szCs w:val="18"/>
              </w:rPr>
              <w:t>1,9%</w:t>
            </w:r>
          </w:p>
        </w:tc>
      </w:tr>
      <w:tr w:rsidR="006B55BB" w:rsidRPr="00017C6D" w14:paraId="69957EFA" w14:textId="77777777" w:rsidTr="004B373F">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433DA8" w14:textId="77777777" w:rsidR="006B55BB" w:rsidRPr="00017C6D" w:rsidRDefault="006B55BB" w:rsidP="006B55BB">
            <w:pPr>
              <w:rPr>
                <w:sz w:val="18"/>
                <w:szCs w:val="18"/>
              </w:rPr>
            </w:pPr>
            <w:r w:rsidRPr="00017C6D">
              <w:rPr>
                <w:sz w:val="18"/>
                <w:szCs w:val="18"/>
              </w:rPr>
              <w:t>Bedrijf niet zelfstandig</w:t>
            </w:r>
          </w:p>
        </w:tc>
        <w:tc>
          <w:tcPr>
            <w:tcW w:w="0" w:type="auto"/>
            <w:noWrap/>
            <w:hideMark/>
          </w:tcPr>
          <w:p w14:paraId="12A1308C" w14:textId="77777777" w:rsidR="006B55BB" w:rsidRPr="00017C6D" w:rsidRDefault="006B55BB" w:rsidP="006B55BB">
            <w:pPr>
              <w:cnfStyle w:val="000000000000" w:firstRow="0" w:lastRow="0" w:firstColumn="0" w:lastColumn="0" w:oddVBand="0" w:evenVBand="0" w:oddHBand="0" w:evenHBand="0" w:firstRowFirstColumn="0" w:firstRowLastColumn="0" w:lastRowFirstColumn="0" w:lastRowLastColumn="0"/>
              <w:rPr>
                <w:sz w:val="18"/>
                <w:szCs w:val="18"/>
              </w:rPr>
            </w:pPr>
            <w:r w:rsidRPr="00017C6D">
              <w:rPr>
                <w:sz w:val="18"/>
                <w:szCs w:val="18"/>
              </w:rPr>
              <w:t>8</w:t>
            </w:r>
          </w:p>
        </w:tc>
        <w:tc>
          <w:tcPr>
            <w:tcW w:w="0" w:type="auto"/>
            <w:noWrap/>
            <w:hideMark/>
          </w:tcPr>
          <w:p w14:paraId="4CD02E85" w14:textId="77777777" w:rsidR="006B55BB" w:rsidRPr="00017C6D" w:rsidRDefault="006B55BB" w:rsidP="006B55BB">
            <w:pPr>
              <w:cnfStyle w:val="000000000000" w:firstRow="0" w:lastRow="0" w:firstColumn="0" w:lastColumn="0" w:oddVBand="0" w:evenVBand="0" w:oddHBand="0" w:evenHBand="0" w:firstRowFirstColumn="0" w:firstRowLastColumn="0" w:lastRowFirstColumn="0" w:lastRowLastColumn="0"/>
              <w:rPr>
                <w:sz w:val="18"/>
                <w:szCs w:val="18"/>
              </w:rPr>
            </w:pPr>
            <w:r w:rsidRPr="00017C6D">
              <w:rPr>
                <w:sz w:val="18"/>
                <w:szCs w:val="18"/>
              </w:rPr>
              <w:t>2,2%</w:t>
            </w:r>
          </w:p>
        </w:tc>
      </w:tr>
      <w:tr w:rsidR="006B55BB" w:rsidRPr="00017C6D" w14:paraId="5B0BA669" w14:textId="77777777" w:rsidTr="004B373F">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3534C8" w14:textId="77777777" w:rsidR="006B55BB" w:rsidRPr="00017C6D" w:rsidRDefault="006B55BB" w:rsidP="006B55BB">
            <w:pPr>
              <w:rPr>
                <w:sz w:val="18"/>
                <w:szCs w:val="18"/>
              </w:rPr>
            </w:pPr>
            <w:r w:rsidRPr="00017C6D">
              <w:rPr>
                <w:sz w:val="18"/>
                <w:szCs w:val="18"/>
              </w:rPr>
              <w:t>Total</w:t>
            </w:r>
          </w:p>
        </w:tc>
        <w:tc>
          <w:tcPr>
            <w:tcW w:w="0" w:type="auto"/>
            <w:noWrap/>
            <w:hideMark/>
          </w:tcPr>
          <w:p w14:paraId="3F36AF14"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sz w:val="18"/>
                <w:szCs w:val="18"/>
              </w:rPr>
            </w:pPr>
            <w:r w:rsidRPr="00017C6D">
              <w:rPr>
                <w:sz w:val="18"/>
                <w:szCs w:val="18"/>
              </w:rPr>
              <w:t>208</w:t>
            </w:r>
          </w:p>
        </w:tc>
        <w:tc>
          <w:tcPr>
            <w:tcW w:w="0" w:type="auto"/>
            <w:noWrap/>
            <w:hideMark/>
          </w:tcPr>
          <w:p w14:paraId="2FE7649D" w14:textId="77777777" w:rsidR="006B55BB" w:rsidRPr="00017C6D" w:rsidRDefault="006B55BB" w:rsidP="006B55BB">
            <w:pPr>
              <w:cnfStyle w:val="000000100000" w:firstRow="0" w:lastRow="0" w:firstColumn="0" w:lastColumn="0" w:oddVBand="0" w:evenVBand="0" w:oddHBand="1" w:evenHBand="0" w:firstRowFirstColumn="0" w:firstRowLastColumn="0" w:lastRowFirstColumn="0" w:lastRowLastColumn="0"/>
              <w:rPr>
                <w:sz w:val="18"/>
                <w:szCs w:val="18"/>
              </w:rPr>
            </w:pPr>
            <w:r w:rsidRPr="00017C6D">
              <w:rPr>
                <w:sz w:val="18"/>
                <w:szCs w:val="18"/>
              </w:rPr>
              <w:t>56,2%</w:t>
            </w:r>
          </w:p>
        </w:tc>
      </w:tr>
    </w:tbl>
    <w:p w14:paraId="68FC0001" w14:textId="77777777" w:rsidR="006B55BB" w:rsidRPr="004149D8" w:rsidRDefault="006B55BB" w:rsidP="006B55BB">
      <w:pPr>
        <w:rPr>
          <w:color w:val="4F81BD" w:themeColor="accent1"/>
          <w:sz w:val="20"/>
        </w:rPr>
      </w:pPr>
      <w:r w:rsidRPr="004149D8">
        <w:rPr>
          <w:b/>
          <w:color w:val="4F81BD" w:themeColor="accent1"/>
          <w:sz w:val="20"/>
        </w:rPr>
        <w:t>Tabel 3.3:</w:t>
      </w:r>
      <w:r w:rsidRPr="004149D8">
        <w:rPr>
          <w:color w:val="4F81BD" w:themeColor="accent1"/>
          <w:sz w:val="20"/>
        </w:rPr>
        <w:t xml:space="preserve"> Bedrijven die door factoren die niet binnen het PAR te controleren zijn buiten de populatie vallen.</w:t>
      </w:r>
    </w:p>
    <w:p w14:paraId="26991BDA" w14:textId="77777777" w:rsidR="006B55BB" w:rsidRDefault="006B55BB" w:rsidP="006B55BB"/>
    <w:p w14:paraId="5ACE4CD7" w14:textId="7316800A" w:rsidR="006B55BB" w:rsidRDefault="00624134" w:rsidP="006B55BB">
      <w:r>
        <w:t>De 370</w:t>
      </w:r>
      <w:r w:rsidR="006B55BB">
        <w:t xml:space="preserve"> bedrijven die hierna over zijn gebleven vormen de populatie van dit onderzoek. Het gaat om 202 bedrijven in Woerden en 168 bedrijven in Veenendaal. Dit betekent dat er 1,7% van de bedrijven in Woerden tot de populatie behoren, en 1,3% in Veenendaal.</w:t>
      </w:r>
    </w:p>
    <w:p w14:paraId="3766BB5C" w14:textId="77777777" w:rsidR="006B55BB" w:rsidRDefault="006B55BB" w:rsidP="006B55BB">
      <w:r>
        <w:t>De daadwerkelijke populatie is waarschijnlijk kleiner, omdat non-respons volledig tot de populatie gerekend wordt, terwijl deze bedrijven niet gesproken zijn. Hierdoor was het niet mogelijk om te weten of de startdatum uit het PAR klopt en of de bedrijven daadwerkelijk zelfstandig waren. Vanuit de populatie van het onderzoek weigerden vervolgens 123 bedrijfsoprichters mee te werken aan het onderzoek, waarna 39 respondenten wel aan het volledige interview hebben meegedaan.</w:t>
      </w:r>
    </w:p>
    <w:p w14:paraId="7B2E776F" w14:textId="77777777" w:rsidR="006B55BB" w:rsidRPr="009E3B4D" w:rsidRDefault="006B55BB" w:rsidP="006B55BB">
      <w:pPr>
        <w:rPr>
          <w:i/>
        </w:rPr>
      </w:pPr>
      <w:r>
        <w:t>Het is niet gelukt om contact te leggen met 30 bedrijven uit de populatie (9,5%). Ook waren er 123 bedrijven waarmee wel contact is geweest, maar die niet meewerkten aan het onderzoek (38,9%). 39 bedrijfsoprichters die tot de populatie behoren hebben wel alle vragen in de enquête beantwoord (12,3%) en behoren daarmee tot de respons. 23 (59%) hiervan zijn afkomstig uit regio Woerden en 16 (41%) uit regio Veenendaal.</w:t>
      </w:r>
    </w:p>
    <w:p w14:paraId="27E5C5A0" w14:textId="6B261DE2" w:rsidR="006B55BB" w:rsidRPr="00CB7472" w:rsidRDefault="00CB7472" w:rsidP="006B55BB">
      <w:r>
        <w:t xml:space="preserve">Om de testen of de steekproef niet te sterk afwijkt van de onderzoekspopulatie zijn er verscheidene goodness of fit toetsen gebruikt. </w:t>
      </w:r>
      <w:r w:rsidRPr="00CB7472">
        <w:t>In Bijlage 3.1-3.5</w:t>
      </w:r>
      <w:r>
        <w:t xml:space="preserve"> zijn de g</w:t>
      </w:r>
      <w:r w:rsidR="006B55BB" w:rsidRPr="00CB7472">
        <w:t>oodness of fit toetsen te vinden die de respons vergelijken met de onderzoekspopulatie. Deze toe</w:t>
      </w:r>
      <w:r w:rsidRPr="00CB7472">
        <w:t>tsen zijn uitgevoerd voor werkgelegenheid, de verdeling over sectoren, locatie, en leeftijd</w:t>
      </w:r>
      <w:r w:rsidR="006B55BB" w:rsidRPr="00CB7472">
        <w:t>. Geen van de toetsen gaf aan dat er een significant verschil is tussen de popula</w:t>
      </w:r>
      <w:r w:rsidR="00D4780A" w:rsidRPr="00CB7472">
        <w:t>tie en de afgenomen steekproef.</w:t>
      </w:r>
    </w:p>
    <w:p w14:paraId="34DB4652" w14:textId="1F45F41D" w:rsidR="006B55BB" w:rsidRPr="00B40B7C" w:rsidRDefault="00D25F0E" w:rsidP="00D4780A">
      <w:pPr>
        <w:pStyle w:val="Heading1"/>
      </w:pPr>
      <w:bookmarkStart w:id="37" w:name="_Toc316143574"/>
      <w:bookmarkStart w:id="38" w:name="_Toc337655425"/>
      <w:r>
        <w:t>3.7</w:t>
      </w:r>
      <w:r w:rsidR="006B55BB">
        <w:t xml:space="preserve"> </w:t>
      </w:r>
      <w:r w:rsidR="006B55BB" w:rsidRPr="00B40B7C">
        <w:t>Interviews</w:t>
      </w:r>
      <w:bookmarkEnd w:id="37"/>
      <w:bookmarkEnd w:id="38"/>
    </w:p>
    <w:p w14:paraId="5B257E4C" w14:textId="77777777" w:rsidR="006B55BB" w:rsidRDefault="006B55BB" w:rsidP="006B55BB">
      <w:r w:rsidRPr="00B40B7C">
        <w:t>Naast kwalitatieve data, is er ook kwantitatieve informatie verzameld, in de vorm van drie interviews.</w:t>
      </w:r>
      <w:r>
        <w:t xml:space="preserve"> Deze interviews geven een meer gedetailleerd beeld van de rollen die ervaring en locatie spelen bij individuele oprichters van spin-offs. Door de meer algemene informatie uit de kwalitatieve data te combineren met deze case-studies ontstaat een vollediger beeld van de manier waarop spin-offs ontstaan, en in hoeverre eerdere ervaring gebruikt kan worden bij het opzetten van een nieuwe onderneming.</w:t>
      </w:r>
    </w:p>
    <w:p w14:paraId="486B0087" w14:textId="77777777" w:rsidR="006B55BB" w:rsidRDefault="006B55BB" w:rsidP="006B55BB">
      <w:r>
        <w:t>Alle respondenten uit het telefonische onderzoek zijn gevraagd of zij bereid waren om een persoonlijk gesprek te hebben. Het is gelukt om met drie van de respondenten af te spreken. De vragenlijst voor deze gesprekken is te vinden in bijlage 2.1, de transcripties van deze interviews in bijlage 2.2-2.4. In tabel 3.4 is een overzicht van deze interviews te vinden.</w:t>
      </w:r>
    </w:p>
    <w:p w14:paraId="4C00097E" w14:textId="77777777" w:rsidR="006B55BB" w:rsidRDefault="006B55BB" w:rsidP="006B55BB"/>
    <w:tbl>
      <w:tblPr>
        <w:tblStyle w:val="ColorfulGrid-Accent1"/>
        <w:tblW w:w="0" w:type="auto"/>
        <w:tblLook w:val="04A0" w:firstRow="1" w:lastRow="0" w:firstColumn="1" w:lastColumn="0" w:noHBand="0" w:noVBand="1"/>
      </w:tblPr>
      <w:tblGrid>
        <w:gridCol w:w="2376"/>
        <w:gridCol w:w="2835"/>
        <w:gridCol w:w="1985"/>
        <w:gridCol w:w="1320"/>
      </w:tblGrid>
      <w:tr w:rsidR="006B55BB" w:rsidRPr="00B92166" w14:paraId="5FA98873" w14:textId="77777777" w:rsidTr="004B3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365F91" w:themeFill="accent1" w:themeFillShade="BF"/>
          </w:tcPr>
          <w:p w14:paraId="3879076F" w14:textId="77777777" w:rsidR="006B55BB" w:rsidRPr="004149D8" w:rsidRDefault="006B55BB" w:rsidP="006B55BB">
            <w:pPr>
              <w:rPr>
                <w:sz w:val="18"/>
              </w:rPr>
            </w:pPr>
            <w:r w:rsidRPr="004149D8">
              <w:rPr>
                <w:sz w:val="18"/>
              </w:rPr>
              <w:t>Naam</w:t>
            </w:r>
          </w:p>
        </w:tc>
        <w:tc>
          <w:tcPr>
            <w:tcW w:w="2835" w:type="dxa"/>
            <w:shd w:val="clear" w:color="auto" w:fill="365F91" w:themeFill="accent1" w:themeFillShade="BF"/>
          </w:tcPr>
          <w:p w14:paraId="161EECF1" w14:textId="77777777" w:rsidR="006B55BB" w:rsidRPr="004149D8"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4149D8">
              <w:rPr>
                <w:color w:val="FFFFFF" w:themeColor="background1"/>
                <w:sz w:val="18"/>
              </w:rPr>
              <w:t>Bedrijf</w:t>
            </w:r>
          </w:p>
        </w:tc>
        <w:tc>
          <w:tcPr>
            <w:tcW w:w="1985" w:type="dxa"/>
            <w:shd w:val="clear" w:color="auto" w:fill="365F91" w:themeFill="accent1" w:themeFillShade="BF"/>
          </w:tcPr>
          <w:p w14:paraId="3B749532" w14:textId="77777777" w:rsidR="006B55BB" w:rsidRPr="004149D8"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4149D8">
              <w:rPr>
                <w:color w:val="FFFFFF" w:themeColor="background1"/>
                <w:sz w:val="18"/>
              </w:rPr>
              <w:t>Datum interview</w:t>
            </w:r>
          </w:p>
        </w:tc>
        <w:tc>
          <w:tcPr>
            <w:tcW w:w="1320" w:type="dxa"/>
            <w:shd w:val="clear" w:color="auto" w:fill="365F91" w:themeFill="accent1" w:themeFillShade="BF"/>
          </w:tcPr>
          <w:p w14:paraId="028C691F" w14:textId="77777777" w:rsidR="006B55BB" w:rsidRPr="004149D8" w:rsidRDefault="006B55BB" w:rsidP="006B55BB">
            <w:pPr>
              <w:cnfStyle w:val="100000000000" w:firstRow="1" w:lastRow="0" w:firstColumn="0" w:lastColumn="0" w:oddVBand="0" w:evenVBand="0" w:oddHBand="0" w:evenHBand="0" w:firstRowFirstColumn="0" w:firstRowLastColumn="0" w:lastRowFirstColumn="0" w:lastRowLastColumn="0"/>
              <w:rPr>
                <w:color w:val="FFFFFF" w:themeColor="background1"/>
                <w:sz w:val="18"/>
              </w:rPr>
            </w:pPr>
            <w:r w:rsidRPr="004149D8">
              <w:rPr>
                <w:color w:val="FFFFFF" w:themeColor="background1"/>
                <w:sz w:val="18"/>
              </w:rPr>
              <w:t>Bijlage nr.</w:t>
            </w:r>
          </w:p>
        </w:tc>
      </w:tr>
      <w:tr w:rsidR="006B55BB" w:rsidRPr="00B92166" w14:paraId="3EB5B6EC" w14:textId="77777777" w:rsidTr="004B3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5E49AD8" w14:textId="77777777" w:rsidR="006B55BB" w:rsidRPr="004149D8" w:rsidRDefault="006B55BB" w:rsidP="006B55BB">
            <w:pPr>
              <w:rPr>
                <w:sz w:val="18"/>
              </w:rPr>
            </w:pPr>
            <w:r w:rsidRPr="004149D8">
              <w:rPr>
                <w:sz w:val="18"/>
              </w:rPr>
              <w:t>Jan-Cees Wolfswinkel</w:t>
            </w:r>
          </w:p>
        </w:tc>
        <w:tc>
          <w:tcPr>
            <w:tcW w:w="2835" w:type="dxa"/>
          </w:tcPr>
          <w:p w14:paraId="2E150CA3"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rPr>
            </w:pPr>
            <w:r w:rsidRPr="004149D8">
              <w:rPr>
                <w:sz w:val="18"/>
              </w:rPr>
              <w:t>We-Metal</w:t>
            </w:r>
          </w:p>
        </w:tc>
        <w:tc>
          <w:tcPr>
            <w:tcW w:w="1985" w:type="dxa"/>
          </w:tcPr>
          <w:p w14:paraId="78929D95"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rPr>
            </w:pPr>
            <w:r w:rsidRPr="004149D8">
              <w:rPr>
                <w:sz w:val="18"/>
              </w:rPr>
              <w:t>12-02-2015</w:t>
            </w:r>
          </w:p>
        </w:tc>
        <w:tc>
          <w:tcPr>
            <w:tcW w:w="1320" w:type="dxa"/>
          </w:tcPr>
          <w:p w14:paraId="2BB44B33"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rPr>
            </w:pPr>
            <w:r w:rsidRPr="004149D8">
              <w:rPr>
                <w:sz w:val="18"/>
              </w:rPr>
              <w:t>2.2</w:t>
            </w:r>
          </w:p>
        </w:tc>
      </w:tr>
      <w:tr w:rsidR="006B55BB" w:rsidRPr="00B92166" w14:paraId="2436D327" w14:textId="77777777" w:rsidTr="004B373F">
        <w:tc>
          <w:tcPr>
            <w:cnfStyle w:val="001000000000" w:firstRow="0" w:lastRow="0" w:firstColumn="1" w:lastColumn="0" w:oddVBand="0" w:evenVBand="0" w:oddHBand="0" w:evenHBand="0" w:firstRowFirstColumn="0" w:firstRowLastColumn="0" w:lastRowFirstColumn="0" w:lastRowLastColumn="0"/>
            <w:tcW w:w="2376" w:type="dxa"/>
          </w:tcPr>
          <w:p w14:paraId="5C375BF1" w14:textId="77777777" w:rsidR="006B55BB" w:rsidRPr="004149D8" w:rsidRDefault="006B55BB" w:rsidP="006B55BB">
            <w:pPr>
              <w:rPr>
                <w:sz w:val="18"/>
              </w:rPr>
            </w:pPr>
            <w:r w:rsidRPr="004149D8">
              <w:rPr>
                <w:sz w:val="18"/>
              </w:rPr>
              <w:t>Nelly van Lieshout</w:t>
            </w:r>
          </w:p>
        </w:tc>
        <w:tc>
          <w:tcPr>
            <w:tcW w:w="2835" w:type="dxa"/>
          </w:tcPr>
          <w:p w14:paraId="52CF0F15"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rPr>
            </w:pPr>
            <w:r w:rsidRPr="004149D8">
              <w:rPr>
                <w:sz w:val="18"/>
              </w:rPr>
              <w:t>Bij de Tijd</w:t>
            </w:r>
          </w:p>
        </w:tc>
        <w:tc>
          <w:tcPr>
            <w:tcW w:w="1985" w:type="dxa"/>
          </w:tcPr>
          <w:p w14:paraId="6C826CFF"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rPr>
            </w:pPr>
            <w:r w:rsidRPr="004149D8">
              <w:rPr>
                <w:sz w:val="18"/>
              </w:rPr>
              <w:t>23-02-2015</w:t>
            </w:r>
          </w:p>
        </w:tc>
        <w:tc>
          <w:tcPr>
            <w:tcW w:w="1320" w:type="dxa"/>
          </w:tcPr>
          <w:p w14:paraId="629C60B4" w14:textId="77777777" w:rsidR="006B55BB" w:rsidRPr="004149D8" w:rsidRDefault="006B55BB" w:rsidP="006B55BB">
            <w:pPr>
              <w:cnfStyle w:val="000000000000" w:firstRow="0" w:lastRow="0" w:firstColumn="0" w:lastColumn="0" w:oddVBand="0" w:evenVBand="0" w:oddHBand="0" w:evenHBand="0" w:firstRowFirstColumn="0" w:firstRowLastColumn="0" w:lastRowFirstColumn="0" w:lastRowLastColumn="0"/>
              <w:rPr>
                <w:sz w:val="18"/>
              </w:rPr>
            </w:pPr>
            <w:r w:rsidRPr="004149D8">
              <w:rPr>
                <w:sz w:val="18"/>
              </w:rPr>
              <w:t>2.3</w:t>
            </w:r>
          </w:p>
        </w:tc>
      </w:tr>
      <w:tr w:rsidR="006B55BB" w:rsidRPr="00B92166" w14:paraId="56E48CC5" w14:textId="77777777" w:rsidTr="004B3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64F3903" w14:textId="77777777" w:rsidR="006B55BB" w:rsidRPr="004149D8" w:rsidRDefault="006B55BB" w:rsidP="006B55BB">
            <w:pPr>
              <w:rPr>
                <w:sz w:val="18"/>
              </w:rPr>
            </w:pPr>
            <w:r w:rsidRPr="004149D8">
              <w:rPr>
                <w:sz w:val="18"/>
              </w:rPr>
              <w:t>H. J. Diepeveen</w:t>
            </w:r>
          </w:p>
        </w:tc>
        <w:tc>
          <w:tcPr>
            <w:tcW w:w="2835" w:type="dxa"/>
          </w:tcPr>
          <w:p w14:paraId="084B0AA0"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rPr>
            </w:pPr>
            <w:r w:rsidRPr="004149D8">
              <w:rPr>
                <w:sz w:val="18"/>
              </w:rPr>
              <w:t>Diepeveen Asfalt Onderhoud</w:t>
            </w:r>
          </w:p>
        </w:tc>
        <w:tc>
          <w:tcPr>
            <w:tcW w:w="1985" w:type="dxa"/>
          </w:tcPr>
          <w:p w14:paraId="41E34A22"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rPr>
            </w:pPr>
            <w:r w:rsidRPr="004149D8">
              <w:rPr>
                <w:sz w:val="18"/>
              </w:rPr>
              <w:t>03-03-2015</w:t>
            </w:r>
          </w:p>
        </w:tc>
        <w:tc>
          <w:tcPr>
            <w:tcW w:w="1320" w:type="dxa"/>
          </w:tcPr>
          <w:p w14:paraId="479FC20F" w14:textId="77777777" w:rsidR="006B55BB" w:rsidRPr="004149D8" w:rsidRDefault="006B55BB" w:rsidP="006B55BB">
            <w:pPr>
              <w:cnfStyle w:val="000000100000" w:firstRow="0" w:lastRow="0" w:firstColumn="0" w:lastColumn="0" w:oddVBand="0" w:evenVBand="0" w:oddHBand="1" w:evenHBand="0" w:firstRowFirstColumn="0" w:firstRowLastColumn="0" w:lastRowFirstColumn="0" w:lastRowLastColumn="0"/>
              <w:rPr>
                <w:sz w:val="18"/>
              </w:rPr>
            </w:pPr>
            <w:r w:rsidRPr="004149D8">
              <w:rPr>
                <w:sz w:val="18"/>
              </w:rPr>
              <w:t>2.4</w:t>
            </w:r>
          </w:p>
        </w:tc>
      </w:tr>
    </w:tbl>
    <w:p w14:paraId="18F93ACF" w14:textId="77777777" w:rsidR="006B55BB" w:rsidRPr="004149D8" w:rsidRDefault="006B55BB" w:rsidP="006B55BB">
      <w:pPr>
        <w:rPr>
          <w:color w:val="4F81BD" w:themeColor="accent1"/>
          <w:sz w:val="20"/>
        </w:rPr>
      </w:pPr>
      <w:r w:rsidRPr="004149D8">
        <w:rPr>
          <w:b/>
          <w:color w:val="4F81BD" w:themeColor="accent1"/>
          <w:sz w:val="20"/>
        </w:rPr>
        <w:t>Tabel 3.4:</w:t>
      </w:r>
      <w:r w:rsidRPr="004149D8">
        <w:rPr>
          <w:color w:val="4F81BD" w:themeColor="accent1"/>
          <w:sz w:val="20"/>
        </w:rPr>
        <w:t xml:space="preserve"> Een overzicht van de interviews die voor dit onderzoek gehouden zijn.</w:t>
      </w:r>
    </w:p>
    <w:p w14:paraId="2C51D77D" w14:textId="77777777" w:rsidR="006B55BB" w:rsidRDefault="006B55BB" w:rsidP="006B55BB"/>
    <w:p w14:paraId="5AC4AA67" w14:textId="3AE888CB" w:rsidR="006B55BB" w:rsidRDefault="006B55BB" w:rsidP="00751ADC">
      <w:pPr>
        <w:pStyle w:val="Heading1"/>
      </w:pPr>
      <w:bookmarkStart w:id="39" w:name="_Toc337655426"/>
      <w:r>
        <w:t>3</w:t>
      </w:r>
      <w:r w:rsidRPr="00624E42">
        <w:t>.</w:t>
      </w:r>
      <w:r w:rsidR="00D25F0E">
        <w:t>8</w:t>
      </w:r>
      <w:r w:rsidRPr="00624E42">
        <w:t xml:space="preserve"> Tekortkomingen onderzoeksmethode</w:t>
      </w:r>
      <w:bookmarkEnd w:id="39"/>
    </w:p>
    <w:p w14:paraId="17A6C579" w14:textId="77777777" w:rsidR="006B55BB" w:rsidRDefault="006B55BB" w:rsidP="006B55BB">
      <w:r>
        <w:t xml:space="preserve">Human capital theorieën geven aan dat mensen hun hele leven lang blijven leren en hun professionele succes te danken hebben aan ervaringen die zij tijdens hun hele leven hebben opgedaan. Deze theorieën worden onderbouwd door onderzoek naar ondernemerschap </w:t>
      </w:r>
      <w:r w:rsidRPr="00302170">
        <w:t>(Dahl &amp; Sorensson, 2009; Davidsson &amp; Honig, 2003</w:t>
      </w:r>
      <w:r>
        <w:t>; Egeln, 2004</w:t>
      </w:r>
      <w:r w:rsidRPr="00302170">
        <w:t xml:space="preserve">; Santarelli &amp; Vivarelli, 2007). </w:t>
      </w:r>
      <w:r>
        <w:t>Door alleen naar de laatste werkervaring voor het starten van een nieuw bedrijf te kijken, worden veel vaardigheden die mogelijk een doorslaggevende rol speelden in de keuze voor ondernemerschap, of de keuze voor een specifieke sector, genegeerd. Er is toch voor gekozen om alleen naar de laatste ervaring te kijken voor het opstarten van een nieuw bedrijf, omdat dit leidt voor kortere, meer overzichtelijke vragen aan respondenten. Bovendien zijn de resultaten op deze wijze eenvoudiger te interpreteren. Door meerdere ervaringen mee te nemen is het lastig te zeggen welke ervaringen doorslaggevend waren in de keuze om ondernemer te worden in een bepaalde sector en waarom dit zo was. In de drie face-to-face interviews is wel ruimte geweest voor eerdere werkervaringen.</w:t>
      </w:r>
    </w:p>
    <w:p w14:paraId="07E8F3C0" w14:textId="73F26D19" w:rsidR="006B55BB" w:rsidRDefault="006B55BB" w:rsidP="006B55BB">
      <w:r>
        <w:tab/>
        <w:t>Een andere tekortkoming is dat er in dit onderzoek vanuit wordt gegaan dat de regio’s Woerden en Veenendaal een eigen arbeidsmarkt hebben. Uit eerder onderzoek (Schwanen et al.; 2004) blijkt echter dat Nederlanders bereid zijn om veel grotere afstanden af te leggen wanneer zij opzoek zijn naar een baan. Door de kleine oppervlakte van de onderzoeksgebieden zal veel werkervaring van bedrijfsoprichters van buiten de regio afkomstig zijn.</w:t>
      </w:r>
    </w:p>
    <w:p w14:paraId="4E373785" w14:textId="57EA6955" w:rsidR="009C6140" w:rsidRDefault="006B55BB" w:rsidP="009C6140">
      <w:pPr>
        <w:pStyle w:val="Title"/>
      </w:pPr>
      <w:r>
        <w:br w:type="column"/>
      </w:r>
      <w:bookmarkStart w:id="40" w:name="_Toc316143575"/>
      <w:bookmarkStart w:id="41" w:name="_Toc337655427"/>
      <w:r w:rsidR="00551903">
        <w:t xml:space="preserve">4 </w:t>
      </w:r>
      <w:r w:rsidR="009C6140">
        <w:t>Profiel regio Woerden</w:t>
      </w:r>
      <w:bookmarkEnd w:id="40"/>
      <w:bookmarkEnd w:id="41"/>
    </w:p>
    <w:p w14:paraId="3FF2CF5D" w14:textId="7234B902" w:rsidR="00835DBC" w:rsidRDefault="00835DBC" w:rsidP="00835DBC">
      <w:bookmarkStart w:id="42" w:name="_Toc316143577"/>
      <w:r>
        <w:t>In dit hoofdstuk wordt regio Woerden uitgebreid besproken. In hoofdstuk 5 zal regio Veenendaal volgen. Na een korte beschrijving van de ligging worden de regio’s waarmee regio Woerden vergeleken worden besproken. Vervolgens komen de verschillen binnen regio Woerden aan bod. Hierna komen economische gegevens over de verhoudingen van de sectoren en de groei per sector aan bod. Iedere sector in de regio wordt uitgebreid besproken qua omvang, groei en trends. Ten slotte worden enkele bedrijfsclusters in de regio geïdentificeerd.</w:t>
      </w:r>
    </w:p>
    <w:p w14:paraId="3F0D1CAE" w14:textId="2EADC37B" w:rsidR="009C6140" w:rsidRPr="00302170" w:rsidRDefault="009C6140" w:rsidP="009C6140">
      <w:pPr>
        <w:pStyle w:val="Heading1"/>
      </w:pPr>
      <w:bookmarkStart w:id="43" w:name="_Toc337655428"/>
      <w:r w:rsidRPr="00302170">
        <w:rPr>
          <w:noProof/>
          <w:lang w:val="en-US" w:eastAsia="en-US"/>
        </w:rPr>
        <w:drawing>
          <wp:anchor distT="0" distB="0" distL="114300" distR="114300" simplePos="0" relativeHeight="251659264" behindDoc="0" locked="0" layoutInCell="1" allowOverlap="1" wp14:anchorId="65BE54F9" wp14:editId="51CEB603">
            <wp:simplePos x="0" y="0"/>
            <wp:positionH relativeFrom="column">
              <wp:posOffset>2743200</wp:posOffset>
            </wp:positionH>
            <wp:positionV relativeFrom="paragraph">
              <wp:posOffset>154305</wp:posOffset>
            </wp:positionV>
            <wp:extent cx="2435860" cy="399034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metwegenwoerden.jpg"/>
                    <pic:cNvPicPr/>
                  </pic:nvPicPr>
                  <pic:blipFill>
                    <a:blip r:embed="rId14">
                      <a:extLst>
                        <a:ext uri="{28A0092B-C50C-407E-A947-70E740481C1C}">
                          <a14:useLocalDpi xmlns:a14="http://schemas.microsoft.com/office/drawing/2010/main" val="0"/>
                        </a:ext>
                      </a:extLst>
                    </a:blip>
                    <a:stretch>
                      <a:fillRect/>
                    </a:stretch>
                  </pic:blipFill>
                  <pic:spPr>
                    <a:xfrm>
                      <a:off x="0" y="0"/>
                      <a:ext cx="2435860" cy="3990340"/>
                    </a:xfrm>
                    <a:prstGeom prst="rect">
                      <a:avLst/>
                    </a:prstGeom>
                  </pic:spPr>
                </pic:pic>
              </a:graphicData>
            </a:graphic>
            <wp14:sizeRelH relativeFrom="page">
              <wp14:pctWidth>0</wp14:pctWidth>
            </wp14:sizeRelH>
            <wp14:sizeRelV relativeFrom="page">
              <wp14:pctHeight>0</wp14:pctHeight>
            </wp14:sizeRelV>
          </wp:anchor>
        </w:drawing>
      </w:r>
      <w:r w:rsidR="00551903">
        <w:t>4</w:t>
      </w:r>
      <w:r w:rsidR="00105245">
        <w:t xml:space="preserve">.1 </w:t>
      </w:r>
      <w:r w:rsidRPr="00302170">
        <w:t>Regio Woerden</w:t>
      </w:r>
      <w:bookmarkEnd w:id="42"/>
      <w:bookmarkEnd w:id="43"/>
    </w:p>
    <w:p w14:paraId="751205B7" w14:textId="45D9F3FD" w:rsidR="009C6140" w:rsidRPr="00302170" w:rsidRDefault="009C6140" w:rsidP="009C6140">
      <w:pPr>
        <w:rPr>
          <w:noProof/>
          <w:sz w:val="20"/>
        </w:rPr>
      </w:pPr>
      <w:r w:rsidRPr="00302170">
        <w:rPr>
          <w:noProof/>
          <w:lang w:val="en-US" w:eastAsia="en-US"/>
        </w:rPr>
        <mc:AlternateContent>
          <mc:Choice Requires="wps">
            <w:drawing>
              <wp:anchor distT="0" distB="0" distL="114300" distR="114300" simplePos="0" relativeHeight="251660288" behindDoc="0" locked="0" layoutInCell="1" allowOverlap="1" wp14:anchorId="02297DF7" wp14:editId="5571FFCF">
                <wp:simplePos x="0" y="0"/>
                <wp:positionH relativeFrom="column">
                  <wp:posOffset>2971800</wp:posOffset>
                </wp:positionH>
                <wp:positionV relativeFrom="paragraph">
                  <wp:posOffset>3660775</wp:posOffset>
                </wp:positionV>
                <wp:extent cx="2057400"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7DEF7" w14:textId="77777777" w:rsidR="00E01C36" w:rsidRPr="00425EF5" w:rsidRDefault="00E01C36" w:rsidP="009C6140">
                            <w:pPr>
                              <w:rPr>
                                <w:color w:val="548DD4" w:themeColor="text2" w:themeTint="99"/>
                                <w:sz w:val="20"/>
                              </w:rPr>
                            </w:pPr>
                            <w:r>
                              <w:rPr>
                                <w:b/>
                                <w:color w:val="548DD4" w:themeColor="text2" w:themeTint="99"/>
                                <w:sz w:val="20"/>
                              </w:rPr>
                              <w:t>Afbeelding 4.</w:t>
                            </w:r>
                            <w:r w:rsidRPr="00425EF5">
                              <w:rPr>
                                <w:b/>
                                <w:color w:val="548DD4" w:themeColor="text2" w:themeTint="99"/>
                                <w:sz w:val="20"/>
                              </w:rPr>
                              <w:t>1:</w:t>
                            </w:r>
                            <w:r w:rsidRPr="00425EF5">
                              <w:rPr>
                                <w:color w:val="548DD4" w:themeColor="text2" w:themeTint="99"/>
                                <w:sz w:val="20"/>
                              </w:rPr>
                              <w:t xml:space="preserve"> Kaart van regio Woerden en de directe omgeving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234pt;margin-top:288.25pt;width:16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" filled="f" stroked="f">
                <v:textbox>
                  <w:txbxContent>
                    <w:p w14:paraId="4ED7DEF7" w14:textId="77777777" w:rsidR="00835DBC" w:rsidRPr="00425EF5" w:rsidRDefault="00835DBC" w:rsidP="009C6140">
                      <w:pPr>
                        <w:rPr>
                          <w:color w:val="548DD4" w:themeColor="text2" w:themeTint="99"/>
                          <w:sz w:val="20"/>
                        </w:rPr>
                      </w:pPr>
                      <w:r>
                        <w:rPr>
                          <w:b/>
                          <w:color w:val="548DD4" w:themeColor="text2" w:themeTint="99"/>
                          <w:sz w:val="20"/>
                        </w:rPr>
                        <w:t>Afbeelding 4.</w:t>
                      </w:r>
                      <w:r w:rsidRPr="00425EF5">
                        <w:rPr>
                          <w:b/>
                          <w:color w:val="548DD4" w:themeColor="text2" w:themeTint="99"/>
                          <w:sz w:val="20"/>
                        </w:rPr>
                        <w:t>1:</w:t>
                      </w:r>
                      <w:r w:rsidRPr="00425EF5">
                        <w:rPr>
                          <w:color w:val="548DD4" w:themeColor="text2" w:themeTint="99"/>
                          <w:sz w:val="20"/>
                        </w:rPr>
                        <w:t xml:space="preserve"> Kaart van regio Woerden en de directe omgeving</w:t>
                      </w:r>
                    </w:p>
                  </w:txbxContent>
                </v:textbox>
                <w10:wrap type="square"/>
              </v:shape>
            </w:pict>
          </mc:Fallback>
        </mc:AlternateContent>
      </w:r>
      <w:r w:rsidRPr="00302170">
        <w:t>De regio Woerden beslaat het Westelijk deel van de provincie Utrecht en het Groene Hart. De regio bestaat uit de gemeentes Lopik, Montfoort, Oudewater, de Ronde Venen en Woerden</w:t>
      </w:r>
      <w:r>
        <w:t xml:space="preserve"> (Regioatlas, 2014). Tabel 4.</w:t>
      </w:r>
      <w:r w:rsidRPr="00302170">
        <w:t xml:space="preserve">1 laat de oppervlakte en het inwonertal per gemeente zien. De regio beslaat 26,4% van de </w:t>
      </w:r>
      <w:r>
        <w:t>oppervlakte</w:t>
      </w:r>
      <w:r w:rsidRPr="00302170">
        <w:t xml:space="preserve"> en bevat 10,5% van de bevolking</w:t>
      </w:r>
      <w:r>
        <w:t xml:space="preserve"> van de provincie Utrecht</w:t>
      </w:r>
      <w:r w:rsidRPr="00302170">
        <w:t>. De belangrijkste kernen voor winkels en bedrijven in de regio zijn Woerden zelf, waar 39% van de werkgelegenh</w:t>
      </w:r>
      <w:r>
        <w:t>eid te vinden is, en Mijdrecht, met 17% van de werkgelegenheid in de regio</w:t>
      </w:r>
      <w:r w:rsidRPr="00302170">
        <w:t>. De meeste bedrijvigheid in de regio is te vinden op bedrijventerreinen bij Woerden, Mijdrecht, Montfoort en Oudewater. Tussen 1994 en 2003 is er tussen het centrum van Woerden en de A12 een groot nieuw industrieterrein aangelegd. Vanwege het status als nationaal landschap wordt bedrijvigheid buiten de</w:t>
      </w:r>
      <w:r>
        <w:t xml:space="preserve"> nu bestaande</w:t>
      </w:r>
      <w:r w:rsidRPr="00302170">
        <w:t xml:space="preserve"> kernen ontmoedigd in het Groene Hart</w:t>
      </w:r>
      <w:r>
        <w:t xml:space="preserve"> (Vogelzang, 2009)</w:t>
      </w:r>
      <w:r w:rsidRPr="00302170">
        <w:t>.</w:t>
      </w:r>
      <w:r w:rsidRPr="00302170">
        <w:rPr>
          <w:noProof/>
          <w:sz w:val="20"/>
        </w:rPr>
        <w:t xml:space="preserve"> </w:t>
      </w:r>
    </w:p>
    <w:p w14:paraId="4F723AC3" w14:textId="3E3301D4" w:rsidR="009C6140" w:rsidRPr="00302170" w:rsidRDefault="009C6140" w:rsidP="009C6140"/>
    <w:p w14:paraId="6C45194A" w14:textId="77777777" w:rsidR="009C6140" w:rsidRPr="00302170" w:rsidRDefault="009C6140" w:rsidP="009C6140">
      <w:pPr>
        <w:ind w:firstLine="720"/>
      </w:pPr>
      <w:r w:rsidRPr="00302170">
        <w:t>De A2, A12 en de N201 vormen de belangrijkste infrastructuur in regio Woerden. De A2 verbindt Woerden met Utrecht in het oosten en in het westen met Bodegraven, Gouda en Den Haag. Door deze verbindingen heeft Woerden een zeer centrale ligging in Nederland. De A2 verbindt Utrecht met Abcoude en Amsterdam, en kruist de N201, die de distributiecentra van Mijdrecht ontsluit. Alleen Woerden en Abcoude zijn aangesloten op het Nederlandse spoornetwerk. Vanaf de stations in deze plaatsen zorgen bussen voor OV-verbindingen met de rest van het gebied. De ligging van de regio Woerd</w:t>
      </w:r>
      <w:r>
        <w:t>en is te zien in afbeelding 4.</w:t>
      </w:r>
      <w:r w:rsidRPr="00302170">
        <w:t xml:space="preserve">1. </w:t>
      </w:r>
    </w:p>
    <w:p w14:paraId="31E80C8B" w14:textId="77777777" w:rsidR="009C6140" w:rsidRPr="00302170" w:rsidRDefault="009C6140" w:rsidP="009C6140">
      <w:pPr>
        <w:ind w:firstLine="720"/>
      </w:pPr>
      <w:r w:rsidRPr="00302170">
        <w:t>In het verleden bestond de economie van de regio voornamelijk uit landbouw en de voedselindustrie. Woerden was, als enige stad in de regio, het centrum van de voedselverwerking en groeide dankzij bedrijven als Melkunie en ERU uit tot een belangrijk centrum voor de Nederlandse zuivelindustrie. In de afgelopen vijftig jaar ontstond in Montfoort een cluster van technische bedrijven die bussen en aangepaste vrachtvoertuigen bouwden en werd het bedrijventerrein van Mijdrecht gevuld met</w:t>
      </w:r>
      <w:r>
        <w:t xml:space="preserve"> voornamelijk</w:t>
      </w:r>
      <w:r w:rsidRPr="00302170">
        <w:t xml:space="preserve"> distributiebedrijven. De meeste industriële activiteiten in de regio nemen echter af. Net als in de rest van Nederland komt de nadruk steeds meer op diensten te liggen.</w:t>
      </w:r>
    </w:p>
    <w:p w14:paraId="664F03EB" w14:textId="31830A32" w:rsidR="009C6140" w:rsidRPr="00302170" w:rsidRDefault="009C6140" w:rsidP="00551903">
      <w:pPr>
        <w:ind w:firstLine="720"/>
      </w:pPr>
      <w:r w:rsidRPr="00302170">
        <w:t>Samen met de andere Groene Hart gemeentes Bodegraven en Gouda probeert Woerden een nieuw expertise centrum op te starten voor de zuivelindustrie. Verder hoopt de regio meer inkomsten te kunnen halen uit recreatieve mogelijkheden van het Groene Hart</w:t>
      </w:r>
      <w:r>
        <w:t xml:space="preserve"> (Gemeente Woerden, 2008)</w:t>
      </w:r>
      <w:r w:rsidRPr="00302170">
        <w:t>.</w:t>
      </w:r>
      <w:r>
        <w:t xml:space="preserve"> De ambitie van de gemeentes in regio Woerden is om de werkgelegenheid en het voorzieningen niveau op pijl te houden. Gemeente Montfoort hoopt daarnaast in te kunnen zetten op biomassa als aandrijver van de economie (Gemeente Montfoort, 2011; Gemeente Oudewater, 2010; Gemeente de Ronde Venen, 2013; Gemeente Woerden, 2008)</w:t>
      </w:r>
    </w:p>
    <w:p w14:paraId="00563673" w14:textId="5B3112C9" w:rsidR="009C6140" w:rsidRPr="00302170" w:rsidRDefault="00551903" w:rsidP="00551903">
      <w:pPr>
        <w:pStyle w:val="Heading1"/>
      </w:pPr>
      <w:bookmarkStart w:id="44" w:name="_Toc316143578"/>
      <w:bookmarkStart w:id="45" w:name="_Toc337655429"/>
      <w:r>
        <w:t xml:space="preserve">4.2 </w:t>
      </w:r>
      <w:r w:rsidR="009C6140" w:rsidRPr="00302170">
        <w:t>Vergelijkingsregio’s</w:t>
      </w:r>
      <w:bookmarkEnd w:id="44"/>
      <w:bookmarkEnd w:id="45"/>
    </w:p>
    <w:p w14:paraId="067398B9" w14:textId="77777777" w:rsidR="009C6140" w:rsidRPr="00302170" w:rsidRDefault="009C6140" w:rsidP="009C6140">
      <w:r w:rsidRPr="00302170">
        <w:t>Om te onderzoeken hoe de sectorale structuur van regio Woerden zich verhoud tot andere gebieden wordt het gebied vergeleken met het Nederlands gemiddelde. Daarnaast zal de regio vergeleken worden met het gemiddelde van provincie Utrecht. Omdat veel economisch beleid op provinciaal niveau wordt uitgevoerd, is het handig om te zien in hoeverre de regio afwijkt van de rest van de provincie. Ten slotte wordt regio Woerden vergeleken met twee regio’s die qua ligging</w:t>
      </w:r>
      <w:r>
        <w:t>,</w:t>
      </w:r>
      <w:r w:rsidRPr="00302170">
        <w:t xml:space="preserve"> landschap</w:t>
      </w:r>
      <w:r>
        <w:t xml:space="preserve"> en bevolkingsdichtheid</w:t>
      </w:r>
      <w:r w:rsidRPr="00302170">
        <w:t xml:space="preserve"> overeenkomen met regio Woerden. Door de verschillen met twee andere Groene Hart regio’s te onderzoeken wordt mogelijk duidelijk welke kansen er zijn blijven liggen voor regio Woerden en in op welke ge</w:t>
      </w:r>
      <w:r>
        <w:t>bieden de regio echt uitblinkt.</w:t>
      </w:r>
    </w:p>
    <w:p w14:paraId="1BB69481" w14:textId="77777777" w:rsidR="009C6140" w:rsidRPr="00302170" w:rsidRDefault="009C6140" w:rsidP="009C6140">
      <w:pPr>
        <w:ind w:firstLine="720"/>
      </w:pPr>
      <w:r w:rsidRPr="00302170">
        <w:t xml:space="preserve">Ten eerste wordt regio Woerden vergeleken met regio Alphen aan den Rijn, </w:t>
      </w:r>
      <w:r>
        <w:t>bestaande</w:t>
      </w:r>
      <w:r w:rsidRPr="00302170">
        <w:t xml:space="preserve"> uit de gemeentes Alphen aan den Rijn en Nieuwkoop. De belangrijkste kern in deze regio is Alphen aan den Rijn, vroeger een handelsstad. De rest van het gebied is voornamelijk platteland. In tegenstelling tot regio Woerden, waar arbeidsplaatsen aanwezig zijn voor 80% van de beroepsbevolking, heeft regio Alphen 33% meer banen dan dat er inwoners tussen de 18 en 65 jaar zijn</w:t>
      </w:r>
      <w:r>
        <w:t xml:space="preserve"> (CBS, 2013)</w:t>
      </w:r>
      <w:r w:rsidRPr="00302170">
        <w:t>. Er komen dus veel mensen van buiten de regio naar Alphen om daar te werken.</w:t>
      </w:r>
      <w:r>
        <w:t xml:space="preserve"> Vergelijkbaar met regio Woerden zet regio Alphen aan den Rijn op economisch gebied vooral in op uitbreiding van biomassa en recreatie (Gemeente Alphen aan den Rijn, 2013).</w:t>
      </w:r>
    </w:p>
    <w:p w14:paraId="466BC98D" w14:textId="77777777" w:rsidR="009C6140" w:rsidRDefault="009C6140" w:rsidP="009C6140">
      <w:pPr>
        <w:ind w:firstLine="720"/>
      </w:pPr>
      <w:r w:rsidRPr="00302170">
        <w:t>Het tweede gebied waar regio Woerden mee wordt vergeleken, is regio Gouda. Deze regio omvat de gemeentes Bodegraven-Reeuwwijk, Gouda, Vlist en Waddinxveen. Net als Woerden hebben de kernen Gouda en Bodegraven een historie als zuivelsteden en zijn ze omringd door landbouwgebied. Gouda en Waddinxveen zijn sterker verstedelijkt dan de overige gemeenten die vergeleken worden</w:t>
      </w:r>
      <w:r>
        <w:t>, maar B</w:t>
      </w:r>
      <w:r w:rsidRPr="00302170">
        <w:t xml:space="preserve">odegraven en Vlist zijn zeer landelijk. Gemeente Gouda zelf heeft al ruim vijftig jaar financiële problemen door grondverzakkingen in de stad. </w:t>
      </w:r>
      <w:r>
        <w:t>Naast</w:t>
      </w:r>
      <w:r w:rsidRPr="00302170">
        <w:t xml:space="preserve"> deze problemen nemen het inwonertal en de werkgelegenheid in de stad de afgelopen jaren af. Voornamelijk tussen 2003 en 2006 was er een dip in het aantal inwoners en het aantal banen in de regio. Door nieuwbouw zijn er echter weer nieuwe mensen naar stad getrokken, waarna de werkgelegenheid ook weer toenam (gemeente Gouda, 2012). Toch zijn veel sectoren nog altijd niet volledig herstelt van deze korte periode van krimp. Het aantal arbeidsplaatsen in regio Gouda beslaat 77% van de beroepsbevolking</w:t>
      </w:r>
      <w:r>
        <w:t xml:space="preserve"> (CBS, 2013).</w:t>
      </w:r>
    </w:p>
    <w:p w14:paraId="30201215" w14:textId="77777777" w:rsidR="009C6140" w:rsidRPr="00302170" w:rsidRDefault="009C6140" w:rsidP="009C6140">
      <w:pPr>
        <w:ind w:firstLine="720"/>
      </w:pPr>
      <w:r w:rsidRPr="00302170">
        <w:t>Het groene hart ligt als geheel midden in de randstad en heeft daardoor het hoogste aantal banen dat binnen 45 minuten reizen te bereiken is</w:t>
      </w:r>
      <w:r>
        <w:t xml:space="preserve"> in Nederland</w:t>
      </w:r>
      <w:r w:rsidRPr="00302170">
        <w:t xml:space="preserve"> (Rabobank, 2012). Hier profiteren regio Woerden en beide vergelijkingsregio’s van. </w:t>
      </w:r>
    </w:p>
    <w:p w14:paraId="59628858" w14:textId="77777777" w:rsidR="009C6140" w:rsidRPr="00302170" w:rsidRDefault="009C6140" w:rsidP="009C6140">
      <w:pPr>
        <w:ind w:firstLine="720"/>
      </w:pPr>
      <w:r w:rsidRPr="00302170">
        <w:t>De twee vergelijkingsregio’s zijn ingedeeld om een zo goed mogelijk vergelijkbaar inwonertal en oppervlakte te hebben. I</w:t>
      </w:r>
      <w:r>
        <w:t>n tabel 4.</w:t>
      </w:r>
      <w:r w:rsidRPr="00302170">
        <w:t>1 zijn de inwonertallen en de oppervlakte per gemeente te zien.</w:t>
      </w:r>
    </w:p>
    <w:p w14:paraId="34157435" w14:textId="77777777" w:rsidR="009C6140" w:rsidRDefault="009C6140" w:rsidP="009C6140"/>
    <w:p w14:paraId="3617DFBC" w14:textId="77777777" w:rsidR="009C6140" w:rsidRPr="00302170" w:rsidRDefault="009C6140" w:rsidP="009C6140"/>
    <w:tbl>
      <w:tblPr>
        <w:tblStyle w:val="ColorfulGrid-Accent1"/>
        <w:tblW w:w="6120" w:type="dxa"/>
        <w:jc w:val="center"/>
        <w:tblLook w:val="04A0" w:firstRow="1" w:lastRow="0" w:firstColumn="1" w:lastColumn="0" w:noHBand="0" w:noVBand="1"/>
      </w:tblPr>
      <w:tblGrid>
        <w:gridCol w:w="2900"/>
        <w:gridCol w:w="1300"/>
        <w:gridCol w:w="1920"/>
      </w:tblGrid>
      <w:tr w:rsidR="009C6140" w:rsidRPr="00302170" w14:paraId="4B44B2A6" w14:textId="77777777" w:rsidTr="001052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shd w:val="clear" w:color="auto" w:fill="365F91" w:themeFill="accent1" w:themeFillShade="BF"/>
            <w:noWrap/>
            <w:hideMark/>
          </w:tcPr>
          <w:p w14:paraId="4CEEF7E7" w14:textId="77777777" w:rsidR="009C6140" w:rsidRPr="00302170" w:rsidRDefault="009C6140" w:rsidP="00105245">
            <w:pPr>
              <w:rPr>
                <w:rFonts w:ascii="Calibri" w:eastAsia="Times New Roman" w:hAnsi="Calibri" w:cs="Times New Roman"/>
                <w:color w:val="000000"/>
                <w:sz w:val="16"/>
              </w:rPr>
            </w:pPr>
          </w:p>
        </w:tc>
        <w:tc>
          <w:tcPr>
            <w:tcW w:w="1300" w:type="dxa"/>
            <w:shd w:val="clear" w:color="auto" w:fill="365F91" w:themeFill="accent1" w:themeFillShade="BF"/>
            <w:noWrap/>
            <w:hideMark/>
          </w:tcPr>
          <w:p w14:paraId="06A93323" w14:textId="77777777" w:rsidR="009C6140" w:rsidRPr="00302170" w:rsidRDefault="009C6140" w:rsidP="001052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6"/>
              </w:rPr>
            </w:pPr>
            <w:r w:rsidRPr="00302170">
              <w:rPr>
                <w:rFonts w:ascii="Calibri" w:eastAsia="Times New Roman" w:hAnsi="Calibri" w:cs="Times New Roman"/>
                <w:color w:val="FFFFFF" w:themeColor="background1"/>
                <w:sz w:val="16"/>
              </w:rPr>
              <w:t>Inwonertal</w:t>
            </w:r>
          </w:p>
        </w:tc>
        <w:tc>
          <w:tcPr>
            <w:tcW w:w="1920" w:type="dxa"/>
            <w:shd w:val="clear" w:color="auto" w:fill="365F91" w:themeFill="accent1" w:themeFillShade="BF"/>
            <w:noWrap/>
            <w:hideMark/>
          </w:tcPr>
          <w:p w14:paraId="241B6D81" w14:textId="77777777" w:rsidR="009C6140" w:rsidRPr="00302170" w:rsidRDefault="009C6140" w:rsidP="001052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6"/>
              </w:rPr>
            </w:pPr>
            <w:r w:rsidRPr="00302170">
              <w:rPr>
                <w:rFonts w:ascii="Calibri" w:eastAsia="Times New Roman" w:hAnsi="Calibri" w:cs="Times New Roman"/>
                <w:color w:val="FFFFFF" w:themeColor="background1"/>
                <w:sz w:val="16"/>
              </w:rPr>
              <w:t>Oppervlakte (km</w:t>
            </w:r>
            <w:r w:rsidRPr="00302170">
              <w:rPr>
                <w:rFonts w:ascii="Calibri" w:eastAsia="Times New Roman" w:hAnsi="Calibri" w:cs="Times New Roman"/>
                <w:color w:val="FFFFFF" w:themeColor="background1"/>
                <w:sz w:val="16"/>
                <w:vertAlign w:val="superscript"/>
              </w:rPr>
              <w:t>2</w:t>
            </w:r>
            <w:r w:rsidRPr="00302170">
              <w:rPr>
                <w:rFonts w:ascii="Calibri" w:eastAsia="Times New Roman" w:hAnsi="Calibri" w:cs="Times New Roman"/>
                <w:color w:val="FFFFFF" w:themeColor="background1"/>
                <w:sz w:val="16"/>
              </w:rPr>
              <w:t>)</w:t>
            </w:r>
          </w:p>
        </w:tc>
      </w:tr>
      <w:tr w:rsidR="009C6140" w:rsidRPr="00302170" w14:paraId="29C85DF7" w14:textId="77777777" w:rsidTr="001052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5865A68" w14:textId="77777777" w:rsidR="009C6140" w:rsidRPr="00302170" w:rsidRDefault="009C6140" w:rsidP="00105245">
            <w:pPr>
              <w:rPr>
                <w:rFonts w:ascii="Calibri" w:eastAsia="Times New Roman" w:hAnsi="Calibri" w:cs="Times New Roman"/>
                <w:b/>
                <w:bCs/>
                <w:sz w:val="16"/>
              </w:rPr>
            </w:pPr>
            <w:r w:rsidRPr="00302170">
              <w:rPr>
                <w:rFonts w:ascii="Calibri" w:eastAsia="Times New Roman" w:hAnsi="Calibri" w:cs="Times New Roman"/>
                <w:b/>
                <w:bCs/>
                <w:sz w:val="16"/>
              </w:rPr>
              <w:t>Regio Woerden</w:t>
            </w:r>
          </w:p>
        </w:tc>
        <w:tc>
          <w:tcPr>
            <w:tcW w:w="1300" w:type="dxa"/>
            <w:noWrap/>
            <w:hideMark/>
          </w:tcPr>
          <w:p w14:paraId="2E4701ED"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rPr>
            </w:pPr>
            <w:r w:rsidRPr="00302170">
              <w:rPr>
                <w:rFonts w:ascii="Calibri" w:eastAsia="Times New Roman" w:hAnsi="Calibri" w:cs="Times New Roman"/>
                <w:b/>
                <w:bCs/>
                <w:color w:val="000000"/>
                <w:sz w:val="16"/>
              </w:rPr>
              <w:t>130.000</w:t>
            </w:r>
          </w:p>
        </w:tc>
        <w:tc>
          <w:tcPr>
            <w:tcW w:w="1920" w:type="dxa"/>
            <w:noWrap/>
            <w:hideMark/>
          </w:tcPr>
          <w:p w14:paraId="7521B923"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rPr>
            </w:pPr>
            <w:r w:rsidRPr="00302170">
              <w:rPr>
                <w:rFonts w:ascii="Calibri" w:eastAsia="Times New Roman" w:hAnsi="Calibri" w:cs="Times New Roman"/>
                <w:b/>
                <w:bCs/>
                <w:color w:val="000000"/>
                <w:sz w:val="16"/>
              </w:rPr>
              <w:t>366</w:t>
            </w:r>
          </w:p>
        </w:tc>
      </w:tr>
      <w:tr w:rsidR="009C6140" w:rsidRPr="00302170" w14:paraId="4F009FEB" w14:textId="77777777" w:rsidTr="00105245">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6C99617"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Lopik</w:t>
            </w:r>
          </w:p>
        </w:tc>
        <w:tc>
          <w:tcPr>
            <w:tcW w:w="1300" w:type="dxa"/>
            <w:noWrap/>
            <w:hideMark/>
          </w:tcPr>
          <w:p w14:paraId="7E8F9D29"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14.000</w:t>
            </w:r>
          </w:p>
        </w:tc>
        <w:tc>
          <w:tcPr>
            <w:tcW w:w="1920" w:type="dxa"/>
            <w:noWrap/>
            <w:hideMark/>
          </w:tcPr>
          <w:p w14:paraId="668D1F8F"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79</w:t>
            </w:r>
          </w:p>
        </w:tc>
      </w:tr>
      <w:tr w:rsidR="009C6140" w:rsidRPr="00302170" w14:paraId="530A21AB" w14:textId="77777777" w:rsidTr="001052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6603D495"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Montfoort</w:t>
            </w:r>
          </w:p>
        </w:tc>
        <w:tc>
          <w:tcPr>
            <w:tcW w:w="1300" w:type="dxa"/>
            <w:noWrap/>
            <w:hideMark/>
          </w:tcPr>
          <w:p w14:paraId="3BFF4CA5"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13.500</w:t>
            </w:r>
          </w:p>
        </w:tc>
        <w:tc>
          <w:tcPr>
            <w:tcW w:w="1920" w:type="dxa"/>
            <w:noWrap/>
            <w:hideMark/>
          </w:tcPr>
          <w:p w14:paraId="4C2C1ABA"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38</w:t>
            </w:r>
          </w:p>
        </w:tc>
      </w:tr>
      <w:tr w:rsidR="009C6140" w:rsidRPr="00302170" w14:paraId="1F0BA09A" w14:textId="77777777" w:rsidTr="00105245">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46BA7DA1"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Oudewater</w:t>
            </w:r>
          </w:p>
        </w:tc>
        <w:tc>
          <w:tcPr>
            <w:tcW w:w="1300" w:type="dxa"/>
            <w:noWrap/>
            <w:hideMark/>
          </w:tcPr>
          <w:p w14:paraId="7B726187"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10.000</w:t>
            </w:r>
          </w:p>
        </w:tc>
        <w:tc>
          <w:tcPr>
            <w:tcW w:w="1920" w:type="dxa"/>
            <w:noWrap/>
            <w:hideMark/>
          </w:tcPr>
          <w:p w14:paraId="6E14624A"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40</w:t>
            </w:r>
          </w:p>
        </w:tc>
      </w:tr>
      <w:tr w:rsidR="009C6140" w:rsidRPr="00302170" w14:paraId="3BF2F6AF" w14:textId="77777777" w:rsidTr="001052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C1D0731"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de Ronde Venen</w:t>
            </w:r>
          </w:p>
        </w:tc>
        <w:tc>
          <w:tcPr>
            <w:tcW w:w="1300" w:type="dxa"/>
            <w:noWrap/>
            <w:hideMark/>
          </w:tcPr>
          <w:p w14:paraId="20A9B513"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42.500</w:t>
            </w:r>
          </w:p>
        </w:tc>
        <w:tc>
          <w:tcPr>
            <w:tcW w:w="1920" w:type="dxa"/>
            <w:noWrap/>
            <w:hideMark/>
          </w:tcPr>
          <w:p w14:paraId="29945E50"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116</w:t>
            </w:r>
          </w:p>
        </w:tc>
      </w:tr>
      <w:tr w:rsidR="009C6140" w:rsidRPr="00302170" w14:paraId="67B5A466" w14:textId="77777777" w:rsidTr="00105245">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72EE6652"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Woerden</w:t>
            </w:r>
          </w:p>
        </w:tc>
        <w:tc>
          <w:tcPr>
            <w:tcW w:w="1300" w:type="dxa"/>
            <w:noWrap/>
            <w:hideMark/>
          </w:tcPr>
          <w:p w14:paraId="3ED85452"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50.000</w:t>
            </w:r>
          </w:p>
        </w:tc>
        <w:tc>
          <w:tcPr>
            <w:tcW w:w="1920" w:type="dxa"/>
            <w:noWrap/>
            <w:hideMark/>
          </w:tcPr>
          <w:p w14:paraId="0C27A370"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93</w:t>
            </w:r>
          </w:p>
        </w:tc>
      </w:tr>
      <w:tr w:rsidR="009C6140" w:rsidRPr="00302170" w14:paraId="373BBE4C" w14:textId="77777777" w:rsidTr="001052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3E70DD68" w14:textId="77777777" w:rsidR="009C6140" w:rsidRPr="00302170" w:rsidRDefault="009C6140" w:rsidP="00105245">
            <w:pPr>
              <w:rPr>
                <w:rFonts w:ascii="Calibri" w:eastAsia="Times New Roman" w:hAnsi="Calibri" w:cs="Times New Roman"/>
                <w:b/>
                <w:bCs/>
                <w:sz w:val="16"/>
              </w:rPr>
            </w:pPr>
            <w:r w:rsidRPr="00302170">
              <w:rPr>
                <w:rFonts w:ascii="Calibri" w:eastAsia="Times New Roman" w:hAnsi="Calibri" w:cs="Times New Roman"/>
                <w:b/>
                <w:bCs/>
                <w:sz w:val="16"/>
              </w:rPr>
              <w:t>Regio Alphen a/d Rijn</w:t>
            </w:r>
          </w:p>
        </w:tc>
        <w:tc>
          <w:tcPr>
            <w:tcW w:w="1300" w:type="dxa"/>
            <w:noWrap/>
            <w:hideMark/>
          </w:tcPr>
          <w:p w14:paraId="0AEABE65"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rPr>
            </w:pPr>
            <w:r w:rsidRPr="00302170">
              <w:rPr>
                <w:rFonts w:ascii="Calibri" w:eastAsia="Times New Roman" w:hAnsi="Calibri" w:cs="Times New Roman"/>
                <w:b/>
                <w:bCs/>
                <w:color w:val="000000"/>
                <w:sz w:val="16"/>
              </w:rPr>
              <w:t>134.000</w:t>
            </w:r>
          </w:p>
        </w:tc>
        <w:tc>
          <w:tcPr>
            <w:tcW w:w="1920" w:type="dxa"/>
            <w:noWrap/>
            <w:hideMark/>
          </w:tcPr>
          <w:p w14:paraId="6A96D37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rPr>
            </w:pPr>
            <w:r w:rsidRPr="00302170">
              <w:rPr>
                <w:rFonts w:ascii="Calibri" w:eastAsia="Times New Roman" w:hAnsi="Calibri" w:cs="Times New Roman"/>
                <w:b/>
                <w:bCs/>
                <w:color w:val="000000"/>
                <w:sz w:val="16"/>
              </w:rPr>
              <w:t>223</w:t>
            </w:r>
          </w:p>
        </w:tc>
      </w:tr>
      <w:tr w:rsidR="009C6140" w:rsidRPr="00302170" w14:paraId="16990BAB" w14:textId="77777777" w:rsidTr="00105245">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A002E52"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Alphen a/d Rijn</w:t>
            </w:r>
          </w:p>
        </w:tc>
        <w:tc>
          <w:tcPr>
            <w:tcW w:w="1300" w:type="dxa"/>
            <w:noWrap/>
            <w:hideMark/>
          </w:tcPr>
          <w:p w14:paraId="43FDC8EB"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107.000</w:t>
            </w:r>
          </w:p>
        </w:tc>
        <w:tc>
          <w:tcPr>
            <w:tcW w:w="1920" w:type="dxa"/>
            <w:noWrap/>
            <w:hideMark/>
          </w:tcPr>
          <w:p w14:paraId="7A11C3FF"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132</w:t>
            </w:r>
          </w:p>
        </w:tc>
      </w:tr>
      <w:tr w:rsidR="009C6140" w:rsidRPr="00302170" w14:paraId="3C9A56EE" w14:textId="77777777" w:rsidTr="001052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86166AE"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Nieuwkoop</w:t>
            </w:r>
          </w:p>
        </w:tc>
        <w:tc>
          <w:tcPr>
            <w:tcW w:w="1300" w:type="dxa"/>
            <w:noWrap/>
            <w:hideMark/>
          </w:tcPr>
          <w:p w14:paraId="1BACE69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27.000</w:t>
            </w:r>
          </w:p>
        </w:tc>
        <w:tc>
          <w:tcPr>
            <w:tcW w:w="1920" w:type="dxa"/>
            <w:noWrap/>
            <w:hideMark/>
          </w:tcPr>
          <w:p w14:paraId="531736B3"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91</w:t>
            </w:r>
          </w:p>
        </w:tc>
      </w:tr>
      <w:tr w:rsidR="009C6140" w:rsidRPr="00302170" w14:paraId="74523258" w14:textId="77777777" w:rsidTr="00105245">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805C381" w14:textId="77777777" w:rsidR="009C6140" w:rsidRPr="00302170" w:rsidRDefault="009C6140" w:rsidP="00105245">
            <w:pPr>
              <w:rPr>
                <w:rFonts w:ascii="Calibri" w:eastAsia="Times New Roman" w:hAnsi="Calibri" w:cs="Times New Roman"/>
                <w:b/>
                <w:bCs/>
                <w:sz w:val="16"/>
              </w:rPr>
            </w:pPr>
            <w:r w:rsidRPr="00302170">
              <w:rPr>
                <w:rFonts w:ascii="Calibri" w:eastAsia="Times New Roman" w:hAnsi="Calibri" w:cs="Times New Roman"/>
                <w:b/>
                <w:bCs/>
                <w:sz w:val="16"/>
              </w:rPr>
              <w:t>Regio Gouda</w:t>
            </w:r>
          </w:p>
        </w:tc>
        <w:tc>
          <w:tcPr>
            <w:tcW w:w="1300" w:type="dxa"/>
            <w:noWrap/>
            <w:hideMark/>
          </w:tcPr>
          <w:p w14:paraId="6029D393"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rPr>
            </w:pPr>
            <w:r w:rsidRPr="00302170">
              <w:rPr>
                <w:rFonts w:ascii="Calibri" w:eastAsia="Times New Roman" w:hAnsi="Calibri" w:cs="Times New Roman"/>
                <w:b/>
                <w:bCs/>
                <w:color w:val="000000"/>
                <w:sz w:val="16"/>
              </w:rPr>
              <w:t>139.500</w:t>
            </w:r>
          </w:p>
        </w:tc>
        <w:tc>
          <w:tcPr>
            <w:tcW w:w="1920" w:type="dxa"/>
            <w:noWrap/>
            <w:hideMark/>
          </w:tcPr>
          <w:p w14:paraId="3FA6929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rPr>
            </w:pPr>
            <w:r w:rsidRPr="00302170">
              <w:rPr>
                <w:rFonts w:ascii="Calibri" w:eastAsia="Times New Roman" w:hAnsi="Calibri" w:cs="Times New Roman"/>
                <w:b/>
                <w:bCs/>
                <w:color w:val="000000"/>
                <w:sz w:val="16"/>
              </w:rPr>
              <w:t>143</w:t>
            </w:r>
          </w:p>
        </w:tc>
      </w:tr>
      <w:tr w:rsidR="009C6140" w:rsidRPr="00302170" w14:paraId="64201961" w14:textId="77777777" w:rsidTr="001052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0626078"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Bodegraven</w:t>
            </w:r>
          </w:p>
        </w:tc>
        <w:tc>
          <w:tcPr>
            <w:tcW w:w="1300" w:type="dxa"/>
            <w:noWrap/>
            <w:hideMark/>
          </w:tcPr>
          <w:p w14:paraId="291B90DF"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33.000</w:t>
            </w:r>
          </w:p>
        </w:tc>
        <w:tc>
          <w:tcPr>
            <w:tcW w:w="1920" w:type="dxa"/>
            <w:noWrap/>
            <w:hideMark/>
          </w:tcPr>
          <w:p w14:paraId="2191741C"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39</w:t>
            </w:r>
          </w:p>
        </w:tc>
      </w:tr>
      <w:tr w:rsidR="009C6140" w:rsidRPr="00302170" w14:paraId="4A0EA4B6" w14:textId="77777777" w:rsidTr="00105245">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3E7A9BD2"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Gouda</w:t>
            </w:r>
          </w:p>
        </w:tc>
        <w:tc>
          <w:tcPr>
            <w:tcW w:w="1300" w:type="dxa"/>
            <w:noWrap/>
            <w:hideMark/>
          </w:tcPr>
          <w:p w14:paraId="00B88B41"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71.000</w:t>
            </w:r>
          </w:p>
        </w:tc>
        <w:tc>
          <w:tcPr>
            <w:tcW w:w="1920" w:type="dxa"/>
            <w:noWrap/>
            <w:hideMark/>
          </w:tcPr>
          <w:p w14:paraId="42C2E66C"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18</w:t>
            </w:r>
          </w:p>
        </w:tc>
      </w:tr>
      <w:tr w:rsidR="009C6140" w:rsidRPr="00302170" w14:paraId="57DB5664" w14:textId="77777777" w:rsidTr="001052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ED1B981"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Vlist</w:t>
            </w:r>
          </w:p>
        </w:tc>
        <w:tc>
          <w:tcPr>
            <w:tcW w:w="1300" w:type="dxa"/>
            <w:noWrap/>
            <w:hideMark/>
          </w:tcPr>
          <w:p w14:paraId="3EC6461B"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10.000</w:t>
            </w:r>
          </w:p>
        </w:tc>
        <w:tc>
          <w:tcPr>
            <w:tcW w:w="1920" w:type="dxa"/>
            <w:noWrap/>
            <w:hideMark/>
          </w:tcPr>
          <w:p w14:paraId="577C5525"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57</w:t>
            </w:r>
          </w:p>
        </w:tc>
      </w:tr>
      <w:tr w:rsidR="009C6140" w:rsidRPr="00302170" w14:paraId="51B487D0" w14:textId="77777777" w:rsidTr="00105245">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48E0E07" w14:textId="77777777" w:rsidR="009C6140" w:rsidRPr="00302170" w:rsidRDefault="009C6140" w:rsidP="00105245">
            <w:pPr>
              <w:rPr>
                <w:rFonts w:ascii="Calibri" w:eastAsia="Times New Roman" w:hAnsi="Calibri" w:cs="Times New Roman"/>
                <w:sz w:val="16"/>
              </w:rPr>
            </w:pPr>
            <w:r w:rsidRPr="00302170">
              <w:rPr>
                <w:rFonts w:ascii="Calibri" w:eastAsia="Times New Roman" w:hAnsi="Calibri" w:cs="Times New Roman"/>
                <w:sz w:val="16"/>
              </w:rPr>
              <w:t>Gemeente Waddinxveen</w:t>
            </w:r>
          </w:p>
        </w:tc>
        <w:tc>
          <w:tcPr>
            <w:tcW w:w="1300" w:type="dxa"/>
            <w:noWrap/>
            <w:hideMark/>
          </w:tcPr>
          <w:p w14:paraId="28BCD1E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25.500</w:t>
            </w:r>
          </w:p>
        </w:tc>
        <w:tc>
          <w:tcPr>
            <w:tcW w:w="1920" w:type="dxa"/>
            <w:noWrap/>
            <w:hideMark/>
          </w:tcPr>
          <w:p w14:paraId="6ECD3699"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rPr>
            </w:pPr>
            <w:r w:rsidRPr="00302170">
              <w:rPr>
                <w:rFonts w:ascii="Calibri" w:eastAsia="Times New Roman" w:hAnsi="Calibri" w:cs="Times New Roman"/>
                <w:color w:val="000000"/>
                <w:sz w:val="16"/>
              </w:rPr>
              <w:t>29</w:t>
            </w:r>
          </w:p>
        </w:tc>
      </w:tr>
    </w:tbl>
    <w:p w14:paraId="2B32863A" w14:textId="0B2ADB83" w:rsidR="009C6140" w:rsidRPr="00551903" w:rsidRDefault="009C6140" w:rsidP="00551903">
      <w:pPr>
        <w:jc w:val="center"/>
        <w:rPr>
          <w:rFonts w:ascii="Calibri" w:eastAsia="Times New Roman" w:hAnsi="Calibri" w:cs="Times New Roman"/>
          <w:color w:val="548DD4" w:themeColor="text2" w:themeTint="99"/>
          <w:sz w:val="20"/>
        </w:rPr>
      </w:pPr>
      <w:r>
        <w:rPr>
          <w:rFonts w:ascii="Calibri" w:eastAsia="Times New Roman" w:hAnsi="Calibri" w:cs="Times New Roman"/>
          <w:b/>
          <w:color w:val="548DD4" w:themeColor="text2" w:themeTint="99"/>
          <w:sz w:val="20"/>
        </w:rPr>
        <w:t>Tabel 4.</w:t>
      </w:r>
      <w:r w:rsidRPr="00302170">
        <w:rPr>
          <w:rFonts w:ascii="Calibri" w:eastAsia="Times New Roman" w:hAnsi="Calibri" w:cs="Times New Roman"/>
          <w:b/>
          <w:color w:val="548DD4" w:themeColor="text2" w:themeTint="99"/>
          <w:sz w:val="20"/>
        </w:rPr>
        <w:t>1</w:t>
      </w:r>
      <w:r w:rsidRPr="00302170">
        <w:rPr>
          <w:rFonts w:ascii="Calibri" w:eastAsia="Times New Roman" w:hAnsi="Calibri" w:cs="Times New Roman"/>
          <w:color w:val="548DD4" w:themeColor="text2" w:themeTint="99"/>
          <w:sz w:val="20"/>
        </w:rPr>
        <w:t>: inwonertal en oppervlakte per gemeente en regio</w:t>
      </w:r>
      <w:r>
        <w:rPr>
          <w:rFonts w:ascii="Calibri" w:eastAsia="Times New Roman" w:hAnsi="Calibri" w:cs="Times New Roman"/>
          <w:color w:val="548DD4" w:themeColor="text2" w:themeTint="99"/>
          <w:sz w:val="20"/>
        </w:rPr>
        <w:t xml:space="preserve"> (CBS, 2013b)</w:t>
      </w:r>
      <w:r w:rsidRPr="00302170">
        <w:rPr>
          <w:rFonts w:ascii="Calibri" w:eastAsia="Times New Roman" w:hAnsi="Calibri" w:cs="Times New Roman"/>
          <w:color w:val="548DD4" w:themeColor="text2" w:themeTint="99"/>
          <w:sz w:val="20"/>
        </w:rPr>
        <w:t>.</w:t>
      </w:r>
    </w:p>
    <w:p w14:paraId="4C54378F" w14:textId="118846C0" w:rsidR="009C6140" w:rsidRPr="00302170" w:rsidRDefault="00551903" w:rsidP="00551903">
      <w:pPr>
        <w:pStyle w:val="Heading1"/>
      </w:pPr>
      <w:bookmarkStart w:id="46" w:name="_Toc316143579"/>
      <w:bookmarkStart w:id="47" w:name="_Toc337655430"/>
      <w:r>
        <w:t xml:space="preserve">4.3 </w:t>
      </w:r>
      <w:r w:rsidR="009C6140" w:rsidRPr="00302170">
        <w:t>Gemeentestatistiek</w:t>
      </w:r>
      <w:bookmarkEnd w:id="46"/>
      <w:bookmarkEnd w:id="47"/>
    </w:p>
    <w:p w14:paraId="55E456A5" w14:textId="77777777" w:rsidR="009C6140" w:rsidRPr="00302170" w:rsidRDefault="009C6140" w:rsidP="009C6140">
      <w:r w:rsidRPr="00302170">
        <w:t>Woerden is de belangrijkste gemeente voor de economie in regio Woerden. Hier is 35,92% van de bedrijven in de regio gevestigd, en bevindt zich 46,57% van de werk</w:t>
      </w:r>
      <w:r>
        <w:t>gelegenheid, zoals in tabel 4.</w:t>
      </w:r>
      <w:r w:rsidRPr="00302170">
        <w:t xml:space="preserve">2 te zien is. In de Ronde Venen </w:t>
      </w:r>
      <w:r>
        <w:t>be</w:t>
      </w:r>
      <w:r w:rsidRPr="00302170">
        <w:t>vinden zich bijna evenveel bedrijfsvestigingen (35%), maar deze bedrijven zorgen maar voor 28,53% van de werkgelegenheid in de regio. De werkgelegenheid in de Ronde Venen is bovendien meer verspreid over verschillende kernen (Mijdrecht 16,9%, Vinkeveen 4,3%, Abcoude 3,4%, overig 3,1%), dan in gemeente Woerden (Woerden 39,2%, Harmelen 5%, Kamerik en Zegsveld samen 2,4%). Gemeente Woerden en de Ronde Venen kennen een snellere bevolkingsgroei dan de klei</w:t>
      </w:r>
      <w:r>
        <w:t xml:space="preserve">nere gemeentes in de regio. Van </w:t>
      </w:r>
      <w:r w:rsidRPr="00302170">
        <w:t xml:space="preserve">krimp </w:t>
      </w:r>
      <w:r>
        <w:t xml:space="preserve">is </w:t>
      </w:r>
      <w:r w:rsidRPr="00302170">
        <w:t>in de kleinere gemeentes in regio Woerden nog geen sprake, terwijl dit</w:t>
      </w:r>
      <w:r>
        <w:t xml:space="preserve"> wel de trend is andere kleine kernen in Nederland, en</w:t>
      </w:r>
      <w:r w:rsidRPr="00302170">
        <w:t xml:space="preserve"> al gebeurt in de kleinere Groene Hart gemeentes in Zuid-Holland.</w:t>
      </w:r>
    </w:p>
    <w:p w14:paraId="33DCCEC9" w14:textId="77777777" w:rsidR="009C6140" w:rsidRPr="00302170" w:rsidRDefault="009C6140" w:rsidP="009C6140"/>
    <w:tbl>
      <w:tblPr>
        <w:tblStyle w:val="ColorfulGrid-Accent1"/>
        <w:tblW w:w="6445" w:type="dxa"/>
        <w:jc w:val="center"/>
        <w:tblLook w:val="04A0" w:firstRow="1" w:lastRow="0" w:firstColumn="1" w:lastColumn="0" w:noHBand="0" w:noVBand="1"/>
      </w:tblPr>
      <w:tblGrid>
        <w:gridCol w:w="1565"/>
        <w:gridCol w:w="1315"/>
        <w:gridCol w:w="1045"/>
        <w:gridCol w:w="1484"/>
        <w:gridCol w:w="1036"/>
      </w:tblGrid>
      <w:tr w:rsidR="009C6140" w:rsidRPr="00302170" w14:paraId="23E16439" w14:textId="77777777" w:rsidTr="00105245">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565" w:type="dxa"/>
            <w:shd w:val="clear" w:color="auto" w:fill="365F91" w:themeFill="accent1" w:themeFillShade="BF"/>
            <w:noWrap/>
            <w:hideMark/>
          </w:tcPr>
          <w:p w14:paraId="38F5BC80" w14:textId="77777777" w:rsidR="009C6140" w:rsidRPr="00302170" w:rsidRDefault="009C6140" w:rsidP="00105245">
            <w:pPr>
              <w:rPr>
                <w:rFonts w:eastAsia="Times New Roman" w:cs="Arial"/>
                <w:sz w:val="16"/>
                <w:szCs w:val="16"/>
              </w:rPr>
            </w:pPr>
          </w:p>
        </w:tc>
        <w:tc>
          <w:tcPr>
            <w:tcW w:w="2360" w:type="dxa"/>
            <w:gridSpan w:val="2"/>
            <w:shd w:val="clear" w:color="auto" w:fill="365F91" w:themeFill="accent1" w:themeFillShade="BF"/>
            <w:noWrap/>
            <w:hideMark/>
          </w:tcPr>
          <w:p w14:paraId="464D5F47" w14:textId="77777777" w:rsidR="009C6140" w:rsidRPr="00302170"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Vestigingen</w:t>
            </w:r>
          </w:p>
        </w:tc>
        <w:tc>
          <w:tcPr>
            <w:tcW w:w="2520" w:type="dxa"/>
            <w:gridSpan w:val="2"/>
            <w:shd w:val="clear" w:color="auto" w:fill="365F91" w:themeFill="accent1" w:themeFillShade="BF"/>
            <w:noWrap/>
            <w:hideMark/>
          </w:tcPr>
          <w:p w14:paraId="214D0C66" w14:textId="77777777" w:rsidR="009C6140" w:rsidRPr="00302170"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Arbeidsplaatsen</w:t>
            </w:r>
          </w:p>
        </w:tc>
      </w:tr>
      <w:tr w:rsidR="009C6140" w:rsidRPr="00302170" w14:paraId="2413257F"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565" w:type="dxa"/>
            <w:noWrap/>
            <w:hideMark/>
          </w:tcPr>
          <w:p w14:paraId="18CE96E8" w14:textId="77777777" w:rsidR="009C6140" w:rsidRPr="00302170" w:rsidRDefault="009C6140" w:rsidP="00105245">
            <w:pPr>
              <w:rPr>
                <w:rFonts w:eastAsia="Times New Roman" w:cs="Arial"/>
                <w:sz w:val="16"/>
                <w:szCs w:val="16"/>
              </w:rPr>
            </w:pPr>
          </w:p>
        </w:tc>
        <w:tc>
          <w:tcPr>
            <w:tcW w:w="1315" w:type="dxa"/>
            <w:shd w:val="clear" w:color="auto" w:fill="365F91" w:themeFill="accent1" w:themeFillShade="BF"/>
            <w:noWrap/>
            <w:hideMark/>
          </w:tcPr>
          <w:p w14:paraId="487FFE99"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Absoluut</w:t>
            </w:r>
          </w:p>
        </w:tc>
        <w:tc>
          <w:tcPr>
            <w:tcW w:w="1045" w:type="dxa"/>
            <w:shd w:val="clear" w:color="auto" w:fill="365F91" w:themeFill="accent1" w:themeFillShade="BF"/>
            <w:noWrap/>
            <w:hideMark/>
          </w:tcPr>
          <w:p w14:paraId="715715E3"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w:t>
            </w:r>
          </w:p>
        </w:tc>
        <w:tc>
          <w:tcPr>
            <w:tcW w:w="1484" w:type="dxa"/>
            <w:shd w:val="clear" w:color="auto" w:fill="365F91" w:themeFill="accent1" w:themeFillShade="BF"/>
            <w:noWrap/>
            <w:hideMark/>
          </w:tcPr>
          <w:p w14:paraId="34EF8B4B"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Absoluut</w:t>
            </w:r>
          </w:p>
        </w:tc>
        <w:tc>
          <w:tcPr>
            <w:tcW w:w="1036" w:type="dxa"/>
            <w:shd w:val="clear" w:color="auto" w:fill="365F91" w:themeFill="accent1" w:themeFillShade="BF"/>
            <w:noWrap/>
            <w:hideMark/>
          </w:tcPr>
          <w:p w14:paraId="64BF9063"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w:t>
            </w:r>
          </w:p>
        </w:tc>
      </w:tr>
      <w:tr w:rsidR="009C6140" w:rsidRPr="00302170" w14:paraId="0550F122" w14:textId="77777777" w:rsidTr="00105245">
        <w:trPr>
          <w:trHeight w:val="260"/>
          <w:jc w:val="center"/>
        </w:trPr>
        <w:tc>
          <w:tcPr>
            <w:cnfStyle w:val="001000000000" w:firstRow="0" w:lastRow="0" w:firstColumn="1" w:lastColumn="0" w:oddVBand="0" w:evenVBand="0" w:oddHBand="0" w:evenHBand="0" w:firstRowFirstColumn="0" w:firstRowLastColumn="0" w:lastRowFirstColumn="0" w:lastRowLastColumn="0"/>
            <w:tcW w:w="1565" w:type="dxa"/>
            <w:noWrap/>
            <w:hideMark/>
          </w:tcPr>
          <w:p w14:paraId="0D923276" w14:textId="77777777" w:rsidR="009C6140" w:rsidRPr="00302170" w:rsidRDefault="009C6140" w:rsidP="00105245">
            <w:pPr>
              <w:rPr>
                <w:rFonts w:eastAsia="Times New Roman" w:cs="Arial"/>
                <w:sz w:val="16"/>
                <w:szCs w:val="16"/>
              </w:rPr>
            </w:pPr>
            <w:r w:rsidRPr="00302170">
              <w:rPr>
                <w:rFonts w:eastAsia="Times New Roman" w:cs="Arial"/>
                <w:sz w:val="16"/>
                <w:szCs w:val="16"/>
              </w:rPr>
              <w:t>De Ronde Venen</w:t>
            </w:r>
          </w:p>
        </w:tc>
        <w:tc>
          <w:tcPr>
            <w:tcW w:w="1315" w:type="dxa"/>
            <w:noWrap/>
            <w:hideMark/>
          </w:tcPr>
          <w:p w14:paraId="3CA68A9F"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4138</w:t>
            </w:r>
          </w:p>
        </w:tc>
        <w:tc>
          <w:tcPr>
            <w:tcW w:w="1045" w:type="dxa"/>
            <w:noWrap/>
            <w:hideMark/>
          </w:tcPr>
          <w:p w14:paraId="5C20C09D"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35,0</w:t>
            </w:r>
          </w:p>
        </w:tc>
        <w:tc>
          <w:tcPr>
            <w:tcW w:w="1484" w:type="dxa"/>
            <w:noWrap/>
            <w:hideMark/>
          </w:tcPr>
          <w:p w14:paraId="6F8A327B"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13841</w:t>
            </w:r>
          </w:p>
        </w:tc>
        <w:tc>
          <w:tcPr>
            <w:tcW w:w="1036" w:type="dxa"/>
            <w:noWrap/>
            <w:hideMark/>
          </w:tcPr>
          <w:p w14:paraId="23BF84A8"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28,53</w:t>
            </w:r>
          </w:p>
        </w:tc>
      </w:tr>
      <w:tr w:rsidR="009C6140" w:rsidRPr="00302170" w14:paraId="05E223F3" w14:textId="77777777" w:rsidTr="0010524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565" w:type="dxa"/>
            <w:noWrap/>
            <w:hideMark/>
          </w:tcPr>
          <w:p w14:paraId="0D3F5F80" w14:textId="77777777" w:rsidR="009C6140" w:rsidRPr="00302170" w:rsidRDefault="009C6140" w:rsidP="00105245">
            <w:pPr>
              <w:rPr>
                <w:rFonts w:eastAsia="Times New Roman" w:cs="Arial"/>
                <w:sz w:val="16"/>
                <w:szCs w:val="16"/>
              </w:rPr>
            </w:pPr>
            <w:r w:rsidRPr="00302170">
              <w:rPr>
                <w:rFonts w:eastAsia="Times New Roman" w:cs="Arial"/>
                <w:sz w:val="16"/>
                <w:szCs w:val="16"/>
              </w:rPr>
              <w:t>Lopik</w:t>
            </w:r>
          </w:p>
        </w:tc>
        <w:tc>
          <w:tcPr>
            <w:tcW w:w="1315" w:type="dxa"/>
            <w:noWrap/>
            <w:hideMark/>
          </w:tcPr>
          <w:p w14:paraId="533F632D"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1341</w:t>
            </w:r>
          </w:p>
        </w:tc>
        <w:tc>
          <w:tcPr>
            <w:tcW w:w="1045" w:type="dxa"/>
            <w:noWrap/>
            <w:hideMark/>
          </w:tcPr>
          <w:p w14:paraId="41CC9F9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11,34</w:t>
            </w:r>
          </w:p>
        </w:tc>
        <w:tc>
          <w:tcPr>
            <w:tcW w:w="1484" w:type="dxa"/>
            <w:noWrap/>
            <w:hideMark/>
          </w:tcPr>
          <w:p w14:paraId="621379C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4504</w:t>
            </w:r>
          </w:p>
        </w:tc>
        <w:tc>
          <w:tcPr>
            <w:tcW w:w="1036" w:type="dxa"/>
            <w:noWrap/>
            <w:hideMark/>
          </w:tcPr>
          <w:p w14:paraId="2033FF9E"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9,28</w:t>
            </w:r>
          </w:p>
        </w:tc>
      </w:tr>
      <w:tr w:rsidR="009C6140" w:rsidRPr="00302170" w14:paraId="2C1CAB3B" w14:textId="77777777" w:rsidTr="00105245">
        <w:trPr>
          <w:trHeight w:val="240"/>
          <w:jc w:val="center"/>
        </w:trPr>
        <w:tc>
          <w:tcPr>
            <w:cnfStyle w:val="001000000000" w:firstRow="0" w:lastRow="0" w:firstColumn="1" w:lastColumn="0" w:oddVBand="0" w:evenVBand="0" w:oddHBand="0" w:evenHBand="0" w:firstRowFirstColumn="0" w:firstRowLastColumn="0" w:lastRowFirstColumn="0" w:lastRowLastColumn="0"/>
            <w:tcW w:w="1565" w:type="dxa"/>
            <w:noWrap/>
            <w:hideMark/>
          </w:tcPr>
          <w:p w14:paraId="4F89C2B2" w14:textId="77777777" w:rsidR="009C6140" w:rsidRPr="00302170" w:rsidRDefault="009C6140" w:rsidP="00105245">
            <w:pPr>
              <w:rPr>
                <w:rFonts w:eastAsia="Times New Roman" w:cs="Arial"/>
                <w:sz w:val="16"/>
                <w:szCs w:val="16"/>
              </w:rPr>
            </w:pPr>
            <w:r w:rsidRPr="00302170">
              <w:rPr>
                <w:rFonts w:eastAsia="Times New Roman" w:cs="Arial"/>
                <w:sz w:val="16"/>
                <w:szCs w:val="16"/>
              </w:rPr>
              <w:t>Montfoort</w:t>
            </w:r>
          </w:p>
        </w:tc>
        <w:tc>
          <w:tcPr>
            <w:tcW w:w="1315" w:type="dxa"/>
            <w:noWrap/>
            <w:hideMark/>
          </w:tcPr>
          <w:p w14:paraId="72FF00F3"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1172</w:t>
            </w:r>
          </w:p>
        </w:tc>
        <w:tc>
          <w:tcPr>
            <w:tcW w:w="1045" w:type="dxa"/>
            <w:noWrap/>
            <w:hideMark/>
          </w:tcPr>
          <w:p w14:paraId="3BD465C2"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9,91</w:t>
            </w:r>
          </w:p>
        </w:tc>
        <w:tc>
          <w:tcPr>
            <w:tcW w:w="1484" w:type="dxa"/>
            <w:noWrap/>
            <w:hideMark/>
          </w:tcPr>
          <w:p w14:paraId="5E50AA80"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4555</w:t>
            </w:r>
          </w:p>
        </w:tc>
        <w:tc>
          <w:tcPr>
            <w:tcW w:w="1036" w:type="dxa"/>
            <w:noWrap/>
            <w:hideMark/>
          </w:tcPr>
          <w:p w14:paraId="57A9E75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9,39</w:t>
            </w:r>
          </w:p>
        </w:tc>
      </w:tr>
      <w:tr w:rsidR="009C6140" w:rsidRPr="00302170" w14:paraId="038108CA" w14:textId="77777777" w:rsidTr="00105245">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565" w:type="dxa"/>
            <w:noWrap/>
            <w:hideMark/>
          </w:tcPr>
          <w:p w14:paraId="62E1B9DE" w14:textId="77777777" w:rsidR="009C6140" w:rsidRPr="00302170" w:rsidRDefault="009C6140" w:rsidP="00105245">
            <w:pPr>
              <w:rPr>
                <w:rFonts w:eastAsia="Times New Roman" w:cs="Arial"/>
                <w:sz w:val="16"/>
                <w:szCs w:val="16"/>
              </w:rPr>
            </w:pPr>
            <w:r w:rsidRPr="00302170">
              <w:rPr>
                <w:rFonts w:eastAsia="Times New Roman" w:cs="Arial"/>
                <w:sz w:val="16"/>
                <w:szCs w:val="16"/>
              </w:rPr>
              <w:t>Oudewater</w:t>
            </w:r>
          </w:p>
        </w:tc>
        <w:tc>
          <w:tcPr>
            <w:tcW w:w="1315" w:type="dxa"/>
            <w:noWrap/>
            <w:hideMark/>
          </w:tcPr>
          <w:p w14:paraId="08A465C6"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925</w:t>
            </w:r>
          </w:p>
        </w:tc>
        <w:tc>
          <w:tcPr>
            <w:tcW w:w="1045" w:type="dxa"/>
            <w:noWrap/>
            <w:hideMark/>
          </w:tcPr>
          <w:p w14:paraId="25E11487"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7,82</w:t>
            </w:r>
          </w:p>
        </w:tc>
        <w:tc>
          <w:tcPr>
            <w:tcW w:w="1484" w:type="dxa"/>
            <w:noWrap/>
            <w:hideMark/>
          </w:tcPr>
          <w:p w14:paraId="46DD5057"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3020</w:t>
            </w:r>
          </w:p>
        </w:tc>
        <w:tc>
          <w:tcPr>
            <w:tcW w:w="1036" w:type="dxa"/>
            <w:noWrap/>
            <w:hideMark/>
          </w:tcPr>
          <w:p w14:paraId="335FF685"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6,23</w:t>
            </w:r>
          </w:p>
        </w:tc>
      </w:tr>
      <w:tr w:rsidR="009C6140" w:rsidRPr="00302170" w14:paraId="2D72059B" w14:textId="77777777" w:rsidTr="00105245">
        <w:trPr>
          <w:trHeight w:val="240"/>
          <w:jc w:val="center"/>
        </w:trPr>
        <w:tc>
          <w:tcPr>
            <w:cnfStyle w:val="001000000000" w:firstRow="0" w:lastRow="0" w:firstColumn="1" w:lastColumn="0" w:oddVBand="0" w:evenVBand="0" w:oddHBand="0" w:evenHBand="0" w:firstRowFirstColumn="0" w:firstRowLastColumn="0" w:lastRowFirstColumn="0" w:lastRowLastColumn="0"/>
            <w:tcW w:w="1565" w:type="dxa"/>
            <w:noWrap/>
            <w:hideMark/>
          </w:tcPr>
          <w:p w14:paraId="083AD0E7" w14:textId="77777777" w:rsidR="009C6140" w:rsidRPr="00302170" w:rsidRDefault="009C6140" w:rsidP="00105245">
            <w:pPr>
              <w:rPr>
                <w:rFonts w:eastAsia="Times New Roman" w:cs="Arial"/>
                <w:sz w:val="16"/>
                <w:szCs w:val="16"/>
              </w:rPr>
            </w:pPr>
            <w:r w:rsidRPr="00302170">
              <w:rPr>
                <w:rFonts w:eastAsia="Times New Roman" w:cs="Arial"/>
                <w:sz w:val="16"/>
                <w:szCs w:val="16"/>
              </w:rPr>
              <w:t>Woerden</w:t>
            </w:r>
          </w:p>
        </w:tc>
        <w:tc>
          <w:tcPr>
            <w:tcW w:w="1315" w:type="dxa"/>
            <w:noWrap/>
            <w:hideMark/>
          </w:tcPr>
          <w:p w14:paraId="536CE524"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4246</w:t>
            </w:r>
          </w:p>
        </w:tc>
        <w:tc>
          <w:tcPr>
            <w:tcW w:w="1045" w:type="dxa"/>
            <w:noWrap/>
            <w:hideMark/>
          </w:tcPr>
          <w:p w14:paraId="139F6AE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35,92</w:t>
            </w:r>
          </w:p>
        </w:tc>
        <w:tc>
          <w:tcPr>
            <w:tcW w:w="1484" w:type="dxa"/>
            <w:noWrap/>
            <w:hideMark/>
          </w:tcPr>
          <w:p w14:paraId="65D4C4B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22593</w:t>
            </w:r>
          </w:p>
        </w:tc>
        <w:tc>
          <w:tcPr>
            <w:tcW w:w="1036" w:type="dxa"/>
            <w:noWrap/>
            <w:hideMark/>
          </w:tcPr>
          <w:p w14:paraId="2E8B34B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46,57</w:t>
            </w:r>
          </w:p>
        </w:tc>
      </w:tr>
      <w:tr w:rsidR="009C6140" w:rsidRPr="00302170" w14:paraId="1D3DFE92" w14:textId="77777777" w:rsidTr="0010524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565" w:type="dxa"/>
            <w:noWrap/>
            <w:hideMark/>
          </w:tcPr>
          <w:p w14:paraId="0A4DDCD6" w14:textId="77777777" w:rsidR="009C6140" w:rsidRPr="00302170" w:rsidRDefault="009C6140" w:rsidP="00105245">
            <w:pPr>
              <w:rPr>
                <w:rFonts w:eastAsia="Times New Roman" w:cs="Arial"/>
                <w:sz w:val="16"/>
                <w:szCs w:val="16"/>
              </w:rPr>
            </w:pPr>
            <w:r w:rsidRPr="00302170">
              <w:rPr>
                <w:rFonts w:eastAsia="Times New Roman" w:cs="Arial"/>
                <w:sz w:val="16"/>
                <w:szCs w:val="16"/>
              </w:rPr>
              <w:t>totaal</w:t>
            </w:r>
          </w:p>
        </w:tc>
        <w:tc>
          <w:tcPr>
            <w:tcW w:w="1315" w:type="dxa"/>
            <w:noWrap/>
            <w:hideMark/>
          </w:tcPr>
          <w:p w14:paraId="681DA2D4"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11822</w:t>
            </w:r>
          </w:p>
        </w:tc>
        <w:tc>
          <w:tcPr>
            <w:tcW w:w="1045" w:type="dxa"/>
            <w:noWrap/>
            <w:hideMark/>
          </w:tcPr>
          <w:p w14:paraId="53FC9BD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100,00</w:t>
            </w:r>
          </w:p>
        </w:tc>
        <w:tc>
          <w:tcPr>
            <w:tcW w:w="1484" w:type="dxa"/>
            <w:noWrap/>
            <w:hideMark/>
          </w:tcPr>
          <w:p w14:paraId="1CF39ED6"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48513</w:t>
            </w:r>
          </w:p>
        </w:tc>
        <w:tc>
          <w:tcPr>
            <w:tcW w:w="1036" w:type="dxa"/>
            <w:noWrap/>
            <w:hideMark/>
          </w:tcPr>
          <w:p w14:paraId="49214AC3"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100,00</w:t>
            </w:r>
          </w:p>
        </w:tc>
      </w:tr>
    </w:tbl>
    <w:p w14:paraId="6E5BF7CF" w14:textId="77777777" w:rsidR="009C6140" w:rsidRPr="00302170" w:rsidRDefault="009C6140" w:rsidP="009C6140">
      <w:pPr>
        <w:jc w:val="center"/>
        <w:rPr>
          <w:color w:val="548DD4" w:themeColor="text2" w:themeTint="99"/>
          <w:sz w:val="20"/>
          <w:szCs w:val="20"/>
        </w:rPr>
      </w:pPr>
      <w:r>
        <w:rPr>
          <w:b/>
          <w:color w:val="548DD4" w:themeColor="text2" w:themeTint="99"/>
          <w:sz w:val="20"/>
          <w:szCs w:val="20"/>
        </w:rPr>
        <w:t>Tabel 4.</w:t>
      </w:r>
      <w:r w:rsidRPr="00302170">
        <w:rPr>
          <w:b/>
          <w:color w:val="548DD4" w:themeColor="text2" w:themeTint="99"/>
          <w:sz w:val="20"/>
          <w:szCs w:val="20"/>
        </w:rPr>
        <w:t xml:space="preserve">2: </w:t>
      </w:r>
      <w:r w:rsidRPr="00302170">
        <w:rPr>
          <w:color w:val="548DD4" w:themeColor="text2" w:themeTint="99"/>
          <w:sz w:val="20"/>
          <w:szCs w:val="20"/>
        </w:rPr>
        <w:t>De verdeling van bedrijfsvestigingen en arbeidsplaatsen per gemeente in regio Woerden.</w:t>
      </w:r>
    </w:p>
    <w:p w14:paraId="593EB90F" w14:textId="77777777" w:rsidR="009C6140" w:rsidRPr="00302170" w:rsidRDefault="009C6140" w:rsidP="009C6140"/>
    <w:p w14:paraId="150CFF55" w14:textId="0EF23B2A"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Binnen de regio zijn de sectoren informatie en communicatie, onroerend goed, onderwijs, zorg en de overige dienstverlening geconcentreerd in gemeente Woerden. De bouwsector, die in de regio zeer groot is, heeft maar een bescheiden aandeel in de economie van gemeente Woerden zelf en is verspreid over de kle</w:t>
      </w:r>
      <w:r>
        <w:rPr>
          <w:rFonts w:ascii="Calibri" w:eastAsia="Times New Roman" w:hAnsi="Calibri" w:cs="Times New Roman"/>
        </w:rPr>
        <w:t>inere kernen in het gebied. De R</w:t>
      </w:r>
      <w:r w:rsidRPr="00302170">
        <w:rPr>
          <w:rFonts w:ascii="Calibri" w:eastAsia="Times New Roman" w:hAnsi="Calibri" w:cs="Times New Roman"/>
        </w:rPr>
        <w:t>onde Venen kenmerkt zich door relatief veel tr</w:t>
      </w:r>
      <w:r>
        <w:rPr>
          <w:rFonts w:ascii="Calibri" w:eastAsia="Times New Roman" w:hAnsi="Calibri" w:cs="Times New Roman"/>
        </w:rPr>
        <w:t>ansportbedrijven, recreatie en h</w:t>
      </w:r>
      <w:r w:rsidRPr="00302170">
        <w:rPr>
          <w:rFonts w:ascii="Calibri" w:eastAsia="Times New Roman" w:hAnsi="Calibri" w:cs="Times New Roman"/>
        </w:rPr>
        <w:t>oreca ten opzichte van de rest van de regio. Overige sectoren zijn verspreid over de hele regio</w:t>
      </w:r>
      <w:r>
        <w:rPr>
          <w:rFonts w:ascii="Calibri" w:eastAsia="Times New Roman" w:hAnsi="Calibri" w:cs="Times New Roman"/>
        </w:rPr>
        <w:t xml:space="preserve"> gevestigd</w:t>
      </w:r>
      <w:r w:rsidR="00551903">
        <w:rPr>
          <w:rFonts w:ascii="Calibri" w:eastAsia="Times New Roman" w:hAnsi="Calibri" w:cs="Times New Roman"/>
        </w:rPr>
        <w:t>.</w:t>
      </w:r>
    </w:p>
    <w:p w14:paraId="2EAC2BA2" w14:textId="6A126212" w:rsidR="009C6140" w:rsidRPr="00302170" w:rsidRDefault="00551903" w:rsidP="00551903">
      <w:pPr>
        <w:pStyle w:val="Heading1"/>
      </w:pPr>
      <w:bookmarkStart w:id="48" w:name="_Toc316143580"/>
      <w:bookmarkStart w:id="49" w:name="_Toc337655431"/>
      <w:r>
        <w:t xml:space="preserve">4.4 </w:t>
      </w:r>
      <w:r w:rsidR="009C6140" w:rsidRPr="00302170">
        <w:t>Groei</w:t>
      </w:r>
      <w:bookmarkEnd w:id="48"/>
      <w:bookmarkEnd w:id="49"/>
    </w:p>
    <w:p w14:paraId="1E12B1D5" w14:textId="77777777" w:rsidR="009C6140" w:rsidRDefault="009C6140" w:rsidP="009C6140">
      <w:pPr>
        <w:rPr>
          <w:rFonts w:ascii="Calibri" w:eastAsia="Times New Roman" w:hAnsi="Calibri" w:cs="Times New Roman"/>
        </w:rPr>
      </w:pPr>
      <w:r w:rsidRPr="00302170">
        <w:rPr>
          <w:rFonts w:ascii="Calibri" w:eastAsia="Times New Roman" w:hAnsi="Calibri" w:cs="Times New Roman"/>
        </w:rPr>
        <w:t>In de periode van 1997 tot 2012 is het aantal banen in de economie van regio Woerden met 24% toegenomen Dit is minder dan de groei in provincie Utrecht (</w:t>
      </w:r>
      <w:r>
        <w:rPr>
          <w:rFonts w:ascii="Calibri" w:eastAsia="Times New Roman" w:hAnsi="Calibri" w:cs="Times New Roman"/>
        </w:rPr>
        <w:t xml:space="preserve">een toename van </w:t>
      </w:r>
      <w:r w:rsidRPr="00302170">
        <w:rPr>
          <w:rFonts w:ascii="Calibri" w:eastAsia="Times New Roman" w:hAnsi="Calibri" w:cs="Times New Roman"/>
        </w:rPr>
        <w:t>30%) en Nederland als geheel (</w:t>
      </w:r>
      <w:r>
        <w:rPr>
          <w:rFonts w:ascii="Calibri" w:eastAsia="Times New Roman" w:hAnsi="Calibri" w:cs="Times New Roman"/>
        </w:rPr>
        <w:t xml:space="preserve">een toename van </w:t>
      </w:r>
      <w:r w:rsidRPr="00302170">
        <w:rPr>
          <w:rFonts w:ascii="Calibri" w:eastAsia="Times New Roman" w:hAnsi="Calibri" w:cs="Times New Roman"/>
        </w:rPr>
        <w:t xml:space="preserve">26%). Tussen 1997 en 2002 groeide de werkgelegenheid in regio Woerden met 20%. Dit is </w:t>
      </w:r>
      <w:r>
        <w:rPr>
          <w:rFonts w:ascii="Calibri" w:eastAsia="Times New Roman" w:hAnsi="Calibri" w:cs="Times New Roman"/>
        </w:rPr>
        <w:t>drie procentpunt meer</w:t>
      </w:r>
      <w:r w:rsidRPr="00302170">
        <w:rPr>
          <w:rFonts w:ascii="Calibri" w:eastAsia="Times New Roman" w:hAnsi="Calibri" w:cs="Times New Roman"/>
        </w:rPr>
        <w:t xml:space="preserve"> dan het Nederlands gemiddelde (17%</w:t>
      </w:r>
      <w:r>
        <w:rPr>
          <w:rFonts w:ascii="Calibri" w:eastAsia="Times New Roman" w:hAnsi="Calibri" w:cs="Times New Roman"/>
        </w:rPr>
        <w:t xml:space="preserve"> groei</w:t>
      </w:r>
      <w:r w:rsidRPr="00302170">
        <w:rPr>
          <w:rFonts w:ascii="Calibri" w:eastAsia="Times New Roman" w:hAnsi="Calibri" w:cs="Times New Roman"/>
        </w:rPr>
        <w:t xml:space="preserve">) </w:t>
      </w:r>
      <w:r>
        <w:rPr>
          <w:rFonts w:ascii="Calibri" w:eastAsia="Times New Roman" w:hAnsi="Calibri" w:cs="Times New Roman"/>
        </w:rPr>
        <w:t>maar iets minder dan</w:t>
      </w:r>
      <w:r w:rsidRPr="00302170">
        <w:rPr>
          <w:rFonts w:ascii="Calibri" w:eastAsia="Times New Roman" w:hAnsi="Calibri" w:cs="Times New Roman"/>
        </w:rPr>
        <w:t xml:space="preserve"> provincie Utrecht (22%</w:t>
      </w:r>
      <w:r>
        <w:rPr>
          <w:rFonts w:ascii="Calibri" w:eastAsia="Times New Roman" w:hAnsi="Calibri" w:cs="Times New Roman"/>
        </w:rPr>
        <w:t xml:space="preserve"> groei</w:t>
      </w:r>
      <w:r w:rsidRPr="00302170">
        <w:rPr>
          <w:rFonts w:ascii="Calibri" w:eastAsia="Times New Roman" w:hAnsi="Calibri" w:cs="Times New Roman"/>
        </w:rPr>
        <w:t>). Daarna vlakte de groei in Woerden net als in d</w:t>
      </w:r>
      <w:r>
        <w:rPr>
          <w:rFonts w:ascii="Calibri" w:eastAsia="Times New Roman" w:hAnsi="Calibri" w:cs="Times New Roman"/>
        </w:rPr>
        <w:t>e rest van Nederland af tot 6%. In deze periode zwakte de groei van provincie Utrecht nog sterker af, tot 2%.</w:t>
      </w:r>
    </w:p>
    <w:p w14:paraId="4E3CF2E6"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Tussen 2007 en 2012 kromp de werkgelegenheid in regio Woerden zelfs met 2%, terwijl Nederland en provincie Utrecht nog zeer langzaam groeide. Deze krimp in werkgelegenheid komt voornamelijk doordat enkele zeer grote industriële bedrijven regio Woerden in korte tijd hebben verlaten.</w:t>
      </w:r>
    </w:p>
    <w:p w14:paraId="133F3614" w14:textId="0D870C24" w:rsidR="009C6140" w:rsidRDefault="009C6140" w:rsidP="009C6140">
      <w:pPr>
        <w:rPr>
          <w:rFonts w:ascii="Calibri" w:eastAsia="Times New Roman" w:hAnsi="Calibri" w:cs="Times New Roman"/>
        </w:rPr>
      </w:pPr>
      <w:r w:rsidRPr="00302170">
        <w:rPr>
          <w:rFonts w:ascii="Calibri" w:eastAsia="Times New Roman" w:hAnsi="Calibri" w:cs="Times New Roman"/>
        </w:rPr>
        <w:tab/>
        <w:t xml:space="preserve">De ontwikkelingen van de andere regio’s in het Groene Hart volgen een ander patroon dan dat van regio Woerden. </w:t>
      </w:r>
      <w:r w:rsidR="00BF1BA7">
        <w:rPr>
          <w:rFonts w:ascii="Calibri" w:eastAsia="Times New Roman" w:hAnsi="Calibri" w:cs="Times New Roman"/>
        </w:rPr>
        <w:t>In Gouda en Alphen aan den Rijn groeide het aantal banen het hardst tussen 1997 en 2002</w:t>
      </w:r>
      <w:r w:rsidRPr="00302170">
        <w:rPr>
          <w:rFonts w:ascii="Calibri" w:eastAsia="Times New Roman" w:hAnsi="Calibri" w:cs="Times New Roman"/>
        </w:rPr>
        <w:t xml:space="preserve">. In Alphen kromp de werkgelegenheid echter 1% in de vijf jaar daarna, terwijl </w:t>
      </w:r>
      <w:r>
        <w:rPr>
          <w:rFonts w:ascii="Calibri" w:eastAsia="Times New Roman" w:hAnsi="Calibri" w:cs="Times New Roman"/>
        </w:rPr>
        <w:t>regio Woerden, regio Gouda</w:t>
      </w:r>
      <w:r w:rsidRPr="00302170">
        <w:rPr>
          <w:rFonts w:ascii="Calibri" w:eastAsia="Times New Roman" w:hAnsi="Calibri" w:cs="Times New Roman"/>
        </w:rPr>
        <w:t xml:space="preserve">, </w:t>
      </w:r>
      <w:r>
        <w:rPr>
          <w:rFonts w:ascii="Calibri" w:eastAsia="Times New Roman" w:hAnsi="Calibri" w:cs="Times New Roman"/>
        </w:rPr>
        <w:t>en Nederland als geheel bleven groeien.</w:t>
      </w:r>
    </w:p>
    <w:p w14:paraId="7B0A4C8B"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Tussen 2007 en 2012, toen de rest van Nederland minder goed presteerde, wist Alphen aan den Rijn juist weer met 4% te groeien. Regio Gouda groeide tussen 1997 en 2002 al minder hard dan de andere regio’s, en kromp sterk in werkgelegenheid in de vijf jaar daarna (21%). Net als in Alphen herstelde het aantal banen hier weer enigszins tussen 2007 en 2012, maar er bleef sprake van 2% krimp</w:t>
      </w:r>
      <w:r>
        <w:rPr>
          <w:rFonts w:ascii="Calibri" w:eastAsia="Times New Roman" w:hAnsi="Calibri" w:cs="Times New Roman"/>
        </w:rPr>
        <w:t>. Afbeelding 4.2 toont de ontwikkeling van het aantal banen in regio Woerden de vergelijkingsregio’s</w:t>
      </w:r>
      <w:r w:rsidRPr="00302170">
        <w:rPr>
          <w:rFonts w:ascii="Calibri" w:eastAsia="Times New Roman" w:hAnsi="Calibri" w:cs="Times New Roman"/>
        </w:rPr>
        <w:t>.</w:t>
      </w:r>
    </w:p>
    <w:p w14:paraId="552761F0" w14:textId="77777777" w:rsidR="009C6140" w:rsidRPr="00302170" w:rsidRDefault="009C6140" w:rsidP="009C6140">
      <w:pPr>
        <w:rPr>
          <w:rFonts w:ascii="Calibri" w:eastAsia="Times New Roman" w:hAnsi="Calibri" w:cs="Times New Roman"/>
        </w:rPr>
      </w:pPr>
    </w:p>
    <w:p w14:paraId="62E50E53" w14:textId="77777777" w:rsidR="009C6140" w:rsidRPr="00302170" w:rsidRDefault="009C6140" w:rsidP="009C6140">
      <w:pPr>
        <w:rPr>
          <w:rFonts w:ascii="Calibri" w:eastAsia="Times New Roman" w:hAnsi="Calibri" w:cs="Times New Roman"/>
          <w:b/>
          <w:color w:val="000000"/>
          <w:sz w:val="20"/>
        </w:rPr>
      </w:pPr>
      <w:r w:rsidRPr="00302170">
        <w:rPr>
          <w:rFonts w:ascii="Calibri" w:eastAsia="Times New Roman" w:hAnsi="Calibri" w:cs="Times New Roman"/>
          <w:b/>
          <w:noProof/>
          <w:color w:val="000000"/>
          <w:sz w:val="20"/>
          <w:lang w:val="en-US" w:eastAsia="en-US"/>
        </w:rPr>
        <w:drawing>
          <wp:inline distT="0" distB="0" distL="0" distR="0" wp14:anchorId="73BA47F8" wp14:editId="4C67ECBF">
            <wp:extent cx="5270500" cy="1978516"/>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1978516"/>
                    </a:xfrm>
                    <a:prstGeom prst="rect">
                      <a:avLst/>
                    </a:prstGeom>
                    <a:noFill/>
                    <a:ln>
                      <a:noFill/>
                    </a:ln>
                  </pic:spPr>
                </pic:pic>
              </a:graphicData>
            </a:graphic>
          </wp:inline>
        </w:drawing>
      </w:r>
    </w:p>
    <w:p w14:paraId="086373B4" w14:textId="77777777" w:rsidR="009C6140" w:rsidRPr="00302170" w:rsidRDefault="009C6140" w:rsidP="009C6140">
      <w:pPr>
        <w:jc w:val="center"/>
        <w:rPr>
          <w:rFonts w:ascii="Calibri" w:eastAsia="Times New Roman" w:hAnsi="Calibri" w:cs="Times New Roman"/>
          <w:color w:val="548DD4" w:themeColor="text2" w:themeTint="99"/>
          <w:sz w:val="20"/>
        </w:rPr>
      </w:pPr>
      <w:r w:rsidRPr="00302170">
        <w:rPr>
          <w:rFonts w:ascii="Calibri" w:eastAsia="Times New Roman" w:hAnsi="Calibri" w:cs="Times New Roman"/>
          <w:b/>
          <w:color w:val="548DD4" w:themeColor="text2" w:themeTint="99"/>
          <w:sz w:val="20"/>
        </w:rPr>
        <w:t>Afb</w:t>
      </w:r>
      <w:r>
        <w:rPr>
          <w:rFonts w:ascii="Calibri" w:eastAsia="Times New Roman" w:hAnsi="Calibri" w:cs="Times New Roman"/>
          <w:b/>
          <w:color w:val="548DD4" w:themeColor="text2" w:themeTint="99"/>
          <w:sz w:val="20"/>
        </w:rPr>
        <w:t>eelding 4.2</w:t>
      </w:r>
      <w:r w:rsidRPr="00302170">
        <w:rPr>
          <w:rFonts w:ascii="Calibri" w:eastAsia="Times New Roman" w:hAnsi="Calibri" w:cs="Times New Roman"/>
          <w:b/>
          <w:color w:val="548DD4" w:themeColor="text2" w:themeTint="99"/>
          <w:sz w:val="20"/>
        </w:rPr>
        <w:t xml:space="preserve">: </w:t>
      </w:r>
      <w:r w:rsidRPr="00302170">
        <w:rPr>
          <w:rFonts w:ascii="Calibri" w:eastAsia="Times New Roman" w:hAnsi="Calibri" w:cs="Times New Roman"/>
          <w:color w:val="548DD4" w:themeColor="text2" w:themeTint="99"/>
          <w:sz w:val="20"/>
        </w:rPr>
        <w:t>Ontwikkeling van het totaal aantal banen tussen 1997 en 2012 in de regio’s Woerden, Gouda en Alphen aan den Rijn.</w:t>
      </w:r>
    </w:p>
    <w:p w14:paraId="6A5A62EE" w14:textId="77777777" w:rsidR="009C6140" w:rsidRPr="00302170" w:rsidRDefault="009C6140" w:rsidP="009C6140">
      <w:pPr>
        <w:rPr>
          <w:rFonts w:ascii="Calibri" w:eastAsia="Times New Roman" w:hAnsi="Calibri" w:cs="Times New Roman"/>
        </w:rPr>
      </w:pPr>
    </w:p>
    <w:p w14:paraId="28923A8D"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Het vertrekken van grote bedrijven heeft een grote invloed gehad op de arbeidsmarkt in regio Woerden. Veel mensen die eerst in de industrie werkten, zijn nu actief in de dienstensector. Het aantal bedrijfsvestigingen in regio Woerden verdubbelde tussen 1997 en 2012, met een stijging van 110% procent. Doordat steeds meer mensen als zelfstandige zonder personeel geregistreerd staan, is het aantal bedrijven bijna negen keer harder gegroeid dan het aantal arbeidsplaatsen. Iedere vijf jaar kwam er ongeveer een derde van het bestaande aantal bedrijfsvestigingen bij.</w:t>
      </w:r>
    </w:p>
    <w:p w14:paraId="0CDCF0E4"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Ook in provincie Utrecht groeide het aantal bedrijfsvestigingen tussen 1997 en 2012 harder dan het aantal arbeidsplaatsen, met 128%. In Nederland als geheel is het aantal bedrijfsvestigingen met 84% gegroeid.</w:t>
      </w:r>
    </w:p>
    <w:p w14:paraId="398D178C" w14:textId="7DD46317" w:rsidR="009C6140" w:rsidRPr="00302170" w:rsidRDefault="009C6140" w:rsidP="00551903">
      <w:pPr>
        <w:ind w:firstLine="720"/>
        <w:rPr>
          <w:rFonts w:ascii="Calibri" w:eastAsia="Times New Roman" w:hAnsi="Calibri" w:cs="Times New Roman"/>
        </w:rPr>
      </w:pPr>
      <w:r w:rsidRPr="00302170">
        <w:rPr>
          <w:rFonts w:ascii="Calibri" w:eastAsia="Times New Roman" w:hAnsi="Calibri" w:cs="Times New Roman"/>
        </w:rPr>
        <w:t>Per nieuwe baan zijn er in regio Woerden</w:t>
      </w:r>
      <w:r>
        <w:rPr>
          <w:rFonts w:ascii="Calibri" w:eastAsia="Times New Roman" w:hAnsi="Calibri" w:cs="Times New Roman"/>
        </w:rPr>
        <w:t xml:space="preserve"> dus</w:t>
      </w:r>
      <w:r w:rsidRPr="00302170">
        <w:rPr>
          <w:rFonts w:ascii="Calibri" w:eastAsia="Times New Roman" w:hAnsi="Calibri" w:cs="Times New Roman"/>
        </w:rPr>
        <w:t xml:space="preserve"> veel meer nieuwe bedrijfsvestigingen bijgekomen dan in de provincie, of het land. Dit komt voornamelijk door het verhuizen van grote bedrijven, waarna inwoners van regio Woerden voor zichzelf zijn gaan werken als ZZP’er. Als eenmansbedrijven buiten beschouwing gelaten worden, is het aantal bedrijfsvestigingen met 25% toegenomen in regio Woerden, ongeveer gelijk aan de groei in werkgelegenheid. In de sectoren recreatie, cultuur en sport, onderwijs, bouw en informatie en communicatie is iets meer dan de helft van de nieuwe bedrijven een eenmansbedrijf. In tegenstelling tot sectoren als de handel en industrie is voor deze sectoren weinig startkapitaal nodig. Voor veel werk is immers alleen de juiste kennis, de juiste contacten en een computer nodig om het uit te kunnen voeren</w:t>
      </w:r>
      <w:r>
        <w:rPr>
          <w:rFonts w:ascii="Calibri" w:eastAsia="Times New Roman" w:hAnsi="Calibri" w:cs="Times New Roman"/>
        </w:rPr>
        <w:t>. Om even efficiënt te kunnen werken als een grote organisatie zullen de zelfstandigen echter goed samen moeten werken. Om echt succesvol te zijn hebben ZZP’ers, en ook het MKB een goed netwerk nodig. Het succes van de regio zal sterk liggen in de mate waarin dit netwerk tot stand komt</w:t>
      </w:r>
      <w:r w:rsidRPr="00302170">
        <w:rPr>
          <w:rFonts w:ascii="Calibri" w:eastAsia="Times New Roman" w:hAnsi="Calibri" w:cs="Times New Roman"/>
        </w:rPr>
        <w:t xml:space="preserve"> (Bates, 1995</w:t>
      </w:r>
      <w:r>
        <w:rPr>
          <w:rFonts w:ascii="Calibri" w:eastAsia="Times New Roman" w:hAnsi="Calibri" w:cs="Times New Roman"/>
        </w:rPr>
        <w:t>; CBS, 2012</w:t>
      </w:r>
      <w:r w:rsidRPr="00302170">
        <w:rPr>
          <w:rFonts w:ascii="Calibri" w:eastAsia="Times New Roman" w:hAnsi="Calibri" w:cs="Times New Roman"/>
        </w:rPr>
        <w:t>).</w:t>
      </w:r>
      <w:r>
        <w:rPr>
          <w:rFonts w:ascii="Calibri" w:eastAsia="Times New Roman" w:hAnsi="Calibri" w:cs="Times New Roman"/>
        </w:rPr>
        <w:t xml:space="preserve"> </w:t>
      </w:r>
    </w:p>
    <w:p w14:paraId="74CD30AB" w14:textId="44ED4D6B" w:rsidR="009C6140" w:rsidRDefault="00426A32" w:rsidP="00551903">
      <w:pPr>
        <w:pStyle w:val="Heading1"/>
      </w:pPr>
      <w:bookmarkStart w:id="50" w:name="_Toc316143581"/>
      <w:bookmarkStart w:id="51" w:name="_Toc337655432"/>
      <w:r>
        <w:t xml:space="preserve">4.5 </w:t>
      </w:r>
      <w:r w:rsidR="009C6140" w:rsidRPr="00302170">
        <w:t>Sectorale verdeling werkgelegenheid</w:t>
      </w:r>
      <w:bookmarkEnd w:id="50"/>
      <w:bookmarkEnd w:id="51"/>
    </w:p>
    <w:p w14:paraId="7ED11604" w14:textId="77777777" w:rsidR="009C6140" w:rsidRDefault="009C6140" w:rsidP="009C6140">
      <w:pPr>
        <w:outlineLvl w:val="0"/>
        <w:rPr>
          <w:rFonts w:ascii="Calibri" w:eastAsia="Times New Roman" w:hAnsi="Calibri" w:cs="Times New Roman"/>
        </w:rPr>
      </w:pPr>
      <w:r>
        <w:rPr>
          <w:rFonts w:ascii="Calibri" w:eastAsia="Times New Roman" w:hAnsi="Calibri" w:cs="Times New Roman"/>
        </w:rPr>
        <w:t xml:space="preserve">Om te laten zien hoe de sectoren in regio Woerden zich verhouden ten opzichte van Nederland en provincie Utrecht, wordt gebruik gemaakt van Locatie Quotiënten (LQ). LQ’s laten zien hoe groot de rol van een sector in een regio is ten opzichte van een groter gebied. </w:t>
      </w:r>
      <w:r w:rsidRPr="00302170">
        <w:rPr>
          <w:rFonts w:ascii="Calibri" w:eastAsia="Times New Roman" w:hAnsi="Calibri" w:cs="Times New Roman"/>
        </w:rPr>
        <w:t>Een score van 3,37 laat bijvoorbeeld zien dat het percentage werkende mensen in regio Woerden 3,37 keer zo hoog is als in Nederland</w:t>
      </w:r>
      <w:r>
        <w:rPr>
          <w:rFonts w:ascii="Calibri" w:eastAsia="Times New Roman" w:hAnsi="Calibri" w:cs="Times New Roman"/>
        </w:rPr>
        <w:t>. Bij een negatieve score is het aandeel van de sector in de Woerden juist kleiner dan in de grotere regio. In afbeelding 4.3 worden de LQ’s van de sbi-klassen in Woerden ten opzichte van de provincie en Nederland getoond.</w:t>
      </w:r>
    </w:p>
    <w:p w14:paraId="36468812" w14:textId="77777777" w:rsidR="009C6140" w:rsidRPr="008C2CB9" w:rsidRDefault="009C6140" w:rsidP="009C6140">
      <w:pPr>
        <w:outlineLvl w:val="0"/>
        <w:rPr>
          <w:rFonts w:ascii="Calibri" w:eastAsia="Times New Roman" w:hAnsi="Calibri" w:cs="Times New Roman"/>
        </w:rPr>
      </w:pPr>
    </w:p>
    <w:p w14:paraId="4ADEF4AD" w14:textId="77777777" w:rsidR="009C6140" w:rsidRPr="00302170" w:rsidRDefault="009C6140" w:rsidP="009C6140">
      <w:pPr>
        <w:rPr>
          <w:rFonts w:ascii="Calibri" w:eastAsia="Times New Roman" w:hAnsi="Calibri" w:cs="Times New Roman"/>
          <w:b/>
          <w:color w:val="000000"/>
          <w:sz w:val="20"/>
        </w:rPr>
      </w:pPr>
      <w:r w:rsidRPr="00302170">
        <w:rPr>
          <w:rFonts w:ascii="Calibri" w:eastAsia="Times New Roman" w:hAnsi="Calibri" w:cs="Times New Roman"/>
          <w:b/>
          <w:noProof/>
          <w:color w:val="000000"/>
          <w:sz w:val="20"/>
          <w:lang w:val="en-US" w:eastAsia="en-US"/>
        </w:rPr>
        <w:drawing>
          <wp:inline distT="0" distB="0" distL="0" distR="0" wp14:anchorId="49F22916" wp14:editId="6A1F18B1">
            <wp:extent cx="5270500" cy="2357755"/>
            <wp:effectExtent l="0" t="0" r="1270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woerden lq.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2357755"/>
                    </a:xfrm>
                    <a:prstGeom prst="rect">
                      <a:avLst/>
                    </a:prstGeom>
                  </pic:spPr>
                </pic:pic>
              </a:graphicData>
            </a:graphic>
          </wp:inline>
        </w:drawing>
      </w:r>
    </w:p>
    <w:p w14:paraId="665D7E64" w14:textId="77777777" w:rsidR="009C6140" w:rsidRDefault="009C6140" w:rsidP="009C6140">
      <w:pPr>
        <w:jc w:val="center"/>
        <w:rPr>
          <w:color w:val="548DD4" w:themeColor="text2" w:themeTint="99"/>
          <w:sz w:val="20"/>
          <w:szCs w:val="20"/>
        </w:rPr>
      </w:pPr>
      <w:r>
        <w:rPr>
          <w:b/>
          <w:color w:val="548DD4" w:themeColor="text2" w:themeTint="99"/>
          <w:sz w:val="20"/>
          <w:szCs w:val="20"/>
        </w:rPr>
        <w:t>Afbeelding 4.3</w:t>
      </w:r>
      <w:r w:rsidRPr="00302170">
        <w:rPr>
          <w:color w:val="548DD4" w:themeColor="text2" w:themeTint="99"/>
          <w:sz w:val="20"/>
          <w:szCs w:val="20"/>
        </w:rPr>
        <w:t>: Verhouding werkgelegenheid (LQ) per sector in regio Woerden ten opzichte van provincie Utrecht en Nederland in 2012.</w:t>
      </w:r>
      <w:r>
        <w:rPr>
          <w:color w:val="548DD4" w:themeColor="text2" w:themeTint="99"/>
          <w:sz w:val="20"/>
          <w:szCs w:val="20"/>
        </w:rPr>
        <w:t xml:space="preserve"> De nullijn representeert het aandeel dat de industrie in de provincie of Nederland heeft, de staven geven aan hoe sterk regio Woerden hier vanaf wijkt.</w:t>
      </w:r>
    </w:p>
    <w:p w14:paraId="2BC6B199" w14:textId="77777777" w:rsidR="009C6140" w:rsidRDefault="009C6140" w:rsidP="009C6140">
      <w:pPr>
        <w:rPr>
          <w:color w:val="548DD4" w:themeColor="text2" w:themeTint="99"/>
          <w:sz w:val="20"/>
          <w:szCs w:val="20"/>
        </w:rPr>
      </w:pPr>
    </w:p>
    <w:p w14:paraId="00980A4F" w14:textId="77777777" w:rsidR="009C6140" w:rsidRPr="00296B24" w:rsidRDefault="009C6140" w:rsidP="009C6140">
      <w:r w:rsidRPr="00296B24">
        <w:t>Landbouw is de grootste uitschieter qua Locatie quotiënten in Woerden.</w:t>
      </w:r>
      <w:r>
        <w:t xml:space="preserve"> De sector heeft een 81% grotere rol in de Woerdense economie dan in die van de gemiddelde Nederlandse regio, en is naar verhouding 3,37 keer zo groot als gemiddeld in de provincie. Qua totale werkgelegenheid is de sector echter relatief klein. Ook de bouw en handel zijn sterker vertegenwoordigd in regio Woerden dan gemiddeld in de provincie en het land. Informatie en communicatie heeft een iets groter aandeel in Woerden dan in Nederland als geheel, maar blijft juist iets achter bij provincie Utrecht. Financiële dienstverlening is het kleinst in Woerden vergeleken met de grotere economieën. Deze sector concentreert zich sterk in grote steden.</w:t>
      </w:r>
    </w:p>
    <w:p w14:paraId="63D0365D" w14:textId="77777777" w:rsidR="009C6140" w:rsidRDefault="009C6140" w:rsidP="009C6140">
      <w:pPr>
        <w:ind w:firstLine="720"/>
        <w:outlineLvl w:val="0"/>
      </w:pPr>
      <w:r w:rsidRPr="009A36A6">
        <w:rPr>
          <w:rFonts w:ascii="Calibri" w:eastAsia="Times New Roman" w:hAnsi="Calibri" w:cs="Times New Roman"/>
        </w:rPr>
        <w:t>Naast het locatie quotiënt, dat aangeeft hoe sterk de omvang van een sector overeenkomt met de omvang van een groter gebied, wordt ook gekeken naar een divergentiemaat.</w:t>
      </w:r>
      <w:r>
        <w:rPr>
          <w:rFonts w:ascii="Calibri" w:eastAsia="Times New Roman" w:hAnsi="Calibri" w:cs="Times New Roman"/>
        </w:rPr>
        <w:t xml:space="preserve"> Deze maat is ontwikkeld door Paul Krugman (1999) en geeft aan in hoeverre verschillende regio’s met elkaar overlappen of juist van elkaar afwijken qua sectoropbouw. Krugman’s formule levert een getal tussen de nul en de twee op. Bij nul hebben de twee vergeleken regio’s exact dezelfde  verhoudingen qua sectoren en concurreren de regio’s dus sterk met elkaar. Bij een score van twee is er juist geen enkele overlap tussen de twee regio’s qua sectoren en vullen de regio’s elkaar aan.</w:t>
      </w:r>
    </w:p>
    <w:p w14:paraId="45C27A6F" w14:textId="77777777" w:rsidR="009C6140" w:rsidRDefault="009C6140" w:rsidP="009C6140">
      <w:pPr>
        <w:outlineLvl w:val="0"/>
      </w:pPr>
    </w:p>
    <w:tbl>
      <w:tblPr>
        <w:tblStyle w:val="ColorfulGrid-Accent1"/>
        <w:tblW w:w="8680" w:type="dxa"/>
        <w:tblLook w:val="04A0" w:firstRow="1" w:lastRow="0" w:firstColumn="1" w:lastColumn="0" w:noHBand="0" w:noVBand="1"/>
      </w:tblPr>
      <w:tblGrid>
        <w:gridCol w:w="1780"/>
        <w:gridCol w:w="1920"/>
        <w:gridCol w:w="1920"/>
        <w:gridCol w:w="1760"/>
        <w:gridCol w:w="1300"/>
      </w:tblGrid>
      <w:tr w:rsidR="009C6140" w:rsidRPr="00F8244A" w14:paraId="38978A53" w14:textId="77777777" w:rsidTr="0010524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80" w:type="dxa"/>
            <w:shd w:val="clear" w:color="auto" w:fill="4F81BD" w:themeFill="accent1"/>
            <w:noWrap/>
            <w:hideMark/>
          </w:tcPr>
          <w:p w14:paraId="50DFC1CD" w14:textId="77777777" w:rsidR="009C6140" w:rsidRPr="00F8244A" w:rsidRDefault="009C6140" w:rsidP="00105245">
            <w:pPr>
              <w:rPr>
                <w:rFonts w:eastAsia="Times New Roman" w:cs="Arial"/>
                <w:color w:val="000000"/>
                <w:sz w:val="20"/>
                <w:szCs w:val="26"/>
              </w:rPr>
            </w:pPr>
          </w:p>
        </w:tc>
        <w:tc>
          <w:tcPr>
            <w:tcW w:w="1920" w:type="dxa"/>
            <w:shd w:val="clear" w:color="auto" w:fill="4F81BD" w:themeFill="accent1"/>
            <w:noWrap/>
            <w:hideMark/>
          </w:tcPr>
          <w:p w14:paraId="331AA845" w14:textId="77777777" w:rsidR="009C6140" w:rsidRPr="00F8244A"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6"/>
              </w:rPr>
            </w:pPr>
            <w:r w:rsidRPr="00F8244A">
              <w:rPr>
                <w:rFonts w:eastAsia="Times New Roman" w:cs="Arial"/>
                <w:color w:val="FFFFFF" w:themeColor="background1"/>
                <w:sz w:val="20"/>
                <w:szCs w:val="26"/>
              </w:rPr>
              <w:t>Gouda</w:t>
            </w:r>
          </w:p>
        </w:tc>
        <w:tc>
          <w:tcPr>
            <w:tcW w:w="1920" w:type="dxa"/>
            <w:shd w:val="clear" w:color="auto" w:fill="4F81BD" w:themeFill="accent1"/>
            <w:noWrap/>
            <w:hideMark/>
          </w:tcPr>
          <w:p w14:paraId="20B62DE5" w14:textId="77777777" w:rsidR="009C6140" w:rsidRPr="00F8244A"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6"/>
              </w:rPr>
            </w:pPr>
            <w:r w:rsidRPr="00F8244A">
              <w:rPr>
                <w:rFonts w:eastAsia="Times New Roman" w:cs="Arial"/>
                <w:color w:val="FFFFFF" w:themeColor="background1"/>
                <w:sz w:val="20"/>
                <w:szCs w:val="26"/>
              </w:rPr>
              <w:t>Alphen a/d Rijn</w:t>
            </w:r>
          </w:p>
        </w:tc>
        <w:tc>
          <w:tcPr>
            <w:tcW w:w="1760" w:type="dxa"/>
            <w:shd w:val="clear" w:color="auto" w:fill="4F81BD" w:themeFill="accent1"/>
            <w:noWrap/>
            <w:hideMark/>
          </w:tcPr>
          <w:p w14:paraId="080B60F8" w14:textId="77777777" w:rsidR="009C6140" w:rsidRPr="00F8244A"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6"/>
              </w:rPr>
            </w:pPr>
            <w:r w:rsidRPr="00F8244A">
              <w:rPr>
                <w:rFonts w:eastAsia="Times New Roman" w:cs="Arial"/>
                <w:color w:val="FFFFFF" w:themeColor="background1"/>
                <w:sz w:val="20"/>
                <w:szCs w:val="26"/>
              </w:rPr>
              <w:t>Provincie Utrecht</w:t>
            </w:r>
          </w:p>
        </w:tc>
        <w:tc>
          <w:tcPr>
            <w:tcW w:w="1300" w:type="dxa"/>
            <w:shd w:val="clear" w:color="auto" w:fill="4F81BD" w:themeFill="accent1"/>
            <w:noWrap/>
            <w:hideMark/>
          </w:tcPr>
          <w:p w14:paraId="3793B51A" w14:textId="77777777" w:rsidR="009C6140" w:rsidRPr="00F8244A"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6"/>
              </w:rPr>
            </w:pPr>
            <w:r w:rsidRPr="00F8244A">
              <w:rPr>
                <w:rFonts w:eastAsia="Times New Roman" w:cs="Arial"/>
                <w:color w:val="FFFFFF" w:themeColor="background1"/>
                <w:sz w:val="20"/>
                <w:szCs w:val="26"/>
              </w:rPr>
              <w:t>Nederland</w:t>
            </w:r>
          </w:p>
        </w:tc>
      </w:tr>
      <w:tr w:rsidR="009C6140" w:rsidRPr="00F8244A" w14:paraId="663047DA" w14:textId="77777777" w:rsidTr="001052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8A270DD" w14:textId="77777777" w:rsidR="009C6140" w:rsidRPr="00F8244A" w:rsidRDefault="009C6140" w:rsidP="00105245">
            <w:pPr>
              <w:rPr>
                <w:rFonts w:eastAsia="Times New Roman" w:cs="Arial"/>
                <w:sz w:val="20"/>
                <w:szCs w:val="26"/>
              </w:rPr>
            </w:pPr>
            <w:r>
              <w:rPr>
                <w:rFonts w:eastAsia="Times New Roman" w:cs="Arial"/>
                <w:sz w:val="20"/>
                <w:szCs w:val="26"/>
              </w:rPr>
              <w:t>Werkgelegenheid</w:t>
            </w:r>
          </w:p>
        </w:tc>
        <w:tc>
          <w:tcPr>
            <w:tcW w:w="1920" w:type="dxa"/>
            <w:noWrap/>
            <w:hideMark/>
          </w:tcPr>
          <w:p w14:paraId="7AD09889" w14:textId="77777777" w:rsidR="009C6140" w:rsidRPr="00F8244A"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6"/>
              </w:rPr>
            </w:pPr>
            <w:r w:rsidRPr="00F8244A">
              <w:rPr>
                <w:rFonts w:eastAsia="Times New Roman" w:cs="Arial"/>
                <w:color w:val="000000"/>
                <w:sz w:val="20"/>
                <w:szCs w:val="26"/>
              </w:rPr>
              <w:t>0,69</w:t>
            </w:r>
          </w:p>
        </w:tc>
        <w:tc>
          <w:tcPr>
            <w:tcW w:w="1920" w:type="dxa"/>
            <w:noWrap/>
            <w:hideMark/>
          </w:tcPr>
          <w:p w14:paraId="2F78C033" w14:textId="77777777" w:rsidR="009C6140" w:rsidRPr="00F8244A"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6"/>
              </w:rPr>
            </w:pPr>
            <w:r w:rsidRPr="00F8244A">
              <w:rPr>
                <w:rFonts w:eastAsia="Times New Roman" w:cs="Arial"/>
                <w:color w:val="000000"/>
                <w:sz w:val="20"/>
                <w:szCs w:val="26"/>
              </w:rPr>
              <w:t>0,76</w:t>
            </w:r>
          </w:p>
        </w:tc>
        <w:tc>
          <w:tcPr>
            <w:tcW w:w="1760" w:type="dxa"/>
            <w:noWrap/>
            <w:hideMark/>
          </w:tcPr>
          <w:p w14:paraId="467224E4" w14:textId="77777777" w:rsidR="009C6140" w:rsidRPr="00F8244A"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6"/>
              </w:rPr>
            </w:pPr>
            <w:r w:rsidRPr="00F8244A">
              <w:rPr>
                <w:rFonts w:eastAsia="Times New Roman" w:cs="Arial"/>
                <w:color w:val="000000"/>
                <w:sz w:val="20"/>
                <w:szCs w:val="26"/>
              </w:rPr>
              <w:t>0,63</w:t>
            </w:r>
          </w:p>
        </w:tc>
        <w:tc>
          <w:tcPr>
            <w:tcW w:w="1300" w:type="dxa"/>
            <w:noWrap/>
            <w:hideMark/>
          </w:tcPr>
          <w:p w14:paraId="23FE19CB" w14:textId="77777777" w:rsidR="009C6140" w:rsidRPr="00F8244A"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6"/>
              </w:rPr>
            </w:pPr>
            <w:r w:rsidRPr="00F8244A">
              <w:rPr>
                <w:rFonts w:eastAsia="Times New Roman" w:cs="Arial"/>
                <w:color w:val="000000"/>
                <w:sz w:val="20"/>
                <w:szCs w:val="26"/>
              </w:rPr>
              <w:t>0,60</w:t>
            </w:r>
          </w:p>
        </w:tc>
      </w:tr>
      <w:tr w:rsidR="009C6140" w:rsidRPr="00F8244A" w14:paraId="55D01A47" w14:textId="77777777" w:rsidTr="00105245">
        <w:trPr>
          <w:trHeight w:val="32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65415E7E" w14:textId="77777777" w:rsidR="009C6140" w:rsidRPr="00F8244A" w:rsidRDefault="009C6140" w:rsidP="00105245">
            <w:pPr>
              <w:rPr>
                <w:rFonts w:eastAsia="Times New Roman" w:cs="Arial"/>
                <w:sz w:val="20"/>
                <w:szCs w:val="26"/>
              </w:rPr>
            </w:pPr>
            <w:r>
              <w:rPr>
                <w:rFonts w:eastAsia="Times New Roman" w:cs="Arial"/>
                <w:sz w:val="20"/>
                <w:szCs w:val="26"/>
              </w:rPr>
              <w:t>Bedrijfsvestigingen</w:t>
            </w:r>
          </w:p>
        </w:tc>
        <w:tc>
          <w:tcPr>
            <w:tcW w:w="1920" w:type="dxa"/>
            <w:noWrap/>
            <w:hideMark/>
          </w:tcPr>
          <w:p w14:paraId="17D301FC" w14:textId="77777777" w:rsidR="009C6140" w:rsidRPr="00F8244A"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6"/>
              </w:rPr>
            </w:pPr>
            <w:r w:rsidRPr="00F8244A">
              <w:rPr>
                <w:rFonts w:eastAsia="Times New Roman" w:cs="Arial"/>
                <w:color w:val="000000"/>
                <w:sz w:val="20"/>
                <w:szCs w:val="26"/>
              </w:rPr>
              <w:t>0,41</w:t>
            </w:r>
          </w:p>
        </w:tc>
        <w:tc>
          <w:tcPr>
            <w:tcW w:w="1920" w:type="dxa"/>
            <w:noWrap/>
            <w:hideMark/>
          </w:tcPr>
          <w:p w14:paraId="14FFDDD7" w14:textId="77777777" w:rsidR="009C6140" w:rsidRPr="00F8244A"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6"/>
              </w:rPr>
            </w:pPr>
            <w:r w:rsidRPr="00F8244A">
              <w:rPr>
                <w:rFonts w:eastAsia="Times New Roman" w:cs="Arial"/>
                <w:color w:val="000000"/>
                <w:sz w:val="20"/>
                <w:szCs w:val="26"/>
              </w:rPr>
              <w:t>0,44</w:t>
            </w:r>
          </w:p>
        </w:tc>
        <w:tc>
          <w:tcPr>
            <w:tcW w:w="1760" w:type="dxa"/>
            <w:noWrap/>
            <w:hideMark/>
          </w:tcPr>
          <w:p w14:paraId="36EE4AE9" w14:textId="77777777" w:rsidR="009C6140" w:rsidRPr="00F8244A"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6"/>
              </w:rPr>
            </w:pPr>
            <w:r w:rsidRPr="00F8244A">
              <w:rPr>
                <w:rFonts w:eastAsia="Times New Roman" w:cs="Arial"/>
                <w:color w:val="000000"/>
                <w:sz w:val="20"/>
                <w:szCs w:val="26"/>
              </w:rPr>
              <w:t>0,39</w:t>
            </w:r>
          </w:p>
        </w:tc>
        <w:tc>
          <w:tcPr>
            <w:tcW w:w="1300" w:type="dxa"/>
            <w:noWrap/>
            <w:hideMark/>
          </w:tcPr>
          <w:p w14:paraId="6EBCA342" w14:textId="77777777" w:rsidR="009C6140" w:rsidRPr="00F8244A"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6"/>
              </w:rPr>
            </w:pPr>
            <w:r w:rsidRPr="00F8244A">
              <w:rPr>
                <w:rFonts w:eastAsia="Times New Roman" w:cs="Arial"/>
                <w:color w:val="000000"/>
                <w:sz w:val="20"/>
                <w:szCs w:val="26"/>
              </w:rPr>
              <w:t>0,32</w:t>
            </w:r>
          </w:p>
        </w:tc>
      </w:tr>
    </w:tbl>
    <w:p w14:paraId="2B8D0703" w14:textId="77777777" w:rsidR="009C6140" w:rsidRPr="0051483F" w:rsidRDefault="009C6140" w:rsidP="009C6140">
      <w:pPr>
        <w:rPr>
          <w:color w:val="4F81BD" w:themeColor="accent1"/>
          <w:sz w:val="20"/>
        </w:rPr>
      </w:pPr>
      <w:r w:rsidRPr="0051483F">
        <w:rPr>
          <w:b/>
          <w:color w:val="4F81BD" w:themeColor="accent1"/>
          <w:sz w:val="20"/>
        </w:rPr>
        <w:t>Tabel 4</w:t>
      </w:r>
      <w:r>
        <w:rPr>
          <w:b/>
          <w:color w:val="4F81BD" w:themeColor="accent1"/>
          <w:sz w:val="20"/>
        </w:rPr>
        <w:t>.3</w:t>
      </w:r>
      <w:r w:rsidRPr="0051483F">
        <w:rPr>
          <w:b/>
          <w:color w:val="4F81BD" w:themeColor="accent1"/>
          <w:sz w:val="20"/>
        </w:rPr>
        <w:t>:</w:t>
      </w:r>
      <w:r w:rsidRPr="0051483F">
        <w:rPr>
          <w:color w:val="4F81BD" w:themeColor="accent1"/>
          <w:sz w:val="20"/>
        </w:rPr>
        <w:t xml:space="preserve"> De divergentiescores van regio Woerden ten opzichte van de vergelijkingsregio’s, provincie Utrecht en Nederland aan de hand van werkgelegenheid en bedrijfsvestigingen. Hoe hoger het cijfer, hoe meer verschil er is met regio Woerden.</w:t>
      </w:r>
    </w:p>
    <w:p w14:paraId="5C52C32C" w14:textId="77777777" w:rsidR="009C6140" w:rsidRDefault="009C6140" w:rsidP="009C6140">
      <w:pPr>
        <w:outlineLvl w:val="0"/>
        <w:rPr>
          <w:rFonts w:ascii="Calibri" w:eastAsia="Times New Roman" w:hAnsi="Calibri" w:cs="Times New Roman"/>
        </w:rPr>
      </w:pPr>
    </w:p>
    <w:p w14:paraId="6E165AF4" w14:textId="4CAEF6A1" w:rsidR="009C6140" w:rsidRDefault="009C6140" w:rsidP="009C6140">
      <w:r>
        <w:t xml:space="preserve">De scores voor regio Woerden ten opzichte van de vergelijkingsregio’s, de provincie en Nederland zijn de vinden in tabel 4.3. Naar mate het schaalniveau hoger wordt, neemt het verschil tussen Woerden en de vergeleken regio af. Dit komt omdat de hogere schaalniveaus het gemiddelde </w:t>
      </w:r>
      <w:r w:rsidR="009727A8">
        <w:t xml:space="preserve">van de regio’s die zich binnen </w:t>
      </w:r>
      <w:r>
        <w:t xml:space="preserve">de provincie of het land bevinden representeren. Specialisaties op een sector binnen een klein gebied worden minder duidelijk als dit gebied wordt samengevoegd met andere gespecialiseerde gebieden. Hierdoor zullen extreme verschillen afnemen naarmate de vergelijkingsregio groter wordt. </w:t>
      </w:r>
    </w:p>
    <w:p w14:paraId="6AAC3906" w14:textId="77777777" w:rsidR="009C6140" w:rsidRDefault="009C6140" w:rsidP="009C6140">
      <w:pPr>
        <w:ind w:firstLine="720"/>
      </w:pPr>
      <w:r>
        <w:t>Qua sectorale verdeling van werkgelegenheid komt regio Woerden sterker overeen met regio Gouda dan met Alphen a/d Rijn. Ook de verdeling van bedrijfsvestigingen over sectoren komt sterker overeen met regio Gouda dan met regio Alphen a/d Rijn. Vergeleken met regio Veenendaal lijkt de sectorale verdeling van werkgelegenheid van regio Woerden minder sterk op de die van provincie Utrecht of Nederland.</w:t>
      </w:r>
    </w:p>
    <w:p w14:paraId="6C149B14" w14:textId="77777777" w:rsidR="009C6140" w:rsidRDefault="009C6140" w:rsidP="009C6140">
      <w:pPr>
        <w:ind w:firstLine="720"/>
      </w:pPr>
      <w:r>
        <w:t>Het is ook mogelijk om niet alleen naar de totale verschillen te kijken, maar ook om per sector te zien hoe sterk de regio’s qua relatieve omvang verschillen. Zo ontstaat op 4-cijferig SBI-niveau een meer gedetailleerd beeld van sectoren die regio Woerden typeren. Tabel 4.4 laat de sectoren zien waar regio Woerden in negatieve zin het meest verschilt van provincie Utrecht en Nederland. Dat wil zeggen de sectoren die een grote rol spelen in de economie van andere regio’s, maar een kleine rol spelen in de economie van Woerden.</w:t>
      </w:r>
    </w:p>
    <w:p w14:paraId="6D8E50CA" w14:textId="77777777" w:rsidR="009C6140" w:rsidRDefault="009C6140" w:rsidP="009C6140"/>
    <w:tbl>
      <w:tblPr>
        <w:tblStyle w:val="LightShading-Accent1"/>
        <w:tblW w:w="0" w:type="auto"/>
        <w:tblLook w:val="04A0" w:firstRow="1" w:lastRow="0" w:firstColumn="1" w:lastColumn="0" w:noHBand="0" w:noVBand="1"/>
      </w:tblPr>
      <w:tblGrid>
        <w:gridCol w:w="419"/>
        <w:gridCol w:w="4481"/>
        <w:gridCol w:w="3616"/>
      </w:tblGrid>
      <w:tr w:rsidR="009C6140" w:rsidRPr="003E0D7F" w14:paraId="606DC566" w14:textId="77777777" w:rsidTr="00E4777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14:paraId="07BE3F69" w14:textId="77777777" w:rsidR="009C6140" w:rsidRPr="003E0D7F" w:rsidRDefault="009C6140" w:rsidP="00105245">
            <w:pPr>
              <w:rPr>
                <w:rFonts w:eastAsia="Times New Roman" w:cs="Arial"/>
                <w:color w:val="FFFFFF" w:themeColor="background1"/>
                <w:sz w:val="20"/>
                <w:szCs w:val="20"/>
                <w:lang w:eastAsia="en-US"/>
              </w:rPr>
            </w:pPr>
            <w:r>
              <w:rPr>
                <w:rFonts w:eastAsia="Times New Roman" w:cs="Arial"/>
                <w:color w:val="FFFFFF" w:themeColor="background1"/>
                <w:sz w:val="20"/>
                <w:szCs w:val="20"/>
                <w:lang w:eastAsia="en-US"/>
              </w:rPr>
              <w:t>#</w:t>
            </w:r>
          </w:p>
        </w:tc>
        <w:tc>
          <w:tcPr>
            <w:tcW w:w="0" w:type="auto"/>
            <w:shd w:val="clear" w:color="auto" w:fill="4F81BD" w:themeFill="accent1"/>
            <w:hideMark/>
          </w:tcPr>
          <w:p w14:paraId="28935385" w14:textId="77777777" w:rsidR="009C6140" w:rsidRPr="003E0D7F"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n-US"/>
              </w:rPr>
            </w:pPr>
            <w:r w:rsidRPr="003E0D7F">
              <w:rPr>
                <w:rFonts w:eastAsia="Times New Roman" w:cs="Arial"/>
                <w:color w:val="FFFFFF" w:themeColor="background1"/>
                <w:sz w:val="20"/>
                <w:szCs w:val="20"/>
                <w:lang w:eastAsia="en-US"/>
              </w:rPr>
              <w:t>Utrecht</w:t>
            </w:r>
          </w:p>
        </w:tc>
        <w:tc>
          <w:tcPr>
            <w:tcW w:w="0" w:type="auto"/>
            <w:shd w:val="clear" w:color="auto" w:fill="4F81BD" w:themeFill="accent1"/>
            <w:hideMark/>
          </w:tcPr>
          <w:p w14:paraId="36F7EDE2" w14:textId="77777777" w:rsidR="009C6140" w:rsidRPr="003E0D7F"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n-US"/>
              </w:rPr>
            </w:pPr>
            <w:r w:rsidRPr="003E0D7F">
              <w:rPr>
                <w:rFonts w:eastAsia="Times New Roman" w:cs="Arial"/>
                <w:color w:val="FFFFFF" w:themeColor="background1"/>
                <w:sz w:val="20"/>
                <w:szCs w:val="20"/>
                <w:lang w:eastAsia="en-US"/>
              </w:rPr>
              <w:t>Nederland</w:t>
            </w:r>
          </w:p>
        </w:tc>
      </w:tr>
      <w:tr w:rsidR="009C6140" w:rsidRPr="003E0D7F" w14:paraId="3AEE2B7F" w14:textId="77777777" w:rsidTr="00E477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6E3AD323" w14:textId="77777777" w:rsidR="009C6140" w:rsidRPr="00795AEB" w:rsidRDefault="009C6140" w:rsidP="00E47779">
            <w:pPr>
              <w:tabs>
                <w:tab w:val="left" w:pos="2768"/>
              </w:tabs>
              <w:jc w:val="left"/>
              <w:rPr>
                <w:rFonts w:eastAsia="Times New Roman" w:cs="Arial"/>
                <w:b w:val="0"/>
                <w:sz w:val="20"/>
                <w:szCs w:val="20"/>
                <w:lang w:eastAsia="en-US"/>
              </w:rPr>
            </w:pPr>
            <w:r>
              <w:rPr>
                <w:rFonts w:eastAsia="Times New Roman" w:cs="Arial"/>
                <w:b w:val="0"/>
                <w:sz w:val="20"/>
                <w:szCs w:val="20"/>
                <w:lang w:eastAsia="en-US"/>
              </w:rPr>
              <w:t>1</w:t>
            </w:r>
          </w:p>
        </w:tc>
        <w:tc>
          <w:tcPr>
            <w:tcW w:w="0" w:type="auto"/>
            <w:hideMark/>
          </w:tcPr>
          <w:p w14:paraId="61C2D3EF" w14:textId="77777777" w:rsidR="009C6140" w:rsidRPr="004E61EA" w:rsidRDefault="009C6140" w:rsidP="00E47779">
            <w:pPr>
              <w:tabs>
                <w:tab w:val="left" w:pos="2768"/>
              </w:tabs>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Ziekenhuizen en geestelijke gezondheid</w:t>
            </w:r>
          </w:p>
        </w:tc>
        <w:tc>
          <w:tcPr>
            <w:tcW w:w="0" w:type="auto"/>
            <w:hideMark/>
          </w:tcPr>
          <w:p w14:paraId="0A495929" w14:textId="77777777" w:rsidR="009C6140" w:rsidRPr="003E0D7F"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Algemeen overheidsbestuur</w:t>
            </w:r>
          </w:p>
        </w:tc>
      </w:tr>
      <w:tr w:rsidR="009C6140" w:rsidRPr="003E0D7F" w14:paraId="2EB38A08" w14:textId="77777777" w:rsidTr="00E47779">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5E078A6A" w14:textId="77777777" w:rsidR="009C6140" w:rsidRDefault="009C6140" w:rsidP="00E47779">
            <w:pPr>
              <w:jc w:val="left"/>
              <w:rPr>
                <w:rFonts w:eastAsia="Times New Roman" w:cs="Arial"/>
                <w:b w:val="0"/>
                <w:sz w:val="20"/>
                <w:szCs w:val="20"/>
                <w:lang w:eastAsia="en-US"/>
              </w:rPr>
            </w:pPr>
            <w:r>
              <w:rPr>
                <w:rFonts w:eastAsia="Times New Roman" w:cs="Arial"/>
                <w:b w:val="0"/>
                <w:sz w:val="20"/>
                <w:szCs w:val="20"/>
                <w:lang w:eastAsia="en-US"/>
              </w:rPr>
              <w:t>2</w:t>
            </w:r>
          </w:p>
        </w:tc>
        <w:tc>
          <w:tcPr>
            <w:tcW w:w="0" w:type="auto"/>
            <w:hideMark/>
          </w:tcPr>
          <w:p w14:paraId="6255F832" w14:textId="77777777" w:rsidR="009C6140" w:rsidRPr="004E61EA"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Advisering op het gebied van informatietechnologie</w:t>
            </w:r>
          </w:p>
        </w:tc>
        <w:tc>
          <w:tcPr>
            <w:tcW w:w="0" w:type="auto"/>
            <w:hideMark/>
          </w:tcPr>
          <w:p w14:paraId="171F8164" w14:textId="77777777" w:rsidR="009C6140" w:rsidRPr="003E0D7F"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Ziekenhuizen en geestelijke gezondheid</w:t>
            </w:r>
          </w:p>
        </w:tc>
      </w:tr>
      <w:tr w:rsidR="009C6140" w:rsidRPr="003E0D7F" w14:paraId="5A120439" w14:textId="77777777" w:rsidTr="00E477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38C3314B" w14:textId="77777777" w:rsidR="009C6140" w:rsidRDefault="009C6140" w:rsidP="00E47779">
            <w:pPr>
              <w:jc w:val="left"/>
              <w:rPr>
                <w:rFonts w:eastAsia="Times New Roman" w:cs="Arial"/>
                <w:b w:val="0"/>
                <w:sz w:val="20"/>
                <w:szCs w:val="20"/>
                <w:lang w:eastAsia="en-US"/>
              </w:rPr>
            </w:pPr>
            <w:r>
              <w:rPr>
                <w:rFonts w:eastAsia="Times New Roman" w:cs="Arial"/>
                <w:b w:val="0"/>
                <w:sz w:val="20"/>
                <w:szCs w:val="20"/>
                <w:lang w:eastAsia="en-US"/>
              </w:rPr>
              <w:t>3</w:t>
            </w:r>
          </w:p>
        </w:tc>
        <w:tc>
          <w:tcPr>
            <w:tcW w:w="0" w:type="auto"/>
            <w:hideMark/>
          </w:tcPr>
          <w:p w14:paraId="3346E2AA" w14:textId="77777777" w:rsidR="009C6140" w:rsidRPr="004E61EA"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Defensie</w:t>
            </w:r>
          </w:p>
        </w:tc>
        <w:tc>
          <w:tcPr>
            <w:tcW w:w="0" w:type="auto"/>
            <w:hideMark/>
          </w:tcPr>
          <w:p w14:paraId="4172541F" w14:textId="77777777" w:rsidR="009C6140" w:rsidRPr="003E0D7F"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Defensie</w:t>
            </w:r>
          </w:p>
        </w:tc>
      </w:tr>
      <w:tr w:rsidR="009C6140" w:rsidRPr="003E0D7F" w14:paraId="2BF4F9D9" w14:textId="77777777" w:rsidTr="00E47779">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0038EC2E" w14:textId="77777777" w:rsidR="009C6140" w:rsidRPr="00795AEB" w:rsidRDefault="009C6140" w:rsidP="00E47779">
            <w:pPr>
              <w:jc w:val="left"/>
              <w:rPr>
                <w:rFonts w:eastAsia="Times New Roman" w:cs="Arial"/>
                <w:b w:val="0"/>
                <w:sz w:val="20"/>
                <w:szCs w:val="20"/>
                <w:lang w:eastAsia="en-US"/>
              </w:rPr>
            </w:pPr>
            <w:r>
              <w:rPr>
                <w:rFonts w:eastAsia="Times New Roman" w:cs="Arial"/>
                <w:b w:val="0"/>
                <w:sz w:val="20"/>
                <w:szCs w:val="20"/>
                <w:lang w:eastAsia="en-US"/>
              </w:rPr>
              <w:t>4</w:t>
            </w:r>
          </w:p>
        </w:tc>
        <w:tc>
          <w:tcPr>
            <w:tcW w:w="0" w:type="auto"/>
            <w:hideMark/>
          </w:tcPr>
          <w:p w14:paraId="22C962A6" w14:textId="77777777" w:rsidR="009C6140" w:rsidRPr="004E61EA"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Ingenieurs en overig technisch advies</w:t>
            </w:r>
          </w:p>
        </w:tc>
        <w:tc>
          <w:tcPr>
            <w:tcW w:w="0" w:type="auto"/>
            <w:hideMark/>
          </w:tcPr>
          <w:p w14:paraId="22DA4E27" w14:textId="77777777" w:rsidR="009C6140" w:rsidRPr="003E0D7F"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Universitair hoger onderwijs</w:t>
            </w:r>
          </w:p>
        </w:tc>
      </w:tr>
      <w:tr w:rsidR="009C6140" w:rsidRPr="003E0D7F" w14:paraId="6619A597" w14:textId="77777777" w:rsidTr="00E477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7021BED7" w14:textId="77777777" w:rsidR="009C6140" w:rsidRDefault="009C6140" w:rsidP="00E47779">
            <w:pPr>
              <w:jc w:val="left"/>
              <w:rPr>
                <w:rFonts w:eastAsia="Times New Roman" w:cs="Arial"/>
                <w:b w:val="0"/>
                <w:sz w:val="20"/>
                <w:szCs w:val="20"/>
                <w:lang w:eastAsia="en-US"/>
              </w:rPr>
            </w:pPr>
            <w:r>
              <w:rPr>
                <w:rFonts w:eastAsia="Times New Roman" w:cs="Arial"/>
                <w:b w:val="0"/>
                <w:sz w:val="20"/>
                <w:szCs w:val="20"/>
                <w:lang w:eastAsia="en-US"/>
              </w:rPr>
              <w:t>5</w:t>
            </w:r>
          </w:p>
        </w:tc>
        <w:tc>
          <w:tcPr>
            <w:tcW w:w="0" w:type="auto"/>
            <w:hideMark/>
          </w:tcPr>
          <w:p w14:paraId="59A3231C" w14:textId="77777777" w:rsidR="009C6140" w:rsidRPr="004E61EA"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Universitair hoger onderwijs</w:t>
            </w:r>
          </w:p>
        </w:tc>
        <w:tc>
          <w:tcPr>
            <w:tcW w:w="0" w:type="auto"/>
            <w:hideMark/>
          </w:tcPr>
          <w:p w14:paraId="6286BD51" w14:textId="77777777" w:rsidR="009C6140" w:rsidRPr="003E0D7F"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Huizen en dagverblijven voor verstandelijk gehandicapten</w:t>
            </w:r>
          </w:p>
        </w:tc>
      </w:tr>
      <w:tr w:rsidR="009C6140" w:rsidRPr="003E0D7F" w14:paraId="5C02E181" w14:textId="77777777" w:rsidTr="00E47779">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00F2718B" w14:textId="77777777" w:rsidR="009C6140" w:rsidRDefault="009C6140" w:rsidP="00E47779">
            <w:pPr>
              <w:jc w:val="left"/>
              <w:rPr>
                <w:rFonts w:eastAsia="Times New Roman" w:cs="Arial"/>
                <w:b w:val="0"/>
                <w:sz w:val="20"/>
                <w:szCs w:val="20"/>
                <w:lang w:eastAsia="en-US"/>
              </w:rPr>
            </w:pPr>
            <w:r>
              <w:rPr>
                <w:rFonts w:eastAsia="Times New Roman" w:cs="Arial"/>
                <w:b w:val="0"/>
                <w:sz w:val="20"/>
                <w:szCs w:val="20"/>
                <w:lang w:eastAsia="en-US"/>
              </w:rPr>
              <w:t>6</w:t>
            </w:r>
          </w:p>
        </w:tc>
        <w:tc>
          <w:tcPr>
            <w:tcW w:w="0" w:type="auto"/>
            <w:hideMark/>
          </w:tcPr>
          <w:p w14:paraId="6FFA933F" w14:textId="77777777" w:rsidR="009C6140" w:rsidRPr="004E61EA"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Coöperatief georganiseerde banken</w:t>
            </w:r>
          </w:p>
        </w:tc>
        <w:tc>
          <w:tcPr>
            <w:tcW w:w="0" w:type="auto"/>
            <w:hideMark/>
          </w:tcPr>
          <w:p w14:paraId="7AEFC91A" w14:textId="77777777" w:rsidR="009C6140" w:rsidRPr="003E0D7F"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Ambulante jeugdzorg, maatschappelijk werk en lokaal welzijnswerk</w:t>
            </w:r>
          </w:p>
        </w:tc>
      </w:tr>
      <w:tr w:rsidR="009C6140" w:rsidRPr="003E0D7F" w14:paraId="7D84577A" w14:textId="77777777" w:rsidTr="00E477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759203D4" w14:textId="77777777" w:rsidR="009C6140" w:rsidRDefault="009C6140" w:rsidP="00E47779">
            <w:pPr>
              <w:jc w:val="left"/>
              <w:rPr>
                <w:rFonts w:eastAsia="Times New Roman" w:cs="Arial"/>
                <w:b w:val="0"/>
                <w:sz w:val="20"/>
                <w:szCs w:val="20"/>
                <w:lang w:eastAsia="en-US"/>
              </w:rPr>
            </w:pPr>
            <w:r>
              <w:rPr>
                <w:rFonts w:eastAsia="Times New Roman" w:cs="Arial"/>
                <w:b w:val="0"/>
                <w:sz w:val="20"/>
                <w:szCs w:val="20"/>
                <w:lang w:eastAsia="en-US"/>
              </w:rPr>
              <w:t>7</w:t>
            </w:r>
          </w:p>
        </w:tc>
        <w:tc>
          <w:tcPr>
            <w:tcW w:w="0" w:type="auto"/>
            <w:hideMark/>
          </w:tcPr>
          <w:p w14:paraId="7DA9C06B" w14:textId="77777777" w:rsidR="009C6140" w:rsidRPr="004E61EA"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Schadeverzekeringen</w:t>
            </w:r>
          </w:p>
        </w:tc>
        <w:tc>
          <w:tcPr>
            <w:tcW w:w="0" w:type="auto"/>
            <w:hideMark/>
          </w:tcPr>
          <w:p w14:paraId="7447B1FE" w14:textId="77777777" w:rsidR="009C6140" w:rsidRPr="003E0D7F"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Interieurreiniging van gebouwen</w:t>
            </w:r>
          </w:p>
        </w:tc>
      </w:tr>
      <w:tr w:rsidR="009C6140" w:rsidRPr="003E0D7F" w14:paraId="169021E0" w14:textId="77777777" w:rsidTr="00E47779">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591CED69" w14:textId="77777777" w:rsidR="009C6140" w:rsidRDefault="009C6140" w:rsidP="00E47779">
            <w:pPr>
              <w:jc w:val="left"/>
              <w:rPr>
                <w:rFonts w:eastAsia="Times New Roman" w:cs="Arial"/>
                <w:b w:val="0"/>
                <w:sz w:val="20"/>
                <w:szCs w:val="20"/>
                <w:lang w:eastAsia="en-US"/>
              </w:rPr>
            </w:pPr>
            <w:r>
              <w:rPr>
                <w:rFonts w:eastAsia="Times New Roman" w:cs="Arial"/>
                <w:b w:val="0"/>
                <w:sz w:val="20"/>
                <w:szCs w:val="20"/>
                <w:lang w:eastAsia="en-US"/>
              </w:rPr>
              <w:t>8</w:t>
            </w:r>
          </w:p>
        </w:tc>
        <w:tc>
          <w:tcPr>
            <w:tcW w:w="0" w:type="auto"/>
            <w:hideMark/>
          </w:tcPr>
          <w:p w14:paraId="45CCCC5B" w14:textId="77777777" w:rsidR="009C6140" w:rsidRPr="004E61EA"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Advisering op het gebied van management en bedrijfsvoering</w:t>
            </w:r>
          </w:p>
        </w:tc>
        <w:tc>
          <w:tcPr>
            <w:tcW w:w="0" w:type="auto"/>
            <w:hideMark/>
          </w:tcPr>
          <w:p w14:paraId="5CC89886" w14:textId="77777777" w:rsidR="009C6140" w:rsidRPr="003E0D7F"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Ingenieurs en overig technisch advies</w:t>
            </w:r>
          </w:p>
        </w:tc>
      </w:tr>
      <w:tr w:rsidR="009C6140" w:rsidRPr="003E0D7F" w14:paraId="7BAF1B66" w14:textId="77777777" w:rsidTr="00E477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32705602" w14:textId="77777777" w:rsidR="009C6140" w:rsidRDefault="009C6140" w:rsidP="00E47779">
            <w:pPr>
              <w:jc w:val="left"/>
              <w:rPr>
                <w:rFonts w:eastAsia="Times New Roman" w:cs="Arial"/>
                <w:b w:val="0"/>
                <w:sz w:val="20"/>
                <w:szCs w:val="20"/>
                <w:lang w:eastAsia="en-US"/>
              </w:rPr>
            </w:pPr>
            <w:r>
              <w:rPr>
                <w:rFonts w:eastAsia="Times New Roman" w:cs="Arial"/>
                <w:b w:val="0"/>
                <w:sz w:val="20"/>
                <w:szCs w:val="20"/>
                <w:lang w:eastAsia="en-US"/>
              </w:rPr>
              <w:t>9</w:t>
            </w:r>
          </w:p>
        </w:tc>
        <w:tc>
          <w:tcPr>
            <w:tcW w:w="0" w:type="auto"/>
            <w:hideMark/>
          </w:tcPr>
          <w:p w14:paraId="1AA05715" w14:textId="77777777" w:rsidR="009C6140" w:rsidRPr="004E61EA"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Huizen en dagverblijven voor verstandelijk gehandicapten en psychiatrische cliënten</w:t>
            </w:r>
          </w:p>
        </w:tc>
        <w:tc>
          <w:tcPr>
            <w:tcW w:w="0" w:type="auto"/>
            <w:hideMark/>
          </w:tcPr>
          <w:p w14:paraId="143977A1" w14:textId="77777777" w:rsidR="009C6140" w:rsidRPr="003E0D7F" w:rsidRDefault="009C6140"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Jeugdzorg en maatschappelijke opvang met overnachting</w:t>
            </w:r>
          </w:p>
        </w:tc>
      </w:tr>
      <w:tr w:rsidR="009C6140" w:rsidRPr="003E0D7F" w14:paraId="57F08E9A" w14:textId="77777777" w:rsidTr="00E47779">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07BB15F0" w14:textId="77777777" w:rsidR="009C6140" w:rsidRPr="003E0D7F" w:rsidRDefault="009C6140" w:rsidP="00E47779">
            <w:pPr>
              <w:jc w:val="left"/>
              <w:rPr>
                <w:rFonts w:eastAsia="Times New Roman" w:cs="Arial"/>
                <w:b w:val="0"/>
                <w:sz w:val="20"/>
                <w:szCs w:val="20"/>
                <w:lang w:eastAsia="en-US"/>
              </w:rPr>
            </w:pPr>
            <w:r>
              <w:rPr>
                <w:rFonts w:eastAsia="Times New Roman" w:cs="Arial"/>
                <w:b w:val="0"/>
                <w:sz w:val="20"/>
                <w:szCs w:val="20"/>
                <w:lang w:eastAsia="en-US"/>
              </w:rPr>
              <w:t>10</w:t>
            </w:r>
          </w:p>
        </w:tc>
        <w:tc>
          <w:tcPr>
            <w:tcW w:w="0" w:type="auto"/>
            <w:hideMark/>
          </w:tcPr>
          <w:p w14:paraId="2F4551A9" w14:textId="77777777" w:rsidR="009C6140" w:rsidRPr="004E61EA"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4E61EA">
              <w:rPr>
                <w:rFonts w:eastAsia="Times New Roman" w:cs="Arial"/>
                <w:color w:val="auto"/>
                <w:sz w:val="20"/>
                <w:szCs w:val="20"/>
                <w:lang w:eastAsia="en-US"/>
              </w:rPr>
              <w:t>Vervaardiging toebehoren aan auto's</w:t>
            </w:r>
          </w:p>
        </w:tc>
        <w:tc>
          <w:tcPr>
            <w:tcW w:w="0" w:type="auto"/>
            <w:hideMark/>
          </w:tcPr>
          <w:p w14:paraId="115A8016" w14:textId="77777777" w:rsidR="009C6140" w:rsidRPr="003E0D7F" w:rsidRDefault="009C6140"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Niet-universitair hoger onderwijs</w:t>
            </w:r>
          </w:p>
        </w:tc>
      </w:tr>
    </w:tbl>
    <w:p w14:paraId="429B9624" w14:textId="3639885D" w:rsidR="009C6140" w:rsidRPr="0051483F" w:rsidRDefault="009C6140" w:rsidP="009C6140">
      <w:pPr>
        <w:rPr>
          <w:color w:val="4F81BD" w:themeColor="accent1"/>
          <w:sz w:val="20"/>
        </w:rPr>
      </w:pPr>
      <w:r w:rsidRPr="0051483F">
        <w:rPr>
          <w:b/>
          <w:color w:val="4F81BD" w:themeColor="accent1"/>
          <w:sz w:val="20"/>
        </w:rPr>
        <w:t>Tabel 4</w:t>
      </w:r>
      <w:r>
        <w:rPr>
          <w:b/>
          <w:color w:val="4F81BD" w:themeColor="accent1"/>
          <w:sz w:val="20"/>
        </w:rPr>
        <w:t>.4</w:t>
      </w:r>
      <w:r w:rsidRPr="0051483F">
        <w:rPr>
          <w:b/>
          <w:color w:val="4F81BD" w:themeColor="accent1"/>
          <w:sz w:val="20"/>
        </w:rPr>
        <w:t>:</w:t>
      </w:r>
      <w:r w:rsidRPr="0051483F">
        <w:rPr>
          <w:color w:val="4F81BD" w:themeColor="accent1"/>
          <w:sz w:val="20"/>
        </w:rPr>
        <w:t xml:space="preserve"> De top 10 sectoren waarvan het aandeel in de Woerdense werkgelegenheid het kleinst is ten opzicht</w:t>
      </w:r>
      <w:r w:rsidR="00A750F9">
        <w:rPr>
          <w:color w:val="4F81BD" w:themeColor="accent1"/>
          <w:sz w:val="20"/>
        </w:rPr>
        <w:t>e</w:t>
      </w:r>
      <w:r w:rsidRPr="0051483F">
        <w:rPr>
          <w:color w:val="4F81BD" w:themeColor="accent1"/>
          <w:sz w:val="20"/>
        </w:rPr>
        <w:t xml:space="preserve"> van het aandeel dat deze sectoren in de werkgelegenheid van provincie Utrecht en Nederland hebben.</w:t>
      </w:r>
    </w:p>
    <w:p w14:paraId="65DBC801" w14:textId="77777777" w:rsidR="009C6140" w:rsidRDefault="009C6140" w:rsidP="009C6140">
      <w:pPr>
        <w:rPr>
          <w:sz w:val="20"/>
        </w:rPr>
      </w:pPr>
    </w:p>
    <w:p w14:paraId="3B94C1E7" w14:textId="77777777" w:rsidR="009C6140" w:rsidRDefault="009C6140" w:rsidP="009C6140">
      <w:r>
        <w:t>Veel verschillen tussen Woerden en de hogere schaalniveaus zijn te verklaren omdat het om activiteiten gaan die sterk gecentraliseerd zijn op enkele locaties, en zich niet in Woerden bevinden. Dit zijn bijvoorbeeld defensie, universitair onderwijs en in mindere mate zorginstellingen. Daarnaast blijft regio Woerden op het gebied van dienstverlening achter op enkele gebieden. Zoals ook al te zien was bij de locatie quotiënten, is de financiële dienstverlening (banken, verzekeringen) in regio Woerden klein.</w:t>
      </w:r>
    </w:p>
    <w:p w14:paraId="54DF9834" w14:textId="77777777" w:rsidR="009C6140" w:rsidRDefault="009C6140" w:rsidP="009C6140">
      <w:pPr>
        <w:ind w:firstLine="720"/>
      </w:pPr>
      <w:r>
        <w:t>Opvallend is dat regio Woerden in vergelijking met de rest van Nederland maar weinig technische adviesbureaus kent. Vanuit de auto industrie en de bedrijven die fabrieksmachines maken is er veel technische kennis in de regio aanwezig, maar er zijn maar weinig bedrijven die het als hoofdtaak hebben om deze kennis te delen met derden.</w:t>
      </w:r>
    </w:p>
    <w:p w14:paraId="20DEE234" w14:textId="77777777" w:rsidR="009C6140" w:rsidRDefault="009C6140" w:rsidP="009C6140">
      <w:pPr>
        <w:ind w:firstLine="720"/>
      </w:pPr>
      <w:r>
        <w:t>Tabel 4.5 laat zien in welke sectoren Woerden in positieve zin verschilt van de hogere schaalniveaus. In Woerden zijn deze sectoren belangrijk, maar buiten Woerden minder. Hier worden dus de specialisaties van Woerden zichtbaar op 4-SBI niveau.</w:t>
      </w:r>
    </w:p>
    <w:p w14:paraId="21989A2B" w14:textId="77777777" w:rsidR="009C6140" w:rsidRPr="00B40D6E" w:rsidRDefault="009C6140" w:rsidP="009C6140">
      <w:pPr>
        <w:rPr>
          <w:sz w:val="20"/>
        </w:rPr>
      </w:pPr>
    </w:p>
    <w:tbl>
      <w:tblPr>
        <w:tblStyle w:val="LightShading-Accent1"/>
        <w:tblW w:w="0" w:type="auto"/>
        <w:tblLook w:val="04A0" w:firstRow="1" w:lastRow="0" w:firstColumn="1" w:lastColumn="0" w:noHBand="0" w:noVBand="1"/>
      </w:tblPr>
      <w:tblGrid>
        <w:gridCol w:w="420"/>
        <w:gridCol w:w="4048"/>
        <w:gridCol w:w="4048"/>
      </w:tblGrid>
      <w:tr w:rsidR="009C6140" w:rsidRPr="003E0D7F" w14:paraId="1D0D962B" w14:textId="77777777" w:rsidTr="0010524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14:paraId="765F1CB7" w14:textId="77777777" w:rsidR="009C6140" w:rsidRPr="003E0D7F" w:rsidRDefault="009C6140" w:rsidP="00105245">
            <w:pPr>
              <w:rPr>
                <w:rFonts w:eastAsia="Times New Roman" w:cs="Arial"/>
                <w:color w:val="FFFFFF" w:themeColor="background1"/>
                <w:sz w:val="20"/>
                <w:szCs w:val="20"/>
                <w:lang w:eastAsia="en-US"/>
              </w:rPr>
            </w:pPr>
            <w:r>
              <w:rPr>
                <w:rFonts w:eastAsia="Times New Roman" w:cs="Arial"/>
                <w:color w:val="FFFFFF" w:themeColor="background1"/>
                <w:sz w:val="20"/>
                <w:szCs w:val="20"/>
                <w:lang w:eastAsia="en-US"/>
              </w:rPr>
              <w:t>#</w:t>
            </w:r>
          </w:p>
        </w:tc>
        <w:tc>
          <w:tcPr>
            <w:tcW w:w="0" w:type="auto"/>
            <w:shd w:val="clear" w:color="auto" w:fill="4F81BD" w:themeFill="accent1"/>
            <w:hideMark/>
          </w:tcPr>
          <w:p w14:paraId="39DD820E" w14:textId="77777777" w:rsidR="009C6140" w:rsidRPr="003E0D7F"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n-US"/>
              </w:rPr>
            </w:pPr>
            <w:r w:rsidRPr="003E0D7F">
              <w:rPr>
                <w:rFonts w:eastAsia="Times New Roman" w:cs="Arial"/>
                <w:color w:val="FFFFFF" w:themeColor="background1"/>
                <w:sz w:val="20"/>
                <w:szCs w:val="20"/>
                <w:lang w:eastAsia="en-US"/>
              </w:rPr>
              <w:t>Utrecht</w:t>
            </w:r>
          </w:p>
        </w:tc>
        <w:tc>
          <w:tcPr>
            <w:tcW w:w="0" w:type="auto"/>
            <w:shd w:val="clear" w:color="auto" w:fill="4F81BD" w:themeFill="accent1"/>
            <w:hideMark/>
          </w:tcPr>
          <w:p w14:paraId="01D32A62" w14:textId="77777777" w:rsidR="009C6140" w:rsidRPr="003E0D7F"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n-US"/>
              </w:rPr>
            </w:pPr>
            <w:r w:rsidRPr="003E0D7F">
              <w:rPr>
                <w:rFonts w:eastAsia="Times New Roman" w:cs="Arial"/>
                <w:color w:val="FFFFFF" w:themeColor="background1"/>
                <w:sz w:val="20"/>
                <w:szCs w:val="20"/>
                <w:lang w:eastAsia="en-US"/>
              </w:rPr>
              <w:t>Nederland</w:t>
            </w:r>
          </w:p>
        </w:tc>
      </w:tr>
      <w:tr w:rsidR="009C6140" w:rsidRPr="003E0D7F" w14:paraId="79CCB207" w14:textId="77777777" w:rsidTr="001052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2D46BBAD"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1</w:t>
            </w:r>
          </w:p>
        </w:tc>
        <w:tc>
          <w:tcPr>
            <w:tcW w:w="0" w:type="auto"/>
            <w:hideMark/>
          </w:tcPr>
          <w:p w14:paraId="0D9AB457" w14:textId="77777777" w:rsidR="009C6140" w:rsidRPr="006674C4"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Algemene burgerlijke utiliteitsbouw</w:t>
            </w:r>
          </w:p>
        </w:tc>
        <w:tc>
          <w:tcPr>
            <w:tcW w:w="0" w:type="auto"/>
            <w:hideMark/>
          </w:tcPr>
          <w:p w14:paraId="030534F1" w14:textId="77777777" w:rsidR="009C6140" w:rsidRPr="00CD4019"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CD4019">
              <w:rPr>
                <w:rFonts w:eastAsia="Times New Roman" w:cs="Arial"/>
                <w:color w:val="auto"/>
                <w:sz w:val="20"/>
                <w:szCs w:val="20"/>
                <w:lang w:eastAsia="en-US"/>
              </w:rPr>
              <w:t>Algemene burgerlijke utiliteitsbouw</w:t>
            </w:r>
          </w:p>
        </w:tc>
      </w:tr>
      <w:tr w:rsidR="009C6140" w:rsidRPr="003E0D7F" w14:paraId="5D3FA9FA" w14:textId="77777777" w:rsidTr="00105245">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3CD6A464"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2</w:t>
            </w:r>
          </w:p>
        </w:tc>
        <w:tc>
          <w:tcPr>
            <w:tcW w:w="0" w:type="auto"/>
            <w:hideMark/>
          </w:tcPr>
          <w:p w14:paraId="116D65D3" w14:textId="77777777" w:rsidR="009C6140" w:rsidRPr="006674C4"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Fokken en houden van melkvee</w:t>
            </w:r>
          </w:p>
        </w:tc>
        <w:tc>
          <w:tcPr>
            <w:tcW w:w="0" w:type="auto"/>
            <w:hideMark/>
          </w:tcPr>
          <w:p w14:paraId="2CE80CCC" w14:textId="77777777" w:rsidR="009C6140" w:rsidRPr="00CD4019"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CD4019">
              <w:rPr>
                <w:rFonts w:eastAsia="Times New Roman" w:cs="Arial"/>
                <w:color w:val="auto"/>
                <w:sz w:val="20"/>
                <w:szCs w:val="20"/>
                <w:lang w:eastAsia="en-US"/>
              </w:rPr>
              <w:t>Groothandel in farmaceutische producten, medische instrumenten en orthopedische artikelen</w:t>
            </w:r>
          </w:p>
        </w:tc>
      </w:tr>
      <w:tr w:rsidR="009C6140" w:rsidRPr="003E0D7F" w14:paraId="4F6BAD5B" w14:textId="77777777" w:rsidTr="001052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6E68BAAD"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3</w:t>
            </w:r>
          </w:p>
        </w:tc>
        <w:tc>
          <w:tcPr>
            <w:tcW w:w="0" w:type="auto"/>
            <w:hideMark/>
          </w:tcPr>
          <w:p w14:paraId="42CE7D67" w14:textId="77777777" w:rsidR="009C6140" w:rsidRPr="006674C4"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Goederenvervoer over de weg</w:t>
            </w:r>
          </w:p>
        </w:tc>
        <w:tc>
          <w:tcPr>
            <w:tcW w:w="0" w:type="auto"/>
            <w:hideMark/>
          </w:tcPr>
          <w:p w14:paraId="06ADAA52" w14:textId="77777777" w:rsidR="009C6140" w:rsidRPr="006B2BCC"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B2BCC">
              <w:rPr>
                <w:rFonts w:eastAsia="Times New Roman" w:cs="Arial"/>
                <w:color w:val="auto"/>
                <w:sz w:val="20"/>
                <w:szCs w:val="20"/>
                <w:lang w:eastAsia="en-US"/>
              </w:rPr>
              <w:t>Fokken en houden van melkvee</w:t>
            </w:r>
          </w:p>
        </w:tc>
      </w:tr>
      <w:tr w:rsidR="009C6140" w:rsidRPr="003E0D7F" w14:paraId="0B9C7FC5" w14:textId="77777777" w:rsidTr="00105245">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70E66448"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4</w:t>
            </w:r>
          </w:p>
        </w:tc>
        <w:tc>
          <w:tcPr>
            <w:tcW w:w="0" w:type="auto"/>
            <w:hideMark/>
          </w:tcPr>
          <w:p w14:paraId="51A21165" w14:textId="77777777" w:rsidR="009C6140" w:rsidRPr="006674C4"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Groothandel in farmaceutische producten, medische instrumenten en orthopedische artikelen</w:t>
            </w:r>
          </w:p>
        </w:tc>
        <w:tc>
          <w:tcPr>
            <w:tcW w:w="0" w:type="auto"/>
            <w:hideMark/>
          </w:tcPr>
          <w:p w14:paraId="5182379E" w14:textId="77777777" w:rsidR="009C6140" w:rsidRPr="006B2BCC"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B2BCC">
              <w:rPr>
                <w:rFonts w:eastAsia="Times New Roman" w:cs="Arial"/>
                <w:color w:val="auto"/>
                <w:sz w:val="20"/>
                <w:szCs w:val="20"/>
                <w:lang w:eastAsia="en-US"/>
              </w:rPr>
              <w:t>Gegevensverwerking, webhosting en aanverwante artikelen</w:t>
            </w:r>
          </w:p>
        </w:tc>
      </w:tr>
      <w:tr w:rsidR="009C6140" w:rsidRPr="003E0D7F" w14:paraId="56E56A52" w14:textId="77777777" w:rsidTr="001052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0DDE541A"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5</w:t>
            </w:r>
          </w:p>
        </w:tc>
        <w:tc>
          <w:tcPr>
            <w:tcW w:w="0" w:type="auto"/>
            <w:hideMark/>
          </w:tcPr>
          <w:p w14:paraId="254D3161" w14:textId="77777777" w:rsidR="009C6140" w:rsidRPr="006674C4"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Gegevensverwerking, webhosting en aanverwante artikelen</w:t>
            </w:r>
          </w:p>
        </w:tc>
        <w:tc>
          <w:tcPr>
            <w:tcW w:w="0" w:type="auto"/>
            <w:hideMark/>
          </w:tcPr>
          <w:p w14:paraId="1D6C181A" w14:textId="77777777" w:rsidR="009C6140" w:rsidRPr="006B2BCC"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B2BCC">
              <w:rPr>
                <w:rFonts w:eastAsia="Times New Roman" w:cs="Arial"/>
                <w:color w:val="auto"/>
                <w:sz w:val="20"/>
                <w:szCs w:val="20"/>
                <w:lang w:eastAsia="en-US"/>
              </w:rPr>
              <w:t>Goederenvervoer over de weg</w:t>
            </w:r>
          </w:p>
        </w:tc>
      </w:tr>
      <w:tr w:rsidR="009C6140" w:rsidRPr="003E0D7F" w14:paraId="4F978575" w14:textId="77777777" w:rsidTr="00105245">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3A2CB391"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6</w:t>
            </w:r>
          </w:p>
        </w:tc>
        <w:tc>
          <w:tcPr>
            <w:tcW w:w="0" w:type="auto"/>
            <w:hideMark/>
          </w:tcPr>
          <w:p w14:paraId="5FF18B1B" w14:textId="77777777" w:rsidR="009C6140" w:rsidRPr="006674C4"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Groothandel in hout, sanitair en overige bouwmaterialen</w:t>
            </w:r>
          </w:p>
        </w:tc>
        <w:tc>
          <w:tcPr>
            <w:tcW w:w="0" w:type="auto"/>
            <w:hideMark/>
          </w:tcPr>
          <w:p w14:paraId="507264F2" w14:textId="77777777" w:rsidR="009C6140" w:rsidRPr="006B2BCC"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B2BCC">
              <w:rPr>
                <w:rFonts w:eastAsia="Times New Roman" w:cs="Arial"/>
                <w:color w:val="auto"/>
                <w:sz w:val="20"/>
                <w:szCs w:val="20"/>
                <w:lang w:eastAsia="en-US"/>
              </w:rPr>
              <w:t>Groothandel in hout, sanitair en overige bouwmaterialen</w:t>
            </w:r>
          </w:p>
        </w:tc>
      </w:tr>
      <w:tr w:rsidR="009C6140" w:rsidRPr="003E0D7F" w14:paraId="099A2D51" w14:textId="77777777" w:rsidTr="001052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02E7C8C7"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7</w:t>
            </w:r>
          </w:p>
        </w:tc>
        <w:tc>
          <w:tcPr>
            <w:tcW w:w="0" w:type="auto"/>
            <w:hideMark/>
          </w:tcPr>
          <w:p w14:paraId="110E23A8" w14:textId="77777777" w:rsidR="009C6140" w:rsidRPr="006674C4"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Groothandel in vlees en vleeswaren, wild en gevogelte (niet levend)</w:t>
            </w:r>
          </w:p>
        </w:tc>
        <w:tc>
          <w:tcPr>
            <w:tcW w:w="0" w:type="auto"/>
            <w:hideMark/>
          </w:tcPr>
          <w:p w14:paraId="667AA1B3" w14:textId="77777777" w:rsidR="009C6140" w:rsidRPr="003E0D7F"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Loodgieters- en fitterswerk</w:t>
            </w:r>
          </w:p>
        </w:tc>
      </w:tr>
      <w:tr w:rsidR="009C6140" w:rsidRPr="003E0D7F" w14:paraId="29B261C9" w14:textId="77777777" w:rsidTr="00105245">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7AC9355E"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8</w:t>
            </w:r>
          </w:p>
        </w:tc>
        <w:tc>
          <w:tcPr>
            <w:tcW w:w="0" w:type="auto"/>
            <w:hideMark/>
          </w:tcPr>
          <w:p w14:paraId="14115927" w14:textId="77777777" w:rsidR="009C6140" w:rsidRPr="006674C4"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Vervaardiging van zeep, wasmiddelen, poets- en reinigingsmiddelen</w:t>
            </w:r>
          </w:p>
        </w:tc>
        <w:tc>
          <w:tcPr>
            <w:tcW w:w="0" w:type="auto"/>
            <w:hideMark/>
          </w:tcPr>
          <w:p w14:paraId="7895E656" w14:textId="77777777" w:rsidR="009C6140" w:rsidRPr="006B2BCC"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B2BCC">
              <w:rPr>
                <w:rFonts w:eastAsia="Times New Roman" w:cs="Arial"/>
                <w:color w:val="auto"/>
                <w:sz w:val="20"/>
                <w:szCs w:val="20"/>
                <w:lang w:eastAsia="en-US"/>
              </w:rPr>
              <w:t>Groothandel in vlees en vleeswaren, wild en gevogelte (niet levend)</w:t>
            </w:r>
          </w:p>
        </w:tc>
      </w:tr>
      <w:tr w:rsidR="009C6140" w:rsidRPr="003E0D7F" w14:paraId="2B30970E" w14:textId="77777777" w:rsidTr="0010524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3B5E2F44"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9</w:t>
            </w:r>
          </w:p>
        </w:tc>
        <w:tc>
          <w:tcPr>
            <w:tcW w:w="0" w:type="auto"/>
            <w:hideMark/>
          </w:tcPr>
          <w:p w14:paraId="274815FA" w14:textId="77777777" w:rsidR="009C6140" w:rsidRPr="006674C4"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Elektrotechnische bouwinstallatie</w:t>
            </w:r>
          </w:p>
        </w:tc>
        <w:tc>
          <w:tcPr>
            <w:tcW w:w="0" w:type="auto"/>
            <w:hideMark/>
          </w:tcPr>
          <w:p w14:paraId="137FDC3C" w14:textId="77777777" w:rsidR="009C6140" w:rsidRPr="006B2BCC"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B2BCC">
              <w:rPr>
                <w:rFonts w:eastAsia="Times New Roman" w:cs="Arial"/>
                <w:color w:val="auto"/>
                <w:sz w:val="20"/>
                <w:szCs w:val="20"/>
                <w:lang w:eastAsia="en-US"/>
              </w:rPr>
              <w:t>Vervaardiging van zeep, wasmiddelen, poets- en reinigingsmiddelen</w:t>
            </w:r>
          </w:p>
        </w:tc>
      </w:tr>
      <w:tr w:rsidR="009C6140" w:rsidRPr="003E0D7F" w14:paraId="27E62239" w14:textId="77777777" w:rsidTr="00105245">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021FC2D7" w14:textId="77777777" w:rsidR="009C6140" w:rsidRDefault="009C6140" w:rsidP="00105245">
            <w:pPr>
              <w:rPr>
                <w:rFonts w:eastAsia="Times New Roman" w:cs="Arial"/>
                <w:b w:val="0"/>
                <w:sz w:val="20"/>
                <w:szCs w:val="20"/>
                <w:lang w:eastAsia="en-US"/>
              </w:rPr>
            </w:pPr>
            <w:r>
              <w:rPr>
                <w:rFonts w:eastAsia="Times New Roman" w:cs="Arial"/>
                <w:b w:val="0"/>
                <w:sz w:val="20"/>
                <w:szCs w:val="20"/>
                <w:lang w:eastAsia="en-US"/>
              </w:rPr>
              <w:t>10</w:t>
            </w:r>
          </w:p>
        </w:tc>
        <w:tc>
          <w:tcPr>
            <w:tcW w:w="0" w:type="auto"/>
            <w:hideMark/>
          </w:tcPr>
          <w:p w14:paraId="178261EA" w14:textId="77777777" w:rsidR="009C6140" w:rsidRPr="006674C4"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Expediteurs, cargadoors en bevrachters; weging en meting</w:t>
            </w:r>
          </w:p>
        </w:tc>
        <w:tc>
          <w:tcPr>
            <w:tcW w:w="0" w:type="auto"/>
            <w:hideMark/>
          </w:tcPr>
          <w:p w14:paraId="7FF2FD23" w14:textId="77777777" w:rsidR="009C6140" w:rsidRPr="006B2BCC" w:rsidRDefault="009C6140" w:rsidP="00105245">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B2BCC">
              <w:rPr>
                <w:rFonts w:eastAsia="Times New Roman" w:cs="Arial"/>
                <w:color w:val="auto"/>
                <w:sz w:val="20"/>
                <w:szCs w:val="20"/>
                <w:lang w:eastAsia="en-US"/>
              </w:rPr>
              <w:t>Elektrotechnische bouwinstallatie</w:t>
            </w:r>
          </w:p>
        </w:tc>
      </w:tr>
    </w:tbl>
    <w:p w14:paraId="42BBBDF2" w14:textId="77777777" w:rsidR="009C6140" w:rsidRPr="0051483F" w:rsidRDefault="009C6140" w:rsidP="009C6140">
      <w:pPr>
        <w:rPr>
          <w:color w:val="4F81BD" w:themeColor="accent1"/>
          <w:sz w:val="20"/>
        </w:rPr>
      </w:pPr>
      <w:r>
        <w:rPr>
          <w:b/>
          <w:color w:val="4F81BD" w:themeColor="accent1"/>
          <w:sz w:val="20"/>
        </w:rPr>
        <w:t>Tabel 4.5</w:t>
      </w:r>
      <w:r w:rsidRPr="0051483F">
        <w:rPr>
          <w:b/>
          <w:color w:val="4F81BD" w:themeColor="accent1"/>
          <w:sz w:val="20"/>
        </w:rPr>
        <w:t>:</w:t>
      </w:r>
      <w:r w:rsidRPr="0051483F">
        <w:rPr>
          <w:color w:val="4F81BD" w:themeColor="accent1"/>
          <w:sz w:val="20"/>
        </w:rPr>
        <w:t xml:space="preserve"> De 10 sectoren waarvan het aandeel in de Woerdense werkgelegenheid het grootst is ten opzicht van het aandeel dat deze sectoren in de werkgelegenheid van provincie Utrecht en Nederland hebben.</w:t>
      </w:r>
    </w:p>
    <w:p w14:paraId="3772D391" w14:textId="77777777" w:rsidR="009C6140" w:rsidRDefault="009C6140" w:rsidP="009C6140"/>
    <w:p w14:paraId="4B2B35AC" w14:textId="77777777" w:rsidR="009C6140" w:rsidRDefault="009C6140" w:rsidP="009C6140">
      <w:r w:rsidRPr="007D4D66">
        <w:t xml:space="preserve">De </w:t>
      </w:r>
      <w:r>
        <w:t>specialisaties van Woerden komen sterk overeen met de sectoren die hoge locatie quotiënten hebben. De sterke punten van regio Woerden zijn dus niet alleen belangrijk in de regio zelf, maar hebben ook een unieke functie in de provincie. De bouw, veeteelt, webhosting, groothandels, vervaardiging van zeep kwamen hier ook al naar voren. Enkele specialisaties komen voornamelijk voort uit één enkel bedrijf met veel werknemers. De positie groothandel in vlees is te danken aan het bedrijf Lunenburg, de positie van webhosting aan ABN-AMRO en de positie van de vervaardiging van reinigingsmiddelen aan Johnson &amp; Johnson.</w:t>
      </w:r>
    </w:p>
    <w:p w14:paraId="53B6D2B6" w14:textId="77777777" w:rsidR="009C6140" w:rsidRPr="007D4D66" w:rsidRDefault="009C6140" w:rsidP="009C6140">
      <w:r>
        <w:tab/>
        <w:t>Algemene utiliteitsbouw, groothandel in bouwmaterialen, elektrische bouwinstallatie en loodgieterswerk kunnen gezamenlijk gerekend worden tot het bouwcluster in regio Woerden. Goederenvervoer over de weg en cargadoors vormen samen een keten in de transportsector. Uit onderzoek op de websites van bedrijven in deze twee sectoren bleek overigens dat er veel overlap is in activiteiten bij bedrijven die bij één van deze categorieën ingeschreven staan bij de kamer van koophandel. In afbeelding 4.4 is te zien hoe de sectoren in regio Woerden zich verhouden ten opzichte van de vergelijkingsregio’s. In tabel 4.6 zijn deze percentages te zien in vergelijking met provincie Utrecht en Nederland.</w:t>
      </w:r>
    </w:p>
    <w:p w14:paraId="27BE780B" w14:textId="77777777" w:rsidR="009C6140" w:rsidRPr="00302170" w:rsidRDefault="009C6140" w:rsidP="009C6140">
      <w:pPr>
        <w:rPr>
          <w:rFonts w:ascii="Calibri" w:eastAsia="Times New Roman" w:hAnsi="Calibri" w:cs="Times New Roman"/>
          <w:b/>
          <w:color w:val="000000"/>
          <w:sz w:val="20"/>
          <w:szCs w:val="20"/>
        </w:rPr>
      </w:pPr>
    </w:p>
    <w:p w14:paraId="5110155D" w14:textId="77777777" w:rsidR="009C6140" w:rsidRPr="00302170" w:rsidRDefault="009C6140" w:rsidP="009C6140">
      <w:pPr>
        <w:rPr>
          <w:rFonts w:ascii="Calibri" w:eastAsia="Times New Roman" w:hAnsi="Calibri" w:cs="Times New Roman"/>
          <w:b/>
          <w:color w:val="000000"/>
          <w:sz w:val="20"/>
          <w:szCs w:val="20"/>
        </w:rPr>
      </w:pPr>
    </w:p>
    <w:p w14:paraId="711062AE" w14:textId="77777777" w:rsidR="009C6140" w:rsidRPr="00302170" w:rsidRDefault="009C6140" w:rsidP="009C6140">
      <w:pPr>
        <w:jc w:val="center"/>
        <w:rPr>
          <w:rFonts w:ascii="Calibri" w:eastAsia="Times New Roman" w:hAnsi="Calibri" w:cs="Times New Roman"/>
          <w:b/>
          <w:color w:val="000000"/>
          <w:sz w:val="20"/>
        </w:rPr>
      </w:pPr>
      <w:r w:rsidRPr="00302170">
        <w:rPr>
          <w:rFonts w:ascii="Calibri" w:eastAsia="Times New Roman" w:hAnsi="Calibri" w:cs="Times New Roman"/>
          <w:b/>
          <w:noProof/>
          <w:color w:val="000000"/>
          <w:sz w:val="20"/>
          <w:lang w:val="en-US" w:eastAsia="en-US"/>
        </w:rPr>
        <w:drawing>
          <wp:inline distT="0" distB="0" distL="0" distR="0" wp14:anchorId="46032720" wp14:editId="0200D4E4">
            <wp:extent cx="5270500" cy="3242310"/>
            <wp:effectExtent l="0" t="0" r="1270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elingsectiesregioswoerden.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3242310"/>
                    </a:xfrm>
                    <a:prstGeom prst="rect">
                      <a:avLst/>
                    </a:prstGeom>
                  </pic:spPr>
                </pic:pic>
              </a:graphicData>
            </a:graphic>
          </wp:inline>
        </w:drawing>
      </w:r>
    </w:p>
    <w:p w14:paraId="1CA69B82" w14:textId="77777777" w:rsidR="009C6140" w:rsidRPr="004F45C9" w:rsidRDefault="009C6140" w:rsidP="009C6140">
      <w:pPr>
        <w:jc w:val="center"/>
        <w:rPr>
          <w:rFonts w:ascii="Calibri" w:eastAsia="Times New Roman" w:hAnsi="Calibri" w:cs="Times New Roman"/>
          <w:color w:val="548DD4" w:themeColor="text2" w:themeTint="99"/>
          <w:sz w:val="20"/>
        </w:rPr>
      </w:pPr>
      <w:r>
        <w:rPr>
          <w:rFonts w:ascii="Calibri" w:eastAsia="Times New Roman" w:hAnsi="Calibri" w:cs="Times New Roman"/>
          <w:b/>
          <w:color w:val="548DD4" w:themeColor="text2" w:themeTint="99"/>
          <w:sz w:val="20"/>
        </w:rPr>
        <w:t>Afbeelding 4.4</w:t>
      </w:r>
      <w:r w:rsidRPr="00302170">
        <w:rPr>
          <w:rFonts w:ascii="Calibri" w:eastAsia="Times New Roman" w:hAnsi="Calibri" w:cs="Times New Roman"/>
          <w:b/>
          <w:color w:val="548DD4" w:themeColor="text2" w:themeTint="99"/>
          <w:sz w:val="20"/>
        </w:rPr>
        <w:t>:</w:t>
      </w:r>
      <w:r w:rsidRPr="00302170">
        <w:rPr>
          <w:rFonts w:ascii="Calibri" w:eastAsia="Times New Roman" w:hAnsi="Calibri" w:cs="Times New Roman"/>
          <w:color w:val="548DD4" w:themeColor="text2" w:themeTint="99"/>
          <w:sz w:val="20"/>
        </w:rPr>
        <w:t xml:space="preserve"> Percentages werkgelegenheid per SBI-sectie in de regio’s Woerden, Gouda en Alpen aan de Rijn in 2012.</w:t>
      </w:r>
    </w:p>
    <w:p w14:paraId="3EA88C17" w14:textId="77777777" w:rsidR="009C6140" w:rsidRDefault="009C6140" w:rsidP="009C6140">
      <w:pPr>
        <w:outlineLvl w:val="0"/>
        <w:rPr>
          <w:rFonts w:ascii="Calibri" w:eastAsia="Times New Roman" w:hAnsi="Calibri" w:cs="Times New Roman"/>
          <w:b/>
        </w:rPr>
      </w:pPr>
    </w:p>
    <w:p w14:paraId="6F088E35" w14:textId="4C687F2C" w:rsidR="00835DBC" w:rsidRDefault="009C6140" w:rsidP="009C6140">
      <w:pPr>
        <w:outlineLvl w:val="0"/>
        <w:rPr>
          <w:rFonts w:ascii="Calibri" w:eastAsia="Times New Roman" w:hAnsi="Calibri" w:cs="Times New Roman"/>
        </w:rPr>
      </w:pPr>
      <w:r w:rsidRPr="00D26C01">
        <w:rPr>
          <w:rFonts w:ascii="Calibri" w:eastAsia="Times New Roman" w:hAnsi="Calibri" w:cs="Times New Roman"/>
        </w:rPr>
        <w:t>Afbeelding 4</w:t>
      </w:r>
      <w:r w:rsidR="00023D4C">
        <w:rPr>
          <w:rFonts w:ascii="Calibri" w:eastAsia="Times New Roman" w:hAnsi="Calibri" w:cs="Times New Roman"/>
        </w:rPr>
        <w:t>.4</w:t>
      </w:r>
      <w:r w:rsidRPr="00D26C01">
        <w:rPr>
          <w:rFonts w:ascii="Calibri" w:eastAsia="Times New Roman" w:hAnsi="Calibri" w:cs="Times New Roman"/>
        </w:rPr>
        <w:t xml:space="preserve"> laat zien dat </w:t>
      </w:r>
      <w:r>
        <w:rPr>
          <w:rFonts w:ascii="Calibri" w:eastAsia="Times New Roman" w:hAnsi="Calibri" w:cs="Times New Roman"/>
        </w:rPr>
        <w:t>Woerden vooral groot is in de bouwsector wanneer er vergeleken wordt met de buurregio’s. Op het gebied van zorg loopt de regio juist achter. In regio Gouda zijn landbouw en handel relatief kleiner dan in regio Alphen a/d Rijn en regio Woerden. In regio Alphen is het aandeel van zakelijke dienstverlening in de economie juist weer relatief klein.</w:t>
      </w:r>
    </w:p>
    <w:p w14:paraId="4B9DEECA" w14:textId="77777777" w:rsidR="009C6140" w:rsidRPr="00835DBC" w:rsidRDefault="00835DBC" w:rsidP="009C6140">
      <w:pPr>
        <w:outlineLvl w:val="0"/>
        <w:rPr>
          <w:rFonts w:ascii="Calibri" w:eastAsia="Times New Roman" w:hAnsi="Calibri" w:cs="Times New Roman"/>
        </w:rPr>
      </w:pPr>
      <w:r>
        <w:rPr>
          <w:rFonts w:ascii="Calibri" w:eastAsia="Times New Roman" w:hAnsi="Calibri" w:cs="Times New Roman"/>
        </w:rPr>
        <w:br w:type="column"/>
      </w:r>
    </w:p>
    <w:tbl>
      <w:tblPr>
        <w:tblStyle w:val="ColorfulGrid-Accent1"/>
        <w:tblW w:w="0" w:type="auto"/>
        <w:jc w:val="center"/>
        <w:tblLook w:val="04A0" w:firstRow="1" w:lastRow="0" w:firstColumn="1" w:lastColumn="0" w:noHBand="0" w:noVBand="1"/>
      </w:tblPr>
      <w:tblGrid>
        <w:gridCol w:w="2944"/>
        <w:gridCol w:w="622"/>
        <w:gridCol w:w="776"/>
        <w:gridCol w:w="800"/>
        <w:gridCol w:w="776"/>
        <w:gridCol w:w="784"/>
        <w:gridCol w:w="776"/>
      </w:tblGrid>
      <w:tr w:rsidR="009C6140" w:rsidRPr="00302170" w14:paraId="76547A25" w14:textId="77777777" w:rsidTr="00105245">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hemeFill="accent1" w:themeFillShade="BF"/>
            <w:noWrap/>
            <w:hideMark/>
          </w:tcPr>
          <w:p w14:paraId="3644770C" w14:textId="77777777" w:rsidR="009C6140" w:rsidRPr="00302170" w:rsidRDefault="009C6140" w:rsidP="00105245">
            <w:pPr>
              <w:rPr>
                <w:rFonts w:eastAsia="Times New Roman" w:cs="Times New Roman"/>
                <w:sz w:val="16"/>
                <w:szCs w:val="16"/>
              </w:rPr>
            </w:pPr>
          </w:p>
        </w:tc>
        <w:tc>
          <w:tcPr>
            <w:tcW w:w="0" w:type="auto"/>
            <w:gridSpan w:val="2"/>
            <w:shd w:val="clear" w:color="auto" w:fill="365F91" w:themeFill="accent1" w:themeFillShade="BF"/>
            <w:noWrap/>
            <w:hideMark/>
          </w:tcPr>
          <w:p w14:paraId="7B97E17F" w14:textId="77777777" w:rsidR="009C6140" w:rsidRPr="00302170"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Regio Woerden</w:t>
            </w:r>
          </w:p>
        </w:tc>
        <w:tc>
          <w:tcPr>
            <w:tcW w:w="0" w:type="auto"/>
            <w:gridSpan w:val="2"/>
            <w:shd w:val="clear" w:color="auto" w:fill="365F91" w:themeFill="accent1" w:themeFillShade="BF"/>
            <w:noWrap/>
            <w:hideMark/>
          </w:tcPr>
          <w:p w14:paraId="0CB2B2AF" w14:textId="77777777" w:rsidR="009C6140" w:rsidRPr="00302170"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Provincie Utrecht</w:t>
            </w:r>
          </w:p>
        </w:tc>
        <w:tc>
          <w:tcPr>
            <w:tcW w:w="0" w:type="auto"/>
            <w:gridSpan w:val="2"/>
            <w:shd w:val="clear" w:color="auto" w:fill="365F91" w:themeFill="accent1" w:themeFillShade="BF"/>
            <w:noWrap/>
            <w:hideMark/>
          </w:tcPr>
          <w:p w14:paraId="3E7DACA1" w14:textId="77777777" w:rsidR="009C6140" w:rsidRPr="00302170" w:rsidRDefault="009C6140" w:rsidP="001052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Nederland</w:t>
            </w:r>
          </w:p>
        </w:tc>
      </w:tr>
      <w:tr w:rsidR="009C6140" w:rsidRPr="00302170" w14:paraId="41CA9719"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DEDF98" w14:textId="77777777" w:rsidR="009C6140" w:rsidRPr="00302170" w:rsidRDefault="009C6140" w:rsidP="00E47779">
            <w:pPr>
              <w:jc w:val="left"/>
              <w:rPr>
                <w:rFonts w:eastAsia="Times New Roman" w:cs="Times New Roman"/>
                <w:color w:val="000000"/>
                <w:sz w:val="16"/>
                <w:szCs w:val="16"/>
              </w:rPr>
            </w:pPr>
          </w:p>
        </w:tc>
        <w:tc>
          <w:tcPr>
            <w:tcW w:w="0" w:type="auto"/>
            <w:noWrap/>
            <w:hideMark/>
          </w:tcPr>
          <w:p w14:paraId="7E349152"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 xml:space="preserve">abs </w:t>
            </w:r>
          </w:p>
        </w:tc>
        <w:tc>
          <w:tcPr>
            <w:tcW w:w="0" w:type="auto"/>
            <w:noWrap/>
            <w:hideMark/>
          </w:tcPr>
          <w:p w14:paraId="41B80574"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in %</w:t>
            </w:r>
          </w:p>
        </w:tc>
        <w:tc>
          <w:tcPr>
            <w:tcW w:w="0" w:type="auto"/>
            <w:noWrap/>
            <w:hideMark/>
          </w:tcPr>
          <w:p w14:paraId="4BB606FC"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abs 2012</w:t>
            </w:r>
          </w:p>
        </w:tc>
        <w:tc>
          <w:tcPr>
            <w:tcW w:w="0" w:type="auto"/>
            <w:noWrap/>
            <w:hideMark/>
          </w:tcPr>
          <w:p w14:paraId="2136D534"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in %</w:t>
            </w:r>
          </w:p>
        </w:tc>
        <w:tc>
          <w:tcPr>
            <w:tcW w:w="0" w:type="auto"/>
            <w:noWrap/>
            <w:hideMark/>
          </w:tcPr>
          <w:p w14:paraId="4F9DF5B2"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 xml:space="preserve">abs </w:t>
            </w:r>
          </w:p>
        </w:tc>
        <w:tc>
          <w:tcPr>
            <w:tcW w:w="0" w:type="auto"/>
            <w:noWrap/>
            <w:hideMark/>
          </w:tcPr>
          <w:p w14:paraId="79E78447" w14:textId="77777777" w:rsidR="009C6140" w:rsidRPr="00302170" w:rsidRDefault="009C6140" w:rsidP="0010524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in %</w:t>
            </w:r>
          </w:p>
        </w:tc>
      </w:tr>
      <w:tr w:rsidR="009C6140" w:rsidRPr="00302170" w14:paraId="0C55D50A"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1364F0"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Landbouw, Bosbouw en visserij</w:t>
            </w:r>
          </w:p>
        </w:tc>
        <w:tc>
          <w:tcPr>
            <w:tcW w:w="0" w:type="auto"/>
            <w:noWrap/>
            <w:hideMark/>
          </w:tcPr>
          <w:p w14:paraId="4714104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2385</w:t>
            </w:r>
          </w:p>
        </w:tc>
        <w:tc>
          <w:tcPr>
            <w:tcW w:w="0" w:type="auto"/>
            <w:noWrap/>
            <w:hideMark/>
          </w:tcPr>
          <w:p w14:paraId="67C11309"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4,92%</w:t>
            </w:r>
          </w:p>
        </w:tc>
        <w:tc>
          <w:tcPr>
            <w:tcW w:w="0" w:type="auto"/>
            <w:noWrap/>
            <w:hideMark/>
          </w:tcPr>
          <w:p w14:paraId="750436A7"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6513</w:t>
            </w:r>
          </w:p>
        </w:tc>
        <w:tc>
          <w:tcPr>
            <w:tcW w:w="0" w:type="auto"/>
            <w:noWrap/>
            <w:hideMark/>
          </w:tcPr>
          <w:p w14:paraId="3DB1A492"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1,12%</w:t>
            </w:r>
          </w:p>
        </w:tc>
        <w:tc>
          <w:tcPr>
            <w:tcW w:w="0" w:type="auto"/>
            <w:noWrap/>
            <w:hideMark/>
          </w:tcPr>
          <w:p w14:paraId="6303514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187201</w:t>
            </w:r>
          </w:p>
        </w:tc>
        <w:tc>
          <w:tcPr>
            <w:tcW w:w="0" w:type="auto"/>
            <w:noWrap/>
            <w:hideMark/>
          </w:tcPr>
          <w:p w14:paraId="1151DB4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2,71%</w:t>
            </w:r>
          </w:p>
        </w:tc>
      </w:tr>
      <w:tr w:rsidR="009C6140" w:rsidRPr="00302170" w14:paraId="2FE15852"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DA947B"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Winning delfstoffen</w:t>
            </w:r>
          </w:p>
        </w:tc>
        <w:tc>
          <w:tcPr>
            <w:tcW w:w="0" w:type="auto"/>
            <w:noWrap/>
            <w:hideMark/>
          </w:tcPr>
          <w:p w14:paraId="037F2733"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w:t>
            </w:r>
          </w:p>
        </w:tc>
        <w:tc>
          <w:tcPr>
            <w:tcW w:w="0" w:type="auto"/>
            <w:noWrap/>
            <w:hideMark/>
          </w:tcPr>
          <w:p w14:paraId="400F9450"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0,00%</w:t>
            </w:r>
          </w:p>
        </w:tc>
        <w:tc>
          <w:tcPr>
            <w:tcW w:w="0" w:type="auto"/>
            <w:noWrap/>
            <w:hideMark/>
          </w:tcPr>
          <w:p w14:paraId="30B9912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w:t>
            </w:r>
          </w:p>
        </w:tc>
        <w:tc>
          <w:tcPr>
            <w:tcW w:w="0" w:type="auto"/>
            <w:noWrap/>
            <w:hideMark/>
          </w:tcPr>
          <w:p w14:paraId="5A02B267"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0,00%</w:t>
            </w:r>
          </w:p>
        </w:tc>
        <w:tc>
          <w:tcPr>
            <w:tcW w:w="0" w:type="auto"/>
            <w:noWrap/>
            <w:hideMark/>
          </w:tcPr>
          <w:p w14:paraId="3482F176"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6664</w:t>
            </w:r>
          </w:p>
        </w:tc>
        <w:tc>
          <w:tcPr>
            <w:tcW w:w="0" w:type="auto"/>
            <w:noWrap/>
            <w:hideMark/>
          </w:tcPr>
          <w:p w14:paraId="1E75FFC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0,10%</w:t>
            </w:r>
          </w:p>
        </w:tc>
      </w:tr>
      <w:tr w:rsidR="009C6140" w:rsidRPr="00302170" w14:paraId="729F4212"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3060705"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Industrie</w:t>
            </w:r>
          </w:p>
        </w:tc>
        <w:tc>
          <w:tcPr>
            <w:tcW w:w="0" w:type="auto"/>
            <w:noWrap/>
            <w:hideMark/>
          </w:tcPr>
          <w:p w14:paraId="494844B9"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5190</w:t>
            </w:r>
          </w:p>
        </w:tc>
        <w:tc>
          <w:tcPr>
            <w:tcW w:w="0" w:type="auto"/>
            <w:noWrap/>
            <w:hideMark/>
          </w:tcPr>
          <w:p w14:paraId="74815B6C"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10,70%</w:t>
            </w:r>
          </w:p>
        </w:tc>
        <w:tc>
          <w:tcPr>
            <w:tcW w:w="0" w:type="auto"/>
            <w:noWrap/>
            <w:hideMark/>
          </w:tcPr>
          <w:p w14:paraId="219D45DB"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35585</w:t>
            </w:r>
          </w:p>
        </w:tc>
        <w:tc>
          <w:tcPr>
            <w:tcW w:w="0" w:type="auto"/>
            <w:noWrap/>
            <w:hideMark/>
          </w:tcPr>
          <w:p w14:paraId="298DB3B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6,14%</w:t>
            </w:r>
          </w:p>
        </w:tc>
        <w:tc>
          <w:tcPr>
            <w:tcW w:w="0" w:type="auto"/>
            <w:noWrap/>
            <w:hideMark/>
          </w:tcPr>
          <w:p w14:paraId="3C33F5BB"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777105</w:t>
            </w:r>
          </w:p>
        </w:tc>
        <w:tc>
          <w:tcPr>
            <w:tcW w:w="0" w:type="auto"/>
            <w:noWrap/>
            <w:hideMark/>
          </w:tcPr>
          <w:p w14:paraId="3066CBA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11,26%</w:t>
            </w:r>
          </w:p>
        </w:tc>
      </w:tr>
      <w:tr w:rsidR="009C6140" w:rsidRPr="00302170" w14:paraId="33CA0751"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B6912A"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Energie</w:t>
            </w:r>
          </w:p>
        </w:tc>
        <w:tc>
          <w:tcPr>
            <w:tcW w:w="0" w:type="auto"/>
            <w:noWrap/>
            <w:hideMark/>
          </w:tcPr>
          <w:p w14:paraId="10EBF65E"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27</w:t>
            </w:r>
          </w:p>
        </w:tc>
        <w:tc>
          <w:tcPr>
            <w:tcW w:w="0" w:type="auto"/>
            <w:noWrap/>
            <w:hideMark/>
          </w:tcPr>
          <w:p w14:paraId="47571C2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0,06%</w:t>
            </w:r>
          </w:p>
        </w:tc>
        <w:tc>
          <w:tcPr>
            <w:tcW w:w="0" w:type="auto"/>
            <w:noWrap/>
            <w:hideMark/>
          </w:tcPr>
          <w:p w14:paraId="73E02A95"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454</w:t>
            </w:r>
          </w:p>
        </w:tc>
        <w:tc>
          <w:tcPr>
            <w:tcW w:w="0" w:type="auto"/>
            <w:noWrap/>
            <w:hideMark/>
          </w:tcPr>
          <w:p w14:paraId="79CE803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0,08%</w:t>
            </w:r>
          </w:p>
        </w:tc>
        <w:tc>
          <w:tcPr>
            <w:tcW w:w="0" w:type="auto"/>
            <w:noWrap/>
            <w:hideMark/>
          </w:tcPr>
          <w:p w14:paraId="021A12B5"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30768</w:t>
            </w:r>
          </w:p>
        </w:tc>
        <w:tc>
          <w:tcPr>
            <w:tcW w:w="0" w:type="auto"/>
            <w:noWrap/>
            <w:hideMark/>
          </w:tcPr>
          <w:p w14:paraId="3D4C50F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0,45%</w:t>
            </w:r>
          </w:p>
        </w:tc>
      </w:tr>
      <w:tr w:rsidR="009C6140" w:rsidRPr="00302170" w14:paraId="0F8943EA"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879021"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Waterbeheer en afvalverwerking</w:t>
            </w:r>
          </w:p>
        </w:tc>
        <w:tc>
          <w:tcPr>
            <w:tcW w:w="0" w:type="auto"/>
            <w:noWrap/>
            <w:hideMark/>
          </w:tcPr>
          <w:p w14:paraId="33B13CCC"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192</w:t>
            </w:r>
          </w:p>
        </w:tc>
        <w:tc>
          <w:tcPr>
            <w:tcW w:w="0" w:type="auto"/>
            <w:noWrap/>
            <w:hideMark/>
          </w:tcPr>
          <w:p w14:paraId="31762CC9"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0,40%</w:t>
            </w:r>
          </w:p>
        </w:tc>
        <w:tc>
          <w:tcPr>
            <w:tcW w:w="0" w:type="auto"/>
            <w:noWrap/>
            <w:hideMark/>
          </w:tcPr>
          <w:p w14:paraId="1DA0EA39"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2068</w:t>
            </w:r>
          </w:p>
        </w:tc>
        <w:tc>
          <w:tcPr>
            <w:tcW w:w="0" w:type="auto"/>
            <w:noWrap/>
            <w:hideMark/>
          </w:tcPr>
          <w:p w14:paraId="41463FF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0,36%</w:t>
            </w:r>
          </w:p>
        </w:tc>
        <w:tc>
          <w:tcPr>
            <w:tcW w:w="0" w:type="auto"/>
            <w:noWrap/>
            <w:hideMark/>
          </w:tcPr>
          <w:p w14:paraId="3F107D22"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37466</w:t>
            </w:r>
          </w:p>
        </w:tc>
        <w:tc>
          <w:tcPr>
            <w:tcW w:w="0" w:type="auto"/>
            <w:noWrap/>
            <w:hideMark/>
          </w:tcPr>
          <w:p w14:paraId="769D671A"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0,54%</w:t>
            </w:r>
          </w:p>
        </w:tc>
      </w:tr>
      <w:tr w:rsidR="009C6140" w:rsidRPr="00302170" w14:paraId="5087AE93"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FF180A"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Bouwnijverheid</w:t>
            </w:r>
          </w:p>
        </w:tc>
        <w:tc>
          <w:tcPr>
            <w:tcW w:w="0" w:type="auto"/>
            <w:noWrap/>
            <w:hideMark/>
          </w:tcPr>
          <w:p w14:paraId="1849FBAC"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5678</w:t>
            </w:r>
          </w:p>
        </w:tc>
        <w:tc>
          <w:tcPr>
            <w:tcW w:w="0" w:type="auto"/>
            <w:noWrap/>
            <w:hideMark/>
          </w:tcPr>
          <w:p w14:paraId="6948A643"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11,70%</w:t>
            </w:r>
          </w:p>
        </w:tc>
        <w:tc>
          <w:tcPr>
            <w:tcW w:w="0" w:type="auto"/>
            <w:noWrap/>
            <w:hideMark/>
          </w:tcPr>
          <w:p w14:paraId="231F3BB2"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39534</w:t>
            </w:r>
          </w:p>
        </w:tc>
        <w:tc>
          <w:tcPr>
            <w:tcW w:w="0" w:type="auto"/>
            <w:noWrap/>
            <w:hideMark/>
          </w:tcPr>
          <w:p w14:paraId="0041EFF6"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6,82%</w:t>
            </w:r>
          </w:p>
        </w:tc>
        <w:tc>
          <w:tcPr>
            <w:tcW w:w="0" w:type="auto"/>
            <w:noWrap/>
            <w:hideMark/>
          </w:tcPr>
          <w:p w14:paraId="7C9F711A"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456992</w:t>
            </w:r>
          </w:p>
        </w:tc>
        <w:tc>
          <w:tcPr>
            <w:tcW w:w="0" w:type="auto"/>
            <w:noWrap/>
            <w:hideMark/>
          </w:tcPr>
          <w:p w14:paraId="0BC2F04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6,62%</w:t>
            </w:r>
          </w:p>
        </w:tc>
      </w:tr>
      <w:tr w:rsidR="009C6140" w:rsidRPr="00302170" w14:paraId="43C16A21"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129C1"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Handel</w:t>
            </w:r>
          </w:p>
        </w:tc>
        <w:tc>
          <w:tcPr>
            <w:tcW w:w="0" w:type="auto"/>
            <w:noWrap/>
            <w:hideMark/>
          </w:tcPr>
          <w:p w14:paraId="5EEB7740"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11298</w:t>
            </w:r>
          </w:p>
        </w:tc>
        <w:tc>
          <w:tcPr>
            <w:tcW w:w="0" w:type="auto"/>
            <w:noWrap/>
            <w:hideMark/>
          </w:tcPr>
          <w:p w14:paraId="0A4ABD8D"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23,29%</w:t>
            </w:r>
          </w:p>
        </w:tc>
        <w:tc>
          <w:tcPr>
            <w:tcW w:w="0" w:type="auto"/>
            <w:noWrap/>
            <w:hideMark/>
          </w:tcPr>
          <w:p w14:paraId="70569047"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94534</w:t>
            </w:r>
          </w:p>
        </w:tc>
        <w:tc>
          <w:tcPr>
            <w:tcW w:w="0" w:type="auto"/>
            <w:noWrap/>
            <w:hideMark/>
          </w:tcPr>
          <w:p w14:paraId="43E9EDA0"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16,31%</w:t>
            </w:r>
          </w:p>
        </w:tc>
        <w:tc>
          <w:tcPr>
            <w:tcW w:w="0" w:type="auto"/>
            <w:noWrap/>
            <w:hideMark/>
          </w:tcPr>
          <w:p w14:paraId="004DFA7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1091432</w:t>
            </w:r>
          </w:p>
        </w:tc>
        <w:tc>
          <w:tcPr>
            <w:tcW w:w="0" w:type="auto"/>
            <w:noWrap/>
            <w:hideMark/>
          </w:tcPr>
          <w:p w14:paraId="4A8DFA20"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15,81%</w:t>
            </w:r>
          </w:p>
        </w:tc>
      </w:tr>
      <w:tr w:rsidR="009C6140" w:rsidRPr="00302170" w14:paraId="4AB8E449"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11474E"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Vervoer en opslag</w:t>
            </w:r>
          </w:p>
        </w:tc>
        <w:tc>
          <w:tcPr>
            <w:tcW w:w="0" w:type="auto"/>
            <w:noWrap/>
            <w:hideMark/>
          </w:tcPr>
          <w:p w14:paraId="27E97AF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2333</w:t>
            </w:r>
          </w:p>
        </w:tc>
        <w:tc>
          <w:tcPr>
            <w:tcW w:w="0" w:type="auto"/>
            <w:noWrap/>
            <w:hideMark/>
          </w:tcPr>
          <w:p w14:paraId="431E2FEA"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4,81%</w:t>
            </w:r>
          </w:p>
        </w:tc>
        <w:tc>
          <w:tcPr>
            <w:tcW w:w="0" w:type="auto"/>
            <w:noWrap/>
            <w:hideMark/>
          </w:tcPr>
          <w:p w14:paraId="7820FEF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21566</w:t>
            </w:r>
          </w:p>
        </w:tc>
        <w:tc>
          <w:tcPr>
            <w:tcW w:w="0" w:type="auto"/>
            <w:noWrap/>
            <w:hideMark/>
          </w:tcPr>
          <w:p w14:paraId="24E25D9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3,72%</w:t>
            </w:r>
          </w:p>
        </w:tc>
        <w:tc>
          <w:tcPr>
            <w:tcW w:w="0" w:type="auto"/>
            <w:noWrap/>
            <w:hideMark/>
          </w:tcPr>
          <w:p w14:paraId="1B2C45B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359608</w:t>
            </w:r>
          </w:p>
        </w:tc>
        <w:tc>
          <w:tcPr>
            <w:tcW w:w="0" w:type="auto"/>
            <w:noWrap/>
            <w:hideMark/>
          </w:tcPr>
          <w:p w14:paraId="0C7A4BC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5,21%</w:t>
            </w:r>
          </w:p>
        </w:tc>
      </w:tr>
      <w:tr w:rsidR="009C6140" w:rsidRPr="00302170" w14:paraId="4F3441E5"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1A8EB3"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Horeca</w:t>
            </w:r>
          </w:p>
        </w:tc>
        <w:tc>
          <w:tcPr>
            <w:tcW w:w="0" w:type="auto"/>
            <w:noWrap/>
            <w:hideMark/>
          </w:tcPr>
          <w:p w14:paraId="3FE13C20"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1016</w:t>
            </w:r>
          </w:p>
        </w:tc>
        <w:tc>
          <w:tcPr>
            <w:tcW w:w="0" w:type="auto"/>
            <w:noWrap/>
            <w:hideMark/>
          </w:tcPr>
          <w:p w14:paraId="3ECC5BF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2,09%</w:t>
            </w:r>
          </w:p>
        </w:tc>
        <w:tc>
          <w:tcPr>
            <w:tcW w:w="0" w:type="auto"/>
            <w:noWrap/>
            <w:hideMark/>
          </w:tcPr>
          <w:p w14:paraId="40F0B90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15176</w:t>
            </w:r>
          </w:p>
        </w:tc>
        <w:tc>
          <w:tcPr>
            <w:tcW w:w="0" w:type="auto"/>
            <w:noWrap/>
            <w:hideMark/>
          </w:tcPr>
          <w:p w14:paraId="6DF6C7AF"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2,62%</w:t>
            </w:r>
          </w:p>
        </w:tc>
        <w:tc>
          <w:tcPr>
            <w:tcW w:w="0" w:type="auto"/>
            <w:noWrap/>
            <w:hideMark/>
          </w:tcPr>
          <w:p w14:paraId="2F5780BB"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215800</w:t>
            </w:r>
          </w:p>
        </w:tc>
        <w:tc>
          <w:tcPr>
            <w:tcW w:w="0" w:type="auto"/>
            <w:noWrap/>
            <w:hideMark/>
          </w:tcPr>
          <w:p w14:paraId="4AF25F0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3,13%</w:t>
            </w:r>
          </w:p>
        </w:tc>
      </w:tr>
      <w:tr w:rsidR="009C6140" w:rsidRPr="00302170" w14:paraId="50C0ABAD"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D0CA6E"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Informatie en Communicatie</w:t>
            </w:r>
          </w:p>
        </w:tc>
        <w:tc>
          <w:tcPr>
            <w:tcW w:w="0" w:type="auto"/>
            <w:noWrap/>
            <w:hideMark/>
          </w:tcPr>
          <w:p w14:paraId="3EF2A87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2115</w:t>
            </w:r>
          </w:p>
        </w:tc>
        <w:tc>
          <w:tcPr>
            <w:tcW w:w="0" w:type="auto"/>
            <w:noWrap/>
            <w:hideMark/>
          </w:tcPr>
          <w:p w14:paraId="7E34BFA7"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4,36%</w:t>
            </w:r>
          </w:p>
        </w:tc>
        <w:tc>
          <w:tcPr>
            <w:tcW w:w="0" w:type="auto"/>
            <w:noWrap/>
            <w:hideMark/>
          </w:tcPr>
          <w:p w14:paraId="48A96A3F"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42768</w:t>
            </w:r>
          </w:p>
        </w:tc>
        <w:tc>
          <w:tcPr>
            <w:tcW w:w="0" w:type="auto"/>
            <w:noWrap/>
            <w:hideMark/>
          </w:tcPr>
          <w:p w14:paraId="265DC10A"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7,38%</w:t>
            </w:r>
          </w:p>
        </w:tc>
        <w:tc>
          <w:tcPr>
            <w:tcW w:w="0" w:type="auto"/>
            <w:noWrap/>
            <w:hideMark/>
          </w:tcPr>
          <w:p w14:paraId="75C3616A"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240228</w:t>
            </w:r>
          </w:p>
        </w:tc>
        <w:tc>
          <w:tcPr>
            <w:tcW w:w="0" w:type="auto"/>
            <w:noWrap/>
            <w:hideMark/>
          </w:tcPr>
          <w:p w14:paraId="637D15F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3,48%</w:t>
            </w:r>
          </w:p>
        </w:tc>
      </w:tr>
      <w:tr w:rsidR="009C6140" w:rsidRPr="00302170" w14:paraId="285D9F47"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86EADC"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Financiële instellingen</w:t>
            </w:r>
          </w:p>
        </w:tc>
        <w:tc>
          <w:tcPr>
            <w:tcW w:w="0" w:type="auto"/>
            <w:noWrap/>
            <w:hideMark/>
          </w:tcPr>
          <w:p w14:paraId="74ECB9AF"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826</w:t>
            </w:r>
          </w:p>
        </w:tc>
        <w:tc>
          <w:tcPr>
            <w:tcW w:w="0" w:type="auto"/>
            <w:noWrap/>
            <w:hideMark/>
          </w:tcPr>
          <w:p w14:paraId="389C5E8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1,70%</w:t>
            </w:r>
          </w:p>
        </w:tc>
        <w:tc>
          <w:tcPr>
            <w:tcW w:w="0" w:type="auto"/>
            <w:noWrap/>
            <w:hideMark/>
          </w:tcPr>
          <w:p w14:paraId="61E2D62D"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30488</w:t>
            </w:r>
          </w:p>
        </w:tc>
        <w:tc>
          <w:tcPr>
            <w:tcW w:w="0" w:type="auto"/>
            <w:noWrap/>
            <w:hideMark/>
          </w:tcPr>
          <w:p w14:paraId="563F6F9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5,26%</w:t>
            </w:r>
          </w:p>
        </w:tc>
        <w:tc>
          <w:tcPr>
            <w:tcW w:w="0" w:type="auto"/>
            <w:noWrap/>
            <w:hideMark/>
          </w:tcPr>
          <w:p w14:paraId="5AA8B544"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224764</w:t>
            </w:r>
          </w:p>
        </w:tc>
        <w:tc>
          <w:tcPr>
            <w:tcW w:w="0" w:type="auto"/>
            <w:noWrap/>
            <w:hideMark/>
          </w:tcPr>
          <w:p w14:paraId="153EE180"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3,26%</w:t>
            </w:r>
          </w:p>
        </w:tc>
      </w:tr>
      <w:tr w:rsidR="009C6140" w:rsidRPr="00302170" w14:paraId="3B6C46D8"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B42DFA"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Onroerend Goed</w:t>
            </w:r>
          </w:p>
        </w:tc>
        <w:tc>
          <w:tcPr>
            <w:tcW w:w="0" w:type="auto"/>
            <w:noWrap/>
            <w:hideMark/>
          </w:tcPr>
          <w:p w14:paraId="5D5498B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364</w:t>
            </w:r>
          </w:p>
        </w:tc>
        <w:tc>
          <w:tcPr>
            <w:tcW w:w="0" w:type="auto"/>
            <w:noWrap/>
            <w:hideMark/>
          </w:tcPr>
          <w:p w14:paraId="1173E74C"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0,75%</w:t>
            </w:r>
          </w:p>
        </w:tc>
        <w:tc>
          <w:tcPr>
            <w:tcW w:w="0" w:type="auto"/>
            <w:noWrap/>
            <w:hideMark/>
          </w:tcPr>
          <w:p w14:paraId="267D0C47"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4839</w:t>
            </w:r>
          </w:p>
        </w:tc>
        <w:tc>
          <w:tcPr>
            <w:tcW w:w="0" w:type="auto"/>
            <w:noWrap/>
            <w:hideMark/>
          </w:tcPr>
          <w:p w14:paraId="264CC614"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0,83%</w:t>
            </w:r>
          </w:p>
        </w:tc>
        <w:tc>
          <w:tcPr>
            <w:tcW w:w="0" w:type="auto"/>
            <w:noWrap/>
            <w:hideMark/>
          </w:tcPr>
          <w:p w14:paraId="6A57AF46"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64280</w:t>
            </w:r>
          </w:p>
        </w:tc>
        <w:tc>
          <w:tcPr>
            <w:tcW w:w="0" w:type="auto"/>
            <w:noWrap/>
            <w:hideMark/>
          </w:tcPr>
          <w:p w14:paraId="40EC119B"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0,93%</w:t>
            </w:r>
          </w:p>
        </w:tc>
      </w:tr>
      <w:tr w:rsidR="009C6140" w:rsidRPr="00302170" w14:paraId="7BE70EEF"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E696A6"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Specialistische zakelijke dienstverlening</w:t>
            </w:r>
          </w:p>
        </w:tc>
        <w:tc>
          <w:tcPr>
            <w:tcW w:w="0" w:type="auto"/>
            <w:noWrap/>
            <w:hideMark/>
          </w:tcPr>
          <w:p w14:paraId="002E3168"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3774</w:t>
            </w:r>
          </w:p>
        </w:tc>
        <w:tc>
          <w:tcPr>
            <w:tcW w:w="0" w:type="auto"/>
            <w:noWrap/>
            <w:hideMark/>
          </w:tcPr>
          <w:p w14:paraId="072A00C2"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7,78%</w:t>
            </w:r>
          </w:p>
        </w:tc>
        <w:tc>
          <w:tcPr>
            <w:tcW w:w="0" w:type="auto"/>
            <w:noWrap/>
            <w:hideMark/>
          </w:tcPr>
          <w:p w14:paraId="716BB8C4"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67981</w:t>
            </w:r>
          </w:p>
        </w:tc>
        <w:tc>
          <w:tcPr>
            <w:tcW w:w="0" w:type="auto"/>
            <w:noWrap/>
            <w:hideMark/>
          </w:tcPr>
          <w:p w14:paraId="4C9C1873"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11,73%</w:t>
            </w:r>
          </w:p>
        </w:tc>
        <w:tc>
          <w:tcPr>
            <w:tcW w:w="0" w:type="auto"/>
            <w:noWrap/>
            <w:hideMark/>
          </w:tcPr>
          <w:p w14:paraId="1B62DC01"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632707</w:t>
            </w:r>
          </w:p>
        </w:tc>
        <w:tc>
          <w:tcPr>
            <w:tcW w:w="0" w:type="auto"/>
            <w:noWrap/>
            <w:hideMark/>
          </w:tcPr>
          <w:p w14:paraId="3A9EDF3E"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9,17%</w:t>
            </w:r>
          </w:p>
        </w:tc>
      </w:tr>
      <w:tr w:rsidR="009C6140" w:rsidRPr="00302170" w14:paraId="52F5AC06"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34D69D"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Verhuur, overige zakelijke dienstverlening</w:t>
            </w:r>
          </w:p>
        </w:tc>
        <w:tc>
          <w:tcPr>
            <w:tcW w:w="0" w:type="auto"/>
            <w:noWrap/>
            <w:hideMark/>
          </w:tcPr>
          <w:p w14:paraId="081A458A"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1971</w:t>
            </w:r>
          </w:p>
        </w:tc>
        <w:tc>
          <w:tcPr>
            <w:tcW w:w="0" w:type="auto"/>
            <w:noWrap/>
            <w:hideMark/>
          </w:tcPr>
          <w:p w14:paraId="72EA8650"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4,06%</w:t>
            </w:r>
          </w:p>
        </w:tc>
        <w:tc>
          <w:tcPr>
            <w:tcW w:w="0" w:type="auto"/>
            <w:noWrap/>
            <w:hideMark/>
          </w:tcPr>
          <w:p w14:paraId="2A2F9A55"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21265</w:t>
            </w:r>
          </w:p>
        </w:tc>
        <w:tc>
          <w:tcPr>
            <w:tcW w:w="0" w:type="auto"/>
            <w:noWrap/>
            <w:hideMark/>
          </w:tcPr>
          <w:p w14:paraId="7F407EAD"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3,67%</w:t>
            </w:r>
          </w:p>
        </w:tc>
        <w:tc>
          <w:tcPr>
            <w:tcW w:w="0" w:type="auto"/>
            <w:noWrap/>
            <w:hideMark/>
          </w:tcPr>
          <w:p w14:paraId="68489DD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312683</w:t>
            </w:r>
          </w:p>
        </w:tc>
        <w:tc>
          <w:tcPr>
            <w:tcW w:w="0" w:type="auto"/>
            <w:noWrap/>
            <w:hideMark/>
          </w:tcPr>
          <w:p w14:paraId="44DC4FFE"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4,53%</w:t>
            </w:r>
          </w:p>
        </w:tc>
      </w:tr>
      <w:tr w:rsidR="009C6140" w:rsidRPr="00302170" w14:paraId="695EAD6E"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D53979"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Overheidsdiensten</w:t>
            </w:r>
          </w:p>
        </w:tc>
        <w:tc>
          <w:tcPr>
            <w:tcW w:w="0" w:type="auto"/>
            <w:noWrap/>
            <w:hideMark/>
          </w:tcPr>
          <w:p w14:paraId="500AA1E2"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1319</w:t>
            </w:r>
          </w:p>
        </w:tc>
        <w:tc>
          <w:tcPr>
            <w:tcW w:w="0" w:type="auto"/>
            <w:noWrap/>
            <w:hideMark/>
          </w:tcPr>
          <w:p w14:paraId="42F14D84"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2,72%</w:t>
            </w:r>
          </w:p>
        </w:tc>
        <w:tc>
          <w:tcPr>
            <w:tcW w:w="0" w:type="auto"/>
            <w:noWrap/>
            <w:hideMark/>
          </w:tcPr>
          <w:p w14:paraId="3E37A8CE"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37576</w:t>
            </w:r>
          </w:p>
        </w:tc>
        <w:tc>
          <w:tcPr>
            <w:tcW w:w="0" w:type="auto"/>
            <w:noWrap/>
            <w:hideMark/>
          </w:tcPr>
          <w:p w14:paraId="7853B73B"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6,48%</w:t>
            </w:r>
          </w:p>
        </w:tc>
        <w:tc>
          <w:tcPr>
            <w:tcW w:w="0" w:type="auto"/>
            <w:noWrap/>
            <w:hideMark/>
          </w:tcPr>
          <w:p w14:paraId="3EA94ED1"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427729</w:t>
            </w:r>
          </w:p>
        </w:tc>
        <w:tc>
          <w:tcPr>
            <w:tcW w:w="0" w:type="auto"/>
            <w:noWrap/>
            <w:hideMark/>
          </w:tcPr>
          <w:p w14:paraId="00416F7D"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6,20%</w:t>
            </w:r>
          </w:p>
        </w:tc>
      </w:tr>
      <w:tr w:rsidR="009C6140" w:rsidRPr="00302170" w14:paraId="5FA44B08"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303671"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Onderwijs</w:t>
            </w:r>
          </w:p>
        </w:tc>
        <w:tc>
          <w:tcPr>
            <w:tcW w:w="0" w:type="auto"/>
            <w:noWrap/>
            <w:hideMark/>
          </w:tcPr>
          <w:p w14:paraId="04A5815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2838</w:t>
            </w:r>
          </w:p>
        </w:tc>
        <w:tc>
          <w:tcPr>
            <w:tcW w:w="0" w:type="auto"/>
            <w:noWrap/>
            <w:hideMark/>
          </w:tcPr>
          <w:p w14:paraId="5C5FBCD9"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5,85%</w:t>
            </w:r>
          </w:p>
        </w:tc>
        <w:tc>
          <w:tcPr>
            <w:tcW w:w="0" w:type="auto"/>
            <w:noWrap/>
            <w:hideMark/>
          </w:tcPr>
          <w:p w14:paraId="5FDCAD4B"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45365</w:t>
            </w:r>
          </w:p>
        </w:tc>
        <w:tc>
          <w:tcPr>
            <w:tcW w:w="0" w:type="auto"/>
            <w:noWrap/>
            <w:hideMark/>
          </w:tcPr>
          <w:p w14:paraId="2FF0F5A2"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7,83%</w:t>
            </w:r>
          </w:p>
        </w:tc>
        <w:tc>
          <w:tcPr>
            <w:tcW w:w="0" w:type="auto"/>
            <w:noWrap/>
            <w:hideMark/>
          </w:tcPr>
          <w:p w14:paraId="4A0C041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485445</w:t>
            </w:r>
          </w:p>
        </w:tc>
        <w:tc>
          <w:tcPr>
            <w:tcW w:w="0" w:type="auto"/>
            <w:noWrap/>
            <w:hideMark/>
          </w:tcPr>
          <w:p w14:paraId="4A05E80E"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7,03%</w:t>
            </w:r>
          </w:p>
        </w:tc>
      </w:tr>
      <w:tr w:rsidR="009C6140" w:rsidRPr="00302170" w14:paraId="520E6A6A"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CDF6BF7"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Zorg</w:t>
            </w:r>
          </w:p>
        </w:tc>
        <w:tc>
          <w:tcPr>
            <w:tcW w:w="0" w:type="auto"/>
            <w:noWrap/>
            <w:hideMark/>
          </w:tcPr>
          <w:p w14:paraId="623DB872"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5050</w:t>
            </w:r>
          </w:p>
        </w:tc>
        <w:tc>
          <w:tcPr>
            <w:tcW w:w="0" w:type="auto"/>
            <w:noWrap/>
            <w:hideMark/>
          </w:tcPr>
          <w:p w14:paraId="74D9E5D2"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10,41%</w:t>
            </w:r>
          </w:p>
        </w:tc>
        <w:tc>
          <w:tcPr>
            <w:tcW w:w="0" w:type="auto"/>
            <w:noWrap/>
            <w:hideMark/>
          </w:tcPr>
          <w:p w14:paraId="6652A58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85588</w:t>
            </w:r>
          </w:p>
        </w:tc>
        <w:tc>
          <w:tcPr>
            <w:tcW w:w="0" w:type="auto"/>
            <w:noWrap/>
            <w:hideMark/>
          </w:tcPr>
          <w:p w14:paraId="0BA4BF74"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14,77%</w:t>
            </w:r>
          </w:p>
        </w:tc>
        <w:tc>
          <w:tcPr>
            <w:tcW w:w="0" w:type="auto"/>
            <w:noWrap/>
            <w:hideMark/>
          </w:tcPr>
          <w:p w14:paraId="4A517A57"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1073322</w:t>
            </w:r>
          </w:p>
        </w:tc>
        <w:tc>
          <w:tcPr>
            <w:tcW w:w="0" w:type="auto"/>
            <w:noWrap/>
            <w:hideMark/>
          </w:tcPr>
          <w:p w14:paraId="32CF3419"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15,55%</w:t>
            </w:r>
          </w:p>
        </w:tc>
      </w:tr>
      <w:tr w:rsidR="009C6140" w:rsidRPr="00302170" w14:paraId="42FE7C86"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153B5A"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Cultuur, sport en recreatie</w:t>
            </w:r>
          </w:p>
        </w:tc>
        <w:tc>
          <w:tcPr>
            <w:tcW w:w="0" w:type="auto"/>
            <w:noWrap/>
            <w:hideMark/>
          </w:tcPr>
          <w:p w14:paraId="5F92B32D"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678</w:t>
            </w:r>
          </w:p>
        </w:tc>
        <w:tc>
          <w:tcPr>
            <w:tcW w:w="0" w:type="auto"/>
            <w:noWrap/>
            <w:hideMark/>
          </w:tcPr>
          <w:p w14:paraId="19F0AA21"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1,40%</w:t>
            </w:r>
          </w:p>
        </w:tc>
        <w:tc>
          <w:tcPr>
            <w:tcW w:w="0" w:type="auto"/>
            <w:noWrap/>
            <w:hideMark/>
          </w:tcPr>
          <w:p w14:paraId="40BB733A"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11789</w:t>
            </w:r>
          </w:p>
        </w:tc>
        <w:tc>
          <w:tcPr>
            <w:tcW w:w="0" w:type="auto"/>
            <w:noWrap/>
            <w:hideMark/>
          </w:tcPr>
          <w:p w14:paraId="72405D9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2,03%</w:t>
            </w:r>
          </w:p>
        </w:tc>
        <w:tc>
          <w:tcPr>
            <w:tcW w:w="0" w:type="auto"/>
            <w:noWrap/>
            <w:hideMark/>
          </w:tcPr>
          <w:p w14:paraId="2A539525"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135096</w:t>
            </w:r>
          </w:p>
        </w:tc>
        <w:tc>
          <w:tcPr>
            <w:tcW w:w="0" w:type="auto"/>
            <w:noWrap/>
            <w:hideMark/>
          </w:tcPr>
          <w:p w14:paraId="638D68E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1,96%</w:t>
            </w:r>
          </w:p>
        </w:tc>
      </w:tr>
      <w:tr w:rsidR="009C6140" w:rsidRPr="00302170" w14:paraId="6C7A8B8B" w14:textId="77777777" w:rsidTr="00105245">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FBFE44"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Overige dienstverlening</w:t>
            </w:r>
          </w:p>
        </w:tc>
        <w:tc>
          <w:tcPr>
            <w:tcW w:w="0" w:type="auto"/>
            <w:noWrap/>
            <w:hideMark/>
          </w:tcPr>
          <w:p w14:paraId="59564B8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1459</w:t>
            </w:r>
          </w:p>
        </w:tc>
        <w:tc>
          <w:tcPr>
            <w:tcW w:w="0" w:type="auto"/>
            <w:noWrap/>
            <w:hideMark/>
          </w:tcPr>
          <w:p w14:paraId="5E9C1ED5"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3,01%</w:t>
            </w:r>
          </w:p>
        </w:tc>
        <w:tc>
          <w:tcPr>
            <w:tcW w:w="0" w:type="auto"/>
            <w:noWrap/>
            <w:hideMark/>
          </w:tcPr>
          <w:p w14:paraId="2657B257"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16472</w:t>
            </w:r>
          </w:p>
        </w:tc>
        <w:tc>
          <w:tcPr>
            <w:tcW w:w="0" w:type="auto"/>
            <w:noWrap/>
            <w:hideMark/>
          </w:tcPr>
          <w:p w14:paraId="0D6168BC"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2,84%</w:t>
            </w:r>
          </w:p>
        </w:tc>
        <w:tc>
          <w:tcPr>
            <w:tcW w:w="0" w:type="auto"/>
            <w:noWrap/>
            <w:hideMark/>
          </w:tcPr>
          <w:p w14:paraId="6CFB9F74"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143098</w:t>
            </w:r>
          </w:p>
        </w:tc>
        <w:tc>
          <w:tcPr>
            <w:tcW w:w="0" w:type="auto"/>
            <w:noWrap/>
            <w:hideMark/>
          </w:tcPr>
          <w:p w14:paraId="0C2116F6" w14:textId="77777777" w:rsidR="009C6140" w:rsidRPr="00302170" w:rsidRDefault="009C6140" w:rsidP="0010524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2,07%</w:t>
            </w:r>
          </w:p>
        </w:tc>
      </w:tr>
      <w:tr w:rsidR="009C6140" w:rsidRPr="00302170" w14:paraId="2A3B2BAD" w14:textId="77777777" w:rsidTr="00105245">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484BD5" w14:textId="77777777" w:rsidR="009C6140" w:rsidRPr="00302170" w:rsidRDefault="009C6140" w:rsidP="00E47779">
            <w:pPr>
              <w:jc w:val="left"/>
              <w:rPr>
                <w:rFonts w:eastAsia="Times New Roman" w:cs="Times New Roman"/>
                <w:sz w:val="16"/>
                <w:szCs w:val="16"/>
              </w:rPr>
            </w:pPr>
            <w:r w:rsidRPr="00302170">
              <w:rPr>
                <w:rFonts w:eastAsia="Times New Roman" w:cs="Times New Roman"/>
                <w:sz w:val="16"/>
                <w:szCs w:val="16"/>
              </w:rPr>
              <w:t>Totaal</w:t>
            </w:r>
          </w:p>
        </w:tc>
        <w:tc>
          <w:tcPr>
            <w:tcW w:w="0" w:type="auto"/>
            <w:noWrap/>
            <w:hideMark/>
          </w:tcPr>
          <w:p w14:paraId="5491F96D"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48513</w:t>
            </w:r>
          </w:p>
        </w:tc>
        <w:tc>
          <w:tcPr>
            <w:tcW w:w="0" w:type="auto"/>
            <w:noWrap/>
            <w:hideMark/>
          </w:tcPr>
          <w:p w14:paraId="7F1ABCA3"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100,00%</w:t>
            </w:r>
          </w:p>
        </w:tc>
        <w:tc>
          <w:tcPr>
            <w:tcW w:w="0" w:type="auto"/>
            <w:noWrap/>
            <w:hideMark/>
          </w:tcPr>
          <w:p w14:paraId="3FC3A496"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579562</w:t>
            </w:r>
          </w:p>
        </w:tc>
        <w:tc>
          <w:tcPr>
            <w:tcW w:w="0" w:type="auto"/>
            <w:noWrap/>
            <w:hideMark/>
          </w:tcPr>
          <w:p w14:paraId="4F8DF392"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100,00%</w:t>
            </w:r>
          </w:p>
        </w:tc>
        <w:tc>
          <w:tcPr>
            <w:tcW w:w="0" w:type="auto"/>
            <w:noWrap/>
            <w:hideMark/>
          </w:tcPr>
          <w:p w14:paraId="13C60328"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6902388</w:t>
            </w:r>
          </w:p>
        </w:tc>
        <w:tc>
          <w:tcPr>
            <w:tcW w:w="0" w:type="auto"/>
            <w:noWrap/>
            <w:hideMark/>
          </w:tcPr>
          <w:p w14:paraId="2E73C437" w14:textId="77777777" w:rsidR="009C6140" w:rsidRPr="00302170" w:rsidRDefault="009C6140" w:rsidP="001052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100,00%</w:t>
            </w:r>
          </w:p>
        </w:tc>
      </w:tr>
    </w:tbl>
    <w:p w14:paraId="3B076071" w14:textId="77777777" w:rsidR="009C6140" w:rsidRPr="004F45C9" w:rsidRDefault="009C6140" w:rsidP="009C6140">
      <w:pPr>
        <w:jc w:val="center"/>
        <w:rPr>
          <w:rFonts w:ascii="Calibri" w:eastAsia="Times New Roman" w:hAnsi="Calibri" w:cs="Times New Roman"/>
          <w:color w:val="548DD4" w:themeColor="text2" w:themeTint="99"/>
          <w:sz w:val="20"/>
        </w:rPr>
      </w:pPr>
      <w:r>
        <w:rPr>
          <w:rFonts w:ascii="Calibri" w:eastAsia="Times New Roman" w:hAnsi="Calibri" w:cs="Times New Roman"/>
          <w:b/>
          <w:color w:val="548DD4" w:themeColor="text2" w:themeTint="99"/>
          <w:sz w:val="20"/>
        </w:rPr>
        <w:t>Tabel 4.6</w:t>
      </w:r>
      <w:r w:rsidRPr="00302170">
        <w:rPr>
          <w:rFonts w:ascii="Calibri" w:eastAsia="Times New Roman" w:hAnsi="Calibri" w:cs="Times New Roman"/>
          <w:b/>
          <w:color w:val="548DD4" w:themeColor="text2" w:themeTint="99"/>
          <w:sz w:val="20"/>
        </w:rPr>
        <w:t>:</w:t>
      </w:r>
      <w:r w:rsidRPr="00302170">
        <w:rPr>
          <w:rFonts w:ascii="Calibri" w:eastAsia="Times New Roman" w:hAnsi="Calibri" w:cs="Times New Roman"/>
          <w:color w:val="548DD4" w:themeColor="text2" w:themeTint="99"/>
          <w:sz w:val="20"/>
        </w:rPr>
        <w:t xml:space="preserve"> Werkgelegenheid per SBI-sectie in regio Woerden in 2012.</w:t>
      </w:r>
    </w:p>
    <w:p w14:paraId="250BABAA" w14:textId="77777777" w:rsidR="009C6140" w:rsidRPr="00302170" w:rsidRDefault="009C6140" w:rsidP="009C6140">
      <w:pPr>
        <w:outlineLvl w:val="0"/>
        <w:rPr>
          <w:rFonts w:ascii="Calibri" w:eastAsia="Times New Roman" w:hAnsi="Calibri" w:cs="Times New Roman"/>
          <w:b/>
        </w:rPr>
      </w:pPr>
    </w:p>
    <w:p w14:paraId="4BC55FB7" w14:textId="77777777" w:rsidR="009C6140" w:rsidRDefault="009C6140" w:rsidP="009C6140">
      <w:pPr>
        <w:rPr>
          <w:rFonts w:ascii="Calibri" w:eastAsia="Times New Roman" w:hAnsi="Calibri" w:cs="Times New Roman"/>
        </w:rPr>
      </w:pPr>
      <w:r w:rsidRPr="00302170">
        <w:rPr>
          <w:rFonts w:ascii="Calibri" w:eastAsia="Times New Roman" w:hAnsi="Calibri" w:cs="Times New Roman"/>
        </w:rPr>
        <w:t>De categorie landbouw, bosbouw en visserij is buiten beschouwing gelaten bij groeicijfers, omdat er geen betrouwbare data beschikbaar is voor deze sector van d</w:t>
      </w:r>
      <w:r>
        <w:rPr>
          <w:rFonts w:ascii="Calibri" w:eastAsia="Times New Roman" w:hAnsi="Calibri" w:cs="Times New Roman"/>
        </w:rPr>
        <w:t>e jaren voor 2012. Ook winning d</w:t>
      </w:r>
      <w:r w:rsidRPr="00302170">
        <w:rPr>
          <w:rFonts w:ascii="Calibri" w:eastAsia="Times New Roman" w:hAnsi="Calibri" w:cs="Times New Roman"/>
        </w:rPr>
        <w:t>elfs</w:t>
      </w:r>
      <w:r>
        <w:rPr>
          <w:rFonts w:ascii="Calibri" w:eastAsia="Times New Roman" w:hAnsi="Calibri" w:cs="Times New Roman"/>
        </w:rPr>
        <w:t>toffen, energie en w</w:t>
      </w:r>
      <w:r w:rsidRPr="00302170">
        <w:rPr>
          <w:rFonts w:ascii="Calibri" w:eastAsia="Times New Roman" w:hAnsi="Calibri" w:cs="Times New Roman"/>
        </w:rPr>
        <w:t>aterbeheer en afvalverwerking zijn buiten beschouwing gelaten vanwege zeer kleine aantallen bedrijven die zeer extreme en onregelmatige groeicijf</w:t>
      </w:r>
      <w:r>
        <w:rPr>
          <w:rFonts w:ascii="Calibri" w:eastAsia="Times New Roman" w:hAnsi="Calibri" w:cs="Times New Roman"/>
        </w:rPr>
        <w:t xml:space="preserve">ers veroorzaakten. In tabel </w:t>
      </w:r>
      <w:r w:rsidRPr="00302170">
        <w:rPr>
          <w:rFonts w:ascii="Calibri" w:eastAsia="Times New Roman" w:hAnsi="Calibri" w:cs="Times New Roman"/>
        </w:rPr>
        <w:t>4 Zijn de groeicijfers over de laatste vijftien jaar te vinden van regio Woerden</w:t>
      </w:r>
      <w:r>
        <w:rPr>
          <w:rFonts w:ascii="Calibri" w:eastAsia="Times New Roman" w:hAnsi="Calibri" w:cs="Times New Roman"/>
        </w:rPr>
        <w:t xml:space="preserve"> met alle vergelijkingsregio’s.</w:t>
      </w:r>
    </w:p>
    <w:p w14:paraId="6DF5C9D7" w14:textId="4B80FF4D" w:rsidR="009C6140" w:rsidRPr="0064567D" w:rsidRDefault="009C6140" w:rsidP="009C6140">
      <w:pPr>
        <w:ind w:firstLine="720"/>
        <w:rPr>
          <w:rFonts w:ascii="Calibri" w:eastAsia="Times New Roman" w:hAnsi="Calibri" w:cs="Times New Roman"/>
        </w:rPr>
      </w:pPr>
      <w:r>
        <w:rPr>
          <w:rFonts w:ascii="Calibri" w:eastAsia="Times New Roman" w:hAnsi="Calibri" w:cs="Times New Roman"/>
          <w:b/>
        </w:rPr>
        <w:br w:type="column"/>
      </w:r>
      <w:r w:rsidR="00426A32" w:rsidRPr="00302170">
        <w:rPr>
          <w:rFonts w:ascii="Calibri" w:eastAsia="Times New Roman" w:hAnsi="Calibri" w:cs="Times New Roman"/>
          <w:noProof/>
          <w:lang w:val="en-US" w:eastAsia="en-US"/>
        </w:rPr>
        <mc:AlternateContent>
          <mc:Choice Requires="wps">
            <w:drawing>
              <wp:anchor distT="0" distB="0" distL="114300" distR="114300" simplePos="0" relativeHeight="251664384" behindDoc="0" locked="0" layoutInCell="1" allowOverlap="1" wp14:anchorId="2ECEF847" wp14:editId="55178453">
                <wp:simplePos x="0" y="0"/>
                <wp:positionH relativeFrom="column">
                  <wp:posOffset>1308100</wp:posOffset>
                </wp:positionH>
                <wp:positionV relativeFrom="paragraph">
                  <wp:posOffset>3378200</wp:posOffset>
                </wp:positionV>
                <wp:extent cx="5270500" cy="5715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rot="5400000">
                          <a:off x="0" y="0"/>
                          <a:ext cx="5270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7B895" w14:textId="77777777" w:rsidR="00E01C36" w:rsidRPr="00915716" w:rsidRDefault="00E01C36" w:rsidP="00426A32">
                            <w:pPr>
                              <w:jc w:val="center"/>
                              <w:rPr>
                                <w:color w:val="548DD4" w:themeColor="text2" w:themeTint="99"/>
                                <w:sz w:val="20"/>
                                <w:szCs w:val="20"/>
                              </w:rPr>
                            </w:pPr>
                            <w:r w:rsidRPr="00BF7EA9">
                              <w:rPr>
                                <w:b/>
                                <w:color w:val="548DD4" w:themeColor="text2" w:themeTint="99"/>
                                <w:sz w:val="20"/>
                                <w:szCs w:val="20"/>
                              </w:rPr>
                              <w:t>Tabel 4</w:t>
                            </w:r>
                            <w:r>
                              <w:rPr>
                                <w:b/>
                                <w:color w:val="548DD4" w:themeColor="text2" w:themeTint="99"/>
                                <w:sz w:val="20"/>
                                <w:szCs w:val="20"/>
                              </w:rPr>
                              <w:t>.7</w:t>
                            </w:r>
                            <w:r w:rsidRPr="00BF7EA9">
                              <w:rPr>
                                <w:b/>
                                <w:color w:val="548DD4" w:themeColor="text2" w:themeTint="99"/>
                                <w:sz w:val="20"/>
                                <w:szCs w:val="20"/>
                              </w:rPr>
                              <w:t>:</w:t>
                            </w:r>
                            <w:r w:rsidRPr="00BF7EA9">
                              <w:rPr>
                                <w:color w:val="548DD4" w:themeColor="text2" w:themeTint="99"/>
                                <w:sz w:val="20"/>
                                <w:szCs w:val="20"/>
                              </w:rPr>
                              <w:t xml:space="preserve"> Groeicijfers van werkgelegenheid per vijf jaar tussen 1997 en 2012 in regio Woerden, regio Veenendaal, provincie Utrecht en Nederland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left:0;text-align:left;margin-left:103pt;margin-top:266pt;width:415pt;height:45pt;rotation:90;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" filled="f" stroked="f">
                <v:textbox>
                  <w:txbxContent>
                    <w:p w14:paraId="2547B895" w14:textId="77777777" w:rsidR="00835DBC" w:rsidRPr="00915716" w:rsidRDefault="00835DBC" w:rsidP="00426A32">
                      <w:pPr>
                        <w:jc w:val="center"/>
                        <w:rPr>
                          <w:color w:val="548DD4" w:themeColor="text2" w:themeTint="99"/>
                          <w:sz w:val="20"/>
                          <w:szCs w:val="20"/>
                        </w:rPr>
                      </w:pPr>
                      <w:r w:rsidRPr="00BF7EA9">
                        <w:rPr>
                          <w:b/>
                          <w:color w:val="548DD4" w:themeColor="text2" w:themeTint="99"/>
                          <w:sz w:val="20"/>
                          <w:szCs w:val="20"/>
                        </w:rPr>
                        <w:t>Tabel 4</w:t>
                      </w:r>
                      <w:r>
                        <w:rPr>
                          <w:b/>
                          <w:color w:val="548DD4" w:themeColor="text2" w:themeTint="99"/>
                          <w:sz w:val="20"/>
                          <w:szCs w:val="20"/>
                        </w:rPr>
                        <w:t>.7</w:t>
                      </w:r>
                      <w:r w:rsidRPr="00BF7EA9">
                        <w:rPr>
                          <w:b/>
                          <w:color w:val="548DD4" w:themeColor="text2" w:themeTint="99"/>
                          <w:sz w:val="20"/>
                          <w:szCs w:val="20"/>
                        </w:rPr>
                        <w:t>:</w:t>
                      </w:r>
                      <w:r w:rsidRPr="00BF7EA9">
                        <w:rPr>
                          <w:color w:val="548DD4" w:themeColor="text2" w:themeTint="99"/>
                          <w:sz w:val="20"/>
                          <w:szCs w:val="20"/>
                        </w:rPr>
                        <w:t xml:space="preserve"> Groeicijfers van werkgelegenheid per vijf jaar tussen 1997 en 2012 in regio Woerden, regio Veenendaal, provincie Utrecht en Nederland</w:t>
                      </w:r>
                    </w:p>
                  </w:txbxContent>
                </v:textbox>
                <w10:wrap type="square"/>
              </v:shape>
            </w:pict>
          </mc:Fallback>
        </mc:AlternateContent>
      </w:r>
      <w:r>
        <w:rPr>
          <w:rFonts w:ascii="Calibri" w:eastAsia="Times New Roman" w:hAnsi="Calibri" w:cs="Times New Roman"/>
          <w:noProof/>
          <w:lang w:val="en-US" w:eastAsia="en-US"/>
        </w:rPr>
        <w:drawing>
          <wp:anchor distT="0" distB="0" distL="114300" distR="114300" simplePos="0" relativeHeight="251662336" behindDoc="0" locked="0" layoutInCell="1" allowOverlap="1" wp14:anchorId="2BB9D8F8" wp14:editId="4CDCBCD8">
            <wp:simplePos x="0" y="0"/>
            <wp:positionH relativeFrom="margin">
              <wp:posOffset>-3127375</wp:posOffset>
            </wp:positionH>
            <wp:positionV relativeFrom="margin">
              <wp:posOffset>3127375</wp:posOffset>
            </wp:positionV>
            <wp:extent cx="9683115" cy="2742565"/>
            <wp:effectExtent l="0" t="9525" r="10160" b="1016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9683115" cy="2742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rPr>
        <w:br w:type="column"/>
      </w:r>
    </w:p>
    <w:p w14:paraId="094D3F8F" w14:textId="77777777" w:rsidR="009C6140" w:rsidRPr="00302170" w:rsidRDefault="009C6140" w:rsidP="00830A61">
      <w:pPr>
        <w:pStyle w:val="Heading2"/>
      </w:pPr>
      <w:r w:rsidRPr="00302170">
        <w:t>Landbouw, bosbouw en visserij</w:t>
      </w:r>
    </w:p>
    <w:p w14:paraId="738C0D90" w14:textId="5A017A03"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De landbouw is een sector die in absolute zin niet zeer groot is</w:t>
      </w:r>
      <w:r>
        <w:rPr>
          <w:rFonts w:ascii="Calibri" w:eastAsia="Times New Roman" w:hAnsi="Calibri" w:cs="Times New Roman"/>
        </w:rPr>
        <w:t xml:space="preserve"> qua arbeidsplaatsen</w:t>
      </w:r>
      <w:r w:rsidRPr="00302170">
        <w:rPr>
          <w:rFonts w:ascii="Calibri" w:eastAsia="Times New Roman" w:hAnsi="Calibri" w:cs="Times New Roman"/>
        </w:rPr>
        <w:t>, maar wel veel sterker geconcentreerd is in regio Woerden dan in de rest van het land (of provincie</w:t>
      </w:r>
      <w:r>
        <w:rPr>
          <w:rFonts w:ascii="Calibri" w:eastAsia="Times New Roman" w:hAnsi="Calibri" w:cs="Times New Roman"/>
        </w:rPr>
        <w:t>)</w:t>
      </w:r>
      <w:r w:rsidRPr="00302170">
        <w:rPr>
          <w:rFonts w:ascii="Calibri" w:eastAsia="Times New Roman" w:hAnsi="Calibri" w:cs="Times New Roman"/>
        </w:rPr>
        <w:t xml:space="preserve">. Gelegen in het Groene Hart, is een groot deel van de oppervlakte van regio Woerden gereserveerd voor landbouw en recreatie. Door de kleine hoeveelheid landbouw in de rest van provincie Utrecht, is het aantal agrarische banen in regio Woerden ruim drie keer hoger dan in de provincie. Ook in vergelijking </w:t>
      </w:r>
      <w:r>
        <w:rPr>
          <w:rFonts w:ascii="Calibri" w:eastAsia="Times New Roman" w:hAnsi="Calibri" w:cs="Times New Roman"/>
        </w:rPr>
        <w:t>met Nederland is landbouw qua locatie quotiënt</w:t>
      </w:r>
      <w:r w:rsidRPr="00302170">
        <w:rPr>
          <w:rFonts w:ascii="Calibri" w:eastAsia="Times New Roman" w:hAnsi="Calibri" w:cs="Times New Roman"/>
        </w:rPr>
        <w:t xml:space="preserve"> de grootste uitschieter in regio Woerden. De specialisatie in landbouw in de regio is ook terug te vinden in andere sectoren. Zo is veel handel (zowel ambachtelijke detailhandel als groothandel) gerelateerd aan de nabije boeren en het agrarische verleden, en is ook een groot deel van de Woerdense maakindustrie</w:t>
      </w:r>
      <w:r w:rsidR="00C910EC">
        <w:rPr>
          <w:rFonts w:ascii="Calibri" w:eastAsia="Times New Roman" w:hAnsi="Calibri" w:cs="Times New Roman"/>
        </w:rPr>
        <w:t xml:space="preserve"> aan</w:t>
      </w:r>
      <w:r w:rsidRPr="00302170">
        <w:rPr>
          <w:rFonts w:ascii="Calibri" w:eastAsia="Times New Roman" w:hAnsi="Calibri" w:cs="Times New Roman"/>
        </w:rPr>
        <w:t xml:space="preserve"> voedsel gerelateerd. Daarnaast wordt het landschap van regio Woerden sterk bepaald door de landbouw. Hierdoor is de sector zeer belangrijk voor de beeldvorming van de regio en daarmee voor sectoren als recreatie en horeca.</w:t>
      </w:r>
    </w:p>
    <w:p w14:paraId="5EF14B7D"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 xml:space="preserve">Regio Gouda is door de grote kernen Gouda en Waddinxveen sterker verstedelijkt dan regio Woerden. In deze regio is het aandeel dat de landbouw in de </w:t>
      </w:r>
      <w:r>
        <w:rPr>
          <w:rFonts w:ascii="Calibri" w:eastAsia="Times New Roman" w:hAnsi="Calibri" w:cs="Times New Roman"/>
        </w:rPr>
        <w:t>economie</w:t>
      </w:r>
      <w:r w:rsidRPr="00302170">
        <w:rPr>
          <w:rFonts w:ascii="Calibri" w:eastAsia="Times New Roman" w:hAnsi="Calibri" w:cs="Times New Roman"/>
        </w:rPr>
        <w:t xml:space="preserve"> heeft maar half zo groot. In Regio Alphen aan den Rijn is er juist een iets grotere rol voor landbouw in de totale werkgelegenheid, voornamelijk in het gebied rond Nieuwkoop.</w:t>
      </w:r>
    </w:p>
    <w:p w14:paraId="69E9F61D"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Door sterke bodemdaling en vervuiling van het grondwater door bemesting in de landbouwgebieden rondom Woerden, wordt het steeds duurder om een boeren bedrijf te runnen. Hierdoor hebben steeds meer boeren nevenactiviteiten. Voor boeren in het Groene Hart betekent dit meestal dat er wordt bijverdiend als landschapsbeheerder. In de rest van Nederland verkrijgen veel boeren extra inkomsten door verkoop van (eigen) streekproducten of door recreatieve diensten. Deze nevenactiviteiten zouden in het Groene Hart nog niet volledig benut worden (Rabobank 2012; Vogelzang, 2009).</w:t>
      </w:r>
      <w:r>
        <w:rPr>
          <w:rFonts w:ascii="Calibri" w:eastAsia="Times New Roman" w:hAnsi="Calibri" w:cs="Times New Roman"/>
        </w:rPr>
        <w:t xml:space="preserve"> Veel mogelijke nevenactiviteiten voor boeren worden op dit moment beperkt door provinciebeleid, dat vanuit het belang van het landschap veel economische activiteiten verbiedt in regio Woerden. Soepelere regelgeving en meer samenwerking onder ondernemers op het platteland zouden voor een sterkere economische ontwikkeling van de buitengebieden kunnen zorgen (Burmanje, 2011)</w:t>
      </w:r>
    </w:p>
    <w:p w14:paraId="703269B3" w14:textId="67CA501B" w:rsidR="009C6140" w:rsidRDefault="009C6140" w:rsidP="00830A61">
      <w:pPr>
        <w:ind w:firstLine="720"/>
        <w:rPr>
          <w:rFonts w:ascii="Calibri" w:eastAsia="Times New Roman" w:hAnsi="Calibri" w:cs="Times New Roman"/>
        </w:rPr>
      </w:pPr>
      <w:r>
        <w:rPr>
          <w:rFonts w:ascii="Calibri" w:eastAsia="Times New Roman" w:hAnsi="Calibri" w:cs="Times New Roman"/>
        </w:rPr>
        <w:t>Een andere manier waarop boeren in regio Woerden hun opbrengsten vergroten, is door middel van schaalvergroting</w:t>
      </w:r>
      <w:r w:rsidRPr="00302170">
        <w:rPr>
          <w:rFonts w:ascii="Calibri" w:eastAsia="Times New Roman" w:hAnsi="Calibri" w:cs="Times New Roman"/>
        </w:rPr>
        <w:t>. Doordat weinig jongeren ervoor kiezen om boer te worden, kunnen sommige boeren hun extra land overnemen. Vanuit landschapsoverwegingen heeft provincie Utrecht wel een maximum gesteld aan de hoeveelheid grond per bedrijf</w:t>
      </w:r>
      <w:r>
        <w:rPr>
          <w:rFonts w:ascii="Calibri" w:eastAsia="Times New Roman" w:hAnsi="Calibri" w:cs="Times New Roman"/>
        </w:rPr>
        <w:t>.</w:t>
      </w:r>
      <w:r w:rsidRPr="00302170">
        <w:rPr>
          <w:rFonts w:ascii="Calibri" w:eastAsia="Times New Roman" w:hAnsi="Calibri" w:cs="Times New Roman"/>
        </w:rPr>
        <w:t xml:space="preserve"> Door schaalvergroting zal het aantal bedrijven en werknemers verder afnemen in de regio en door oplopende kosten voor vruchtbare grond zullen nevenactiviteiten steeds belangrijke</w:t>
      </w:r>
      <w:r>
        <w:rPr>
          <w:rFonts w:ascii="Calibri" w:eastAsia="Times New Roman" w:hAnsi="Calibri" w:cs="Times New Roman"/>
        </w:rPr>
        <w:t xml:space="preserve">r worden voor boeren </w:t>
      </w:r>
      <w:r w:rsidRPr="00302170">
        <w:rPr>
          <w:rFonts w:ascii="Calibri" w:eastAsia="Times New Roman" w:hAnsi="Calibri" w:cs="Times New Roman"/>
        </w:rPr>
        <w:t>(Rabobank 2012; Vogelzang 2009).</w:t>
      </w:r>
    </w:p>
    <w:p w14:paraId="590DFC80" w14:textId="77777777" w:rsidR="009C6140" w:rsidRPr="00302170" w:rsidRDefault="009C6140" w:rsidP="00830A61">
      <w:pPr>
        <w:pStyle w:val="Heading2"/>
        <w:rPr>
          <w:rFonts w:ascii="Calibri" w:eastAsia="Times New Roman" w:hAnsi="Calibri" w:cs="Times New Roman"/>
        </w:rPr>
      </w:pPr>
      <w:r w:rsidRPr="00302170">
        <w:t>Industrie</w:t>
      </w:r>
    </w:p>
    <w:p w14:paraId="089C99BD" w14:textId="77777777" w:rsidR="009C6140" w:rsidRPr="00302170" w:rsidRDefault="009C6140" w:rsidP="009C6140">
      <w:pPr>
        <w:rPr>
          <w:rFonts w:ascii="Calibri" w:eastAsia="Times New Roman" w:hAnsi="Calibri" w:cs="Times New Roman"/>
        </w:rPr>
      </w:pPr>
      <w:r w:rsidRPr="00302170">
        <w:rPr>
          <w:rFonts w:eastAsia="Times New Roman" w:cs="Times New Roman"/>
        </w:rPr>
        <w:t xml:space="preserve">Ten opzichte van provincie Utrecht is </w:t>
      </w:r>
      <w:r>
        <w:rPr>
          <w:rFonts w:eastAsia="Times New Roman" w:cs="Times New Roman"/>
        </w:rPr>
        <w:t xml:space="preserve">ook </w:t>
      </w:r>
      <w:r w:rsidRPr="00302170">
        <w:rPr>
          <w:rFonts w:eastAsia="Times New Roman" w:cs="Times New Roman"/>
        </w:rPr>
        <w:t>de industrie een uitschieter in regio Woerden. Dit ligt echter voornamelijk aan een gebrek aan industrie in de rest van de provincie. Vergeleken met de rest van Nederland is de Woerdense industrie relatief klein. Nu nationaal en Europees beleid zich</w:t>
      </w:r>
      <w:r w:rsidRPr="00302170">
        <w:rPr>
          <w:rFonts w:ascii="Calibri" w:eastAsia="Times New Roman" w:hAnsi="Calibri" w:cs="Times New Roman"/>
        </w:rPr>
        <w:t xml:space="preserve"> echter weer meer richt op maakindustrie, neemt regio Woerden toch een belangrijke plaats binnen de provincie in, met voedselverwerking en machinebouw als belangrijkste industrieën. Ondanks sterke krimp in de afgelopen jaren, neemt regio Woerden </w:t>
      </w:r>
      <w:r>
        <w:rPr>
          <w:rFonts w:ascii="Calibri" w:eastAsia="Times New Roman" w:hAnsi="Calibri" w:cs="Times New Roman"/>
        </w:rPr>
        <w:t xml:space="preserve">nog altijd </w:t>
      </w:r>
      <w:r w:rsidRPr="00302170">
        <w:rPr>
          <w:rFonts w:ascii="Calibri" w:eastAsia="Times New Roman" w:hAnsi="Calibri" w:cs="Times New Roman"/>
        </w:rPr>
        <w:t>een grote rol in de industrie van Provincie Utrecht.</w:t>
      </w:r>
    </w:p>
    <w:p w14:paraId="7AC295F6"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 xml:space="preserve">De industrie heeft wel zeer veel werkgelegenheid verloren over de afgelopen vijftien jaar. De sector kromp met 25% en dit kostte de regio 1743 banen, waarvan ruim de helft te wijten is aan vertrekkende bedrijven uit de zuivelindustrie. Hoewel sommige industriële bedrijven in de regio groeiden, heeft het wegtrekken van grote bedrijven zoals </w:t>
      </w:r>
      <w:r>
        <w:rPr>
          <w:rFonts w:ascii="Calibri" w:eastAsia="Times New Roman" w:hAnsi="Calibri" w:cs="Times New Roman"/>
        </w:rPr>
        <w:t>Frieslandfoods-</w:t>
      </w:r>
      <w:r w:rsidRPr="00302170">
        <w:rPr>
          <w:rFonts w:ascii="Calibri" w:eastAsia="Times New Roman" w:hAnsi="Calibri" w:cs="Times New Roman"/>
        </w:rPr>
        <w:t>Campina voor een sterk verlies van banen geleid. Van 1997 tot 2002 was er nog sprake van een procent groei, maar dit veranderde daarna naar een steeds sterker wordende krimp. Tussen 2002 en 2007 verhuisde Campina al enkele productiefaciliteiten vanuit Woerden naar Maasdam. Tussen 2007 en 2013 vertrokken het hoofdkantoor van Campina, de toetjesfabriek van Mona (onderdeel van Frieslandfoods-Campina) en de sausproductie van Gouda’s Glorie. Zo verdween 20% van de industriële banen in regio Woerden in vijf jaar tijd.</w:t>
      </w:r>
    </w:p>
    <w:p w14:paraId="16000850"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 xml:space="preserve">In provincie Utrecht en Nederland was de krimp van de industrie gematigder, en </w:t>
      </w:r>
      <w:r>
        <w:rPr>
          <w:rFonts w:ascii="Calibri" w:eastAsia="Times New Roman" w:hAnsi="Calibri" w:cs="Times New Roman"/>
        </w:rPr>
        <w:t>gemiddeld</w:t>
      </w:r>
      <w:r w:rsidRPr="00302170">
        <w:rPr>
          <w:rFonts w:ascii="Calibri" w:eastAsia="Times New Roman" w:hAnsi="Calibri" w:cs="Times New Roman"/>
        </w:rPr>
        <w:t xml:space="preserve"> nam de krimp</w:t>
      </w:r>
      <w:r>
        <w:rPr>
          <w:rFonts w:ascii="Calibri" w:eastAsia="Times New Roman" w:hAnsi="Calibri" w:cs="Times New Roman"/>
        </w:rPr>
        <w:t xml:space="preserve"> in Nederland</w:t>
      </w:r>
      <w:r w:rsidRPr="00302170">
        <w:rPr>
          <w:rFonts w:ascii="Calibri" w:eastAsia="Times New Roman" w:hAnsi="Calibri" w:cs="Times New Roman"/>
        </w:rPr>
        <w:t xml:space="preserve"> na 2007 zelfs licht af. Toch is het een landelijke trend dat de werkgelegenheid in de industrie afneemt doordat steeds meer bedrijven activiteiten naar het buitenland verhuizen en de binnenlandse arbeidsproductiviteit toeneemt.</w:t>
      </w:r>
    </w:p>
    <w:p w14:paraId="1A4BA7FA" w14:textId="6A03F0EA"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 xml:space="preserve">In 2012 had de industrie in de regio’s Alphen aan den Rijn en Gouda ook een aandeel van rond de 10% in de totale werkgelegenheid. De Goudse industrie heeft veel overeenkomsten met die van regio Woerden, maar richt zich meer op chemische industrie dan machinebouw. In regio Alphen is de krimp van de industrie echter altijd veel gematigder geweest, terwijl industrie in Gouda nog grotere klappen heeft gehad dan in de zuivel Woerden. Ook Bodegraven (regio Gouda) zag grote fabrieken (Andrélon, Campina) sluiten. In de vijf jaar tussen 2002 en 2007 verdween zo ruim een derde van de industriële banen in regio Gouda. De economie in Gouda kromp de afgelopen jaren, en de industrie is de grootste verliezer binnen de regio. De krimp van de industrie in regio Gouda heeft veel overeenkomsten met die in Woerden, hoewel Woerden het gat dat de industrie achter liet beter op kon vullen met </w:t>
      </w:r>
      <w:r w:rsidR="00933F48">
        <w:rPr>
          <w:rFonts w:ascii="Calibri" w:eastAsia="Times New Roman" w:hAnsi="Calibri" w:cs="Times New Roman"/>
        </w:rPr>
        <w:t xml:space="preserve">banen in </w:t>
      </w:r>
      <w:r w:rsidRPr="00302170">
        <w:rPr>
          <w:rFonts w:ascii="Calibri" w:eastAsia="Times New Roman" w:hAnsi="Calibri" w:cs="Times New Roman"/>
        </w:rPr>
        <w:t>andere sectoren.</w:t>
      </w:r>
    </w:p>
    <w:p w14:paraId="086C68B5" w14:textId="363823E9" w:rsidR="009C6140" w:rsidRPr="00302170" w:rsidRDefault="009C6140" w:rsidP="00830A61">
      <w:pPr>
        <w:ind w:firstLine="720"/>
        <w:rPr>
          <w:rFonts w:ascii="Calibri" w:eastAsia="Times New Roman" w:hAnsi="Calibri" w:cs="Times New Roman"/>
        </w:rPr>
      </w:pPr>
      <w:r w:rsidRPr="00302170">
        <w:rPr>
          <w:rFonts w:ascii="Calibri" w:eastAsia="Times New Roman" w:hAnsi="Calibri" w:cs="Times New Roman"/>
        </w:rPr>
        <w:t>De huidige industrie van Woerden is meer gericht op</w:t>
      </w:r>
      <w:r>
        <w:rPr>
          <w:rFonts w:ascii="Calibri" w:eastAsia="Times New Roman" w:hAnsi="Calibri" w:cs="Times New Roman"/>
        </w:rPr>
        <w:t xml:space="preserve"> maatwerk voor andere bedrijven</w:t>
      </w:r>
      <w:r w:rsidRPr="00302170">
        <w:rPr>
          <w:rFonts w:ascii="Calibri" w:eastAsia="Times New Roman" w:hAnsi="Calibri" w:cs="Times New Roman"/>
        </w:rPr>
        <w:t xml:space="preserve"> dan op massaproductie van voedsel. Hierdoor is de huidige industrie kennisintensiever en meer verankerd in de regio. De industrie van regio Woerden </w:t>
      </w:r>
      <w:r>
        <w:rPr>
          <w:rFonts w:ascii="Calibri" w:eastAsia="Times New Roman" w:hAnsi="Calibri" w:cs="Times New Roman"/>
        </w:rPr>
        <w:t>produceert</w:t>
      </w:r>
      <w:r w:rsidRPr="00302170">
        <w:rPr>
          <w:rFonts w:ascii="Calibri" w:eastAsia="Times New Roman" w:hAnsi="Calibri" w:cs="Times New Roman"/>
        </w:rPr>
        <w:t xml:space="preserve"> </w:t>
      </w:r>
      <w:r>
        <w:rPr>
          <w:rFonts w:ascii="Calibri" w:eastAsia="Times New Roman" w:hAnsi="Calibri" w:cs="Times New Roman"/>
        </w:rPr>
        <w:t xml:space="preserve">nu </w:t>
      </w:r>
      <w:r w:rsidRPr="00302170">
        <w:rPr>
          <w:rFonts w:ascii="Calibri" w:eastAsia="Times New Roman" w:hAnsi="Calibri" w:cs="Times New Roman"/>
        </w:rPr>
        <w:t xml:space="preserve">voornamelijk schoonmaakmiddelen, machines en bouwmaterialen. De schoonmaakmiddelenfabriek van Johnson &amp; Johnson groeide de afgelopen vijftien jaar gestaag. De machinebouw begon op nationaal niveau weer langzaam te groeien </w:t>
      </w:r>
      <w:r>
        <w:rPr>
          <w:rFonts w:ascii="Calibri" w:eastAsia="Times New Roman" w:hAnsi="Calibri" w:cs="Times New Roman"/>
        </w:rPr>
        <w:t>sinds 2007</w:t>
      </w:r>
      <w:r w:rsidRPr="00302170">
        <w:rPr>
          <w:rFonts w:ascii="Calibri" w:eastAsia="Times New Roman" w:hAnsi="Calibri" w:cs="Times New Roman"/>
        </w:rPr>
        <w:t>. Bovendien is de verwachting dat de gehele bouwsector de komende twee jaar weer gaat aantrekken doordat banken en de woningmarkt herstellen van de economische crisis</w:t>
      </w:r>
      <w:r>
        <w:rPr>
          <w:rFonts w:ascii="Calibri" w:eastAsia="Times New Roman" w:hAnsi="Calibri" w:cs="Times New Roman"/>
        </w:rPr>
        <w:t>, en dat de fabricatie van bouwmaterialen zal volgen. Ten slotte kan de groeiende vraag naar streekproducten en de aanwezigheid van de zuivelopleiding de industrie rondom Woerden nog verder stimuleren.</w:t>
      </w:r>
    </w:p>
    <w:p w14:paraId="41F99011" w14:textId="77777777" w:rsidR="009C6140" w:rsidRPr="00302170" w:rsidRDefault="009C6140" w:rsidP="00830A61">
      <w:pPr>
        <w:pStyle w:val="Heading2"/>
      </w:pPr>
      <w:r w:rsidRPr="00302170">
        <w:t>Bouw</w:t>
      </w:r>
    </w:p>
    <w:p w14:paraId="1E18AB61"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De bouwsector is de op één na grootste economische sector (hoewel de handel</w:t>
      </w:r>
      <w:r>
        <w:rPr>
          <w:rFonts w:ascii="Calibri" w:eastAsia="Times New Roman" w:hAnsi="Calibri" w:cs="Times New Roman"/>
        </w:rPr>
        <w:t xml:space="preserve"> als grootste sector</w:t>
      </w:r>
      <w:r w:rsidRPr="00302170">
        <w:rPr>
          <w:rFonts w:ascii="Calibri" w:eastAsia="Times New Roman" w:hAnsi="Calibri" w:cs="Times New Roman"/>
        </w:rPr>
        <w:t xml:space="preserve"> twee keer zo veel banen aanbiedt). Er is bijna twee keer zoveel werkgelegenheid in de bouwsector in regio Woerden als dat er gemiddeld in de provincie of in het land te vinden is. Door dit grote verschil is de bouw een van de meest bijzondere sectoren in regio Woerden, en kent Woerden een sterke specialisatie in de arbeidsmarkt voor de bouwsector.</w:t>
      </w:r>
    </w:p>
    <w:p w14:paraId="33735B7E" w14:textId="073E2E66"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ab/>
        <w:t>De bouwnijverheid wist in Woerden harder te groeien dan het Nederlandse gemiddelde, hoewel de groei in provincie Utrecht nog hoger was. Toch is de rol die de bouw in regio Woerden speelt qua werkgelegenheid nog steeds groter dan dat deze in Utrecht is</w:t>
      </w:r>
      <w:r w:rsidR="00E7651A">
        <w:rPr>
          <w:rFonts w:ascii="Calibri" w:eastAsia="Times New Roman" w:hAnsi="Calibri" w:cs="Times New Roman"/>
        </w:rPr>
        <w:t>. Door problemen op de vastgoe</w:t>
      </w:r>
      <w:r w:rsidR="009C0FB7">
        <w:rPr>
          <w:rFonts w:ascii="Calibri" w:eastAsia="Times New Roman" w:hAnsi="Calibri" w:cs="Times New Roman"/>
        </w:rPr>
        <w:t>d</w:t>
      </w:r>
      <w:r w:rsidRPr="00302170">
        <w:rPr>
          <w:rFonts w:ascii="Calibri" w:eastAsia="Times New Roman" w:hAnsi="Calibri" w:cs="Times New Roman"/>
        </w:rPr>
        <w:t>markt kromp de bouwsector tussen 2007 en 2012 met 4% in Woerden. Dit is echter minder sterk dan buiten de regio. De concentratie van bouwbedrijven in de regio heeft mogelijk gezorgd voor een stabielere sector. In de andere twee Groene Hart regio’s waren ook ooit grote concentraties van bouwbedrijven te vin</w:t>
      </w:r>
      <w:r>
        <w:rPr>
          <w:rFonts w:ascii="Calibri" w:eastAsia="Times New Roman" w:hAnsi="Calibri" w:cs="Times New Roman"/>
        </w:rPr>
        <w:t>den, maar beide regio’s kre</w:t>
      </w:r>
      <w:r w:rsidRPr="00302170">
        <w:rPr>
          <w:rFonts w:ascii="Calibri" w:eastAsia="Times New Roman" w:hAnsi="Calibri" w:cs="Times New Roman"/>
        </w:rPr>
        <w:t>gen te maken met zeer sterke krimp in de bouw. In regio Alphen ging bijna een vijfde van de werkgelegenheid in de bouw verloren, en in regio Gouda bijna de helft. Het waren voornamelijk middelgrote aannemers waar banen verloren gingen. Mogelijk presteerde de sector in regio Woerden beter doordat er hier voornamelijk kleine en enkele zeer grote bouwbedrijven actief waren</w:t>
      </w:r>
      <w:r>
        <w:rPr>
          <w:rFonts w:ascii="Calibri" w:eastAsia="Times New Roman" w:hAnsi="Calibri" w:cs="Times New Roman"/>
        </w:rPr>
        <w:t>, terwijl juist de middelgrote bouwbedrijven in de problemen kwamen</w:t>
      </w:r>
      <w:r w:rsidRPr="00302170">
        <w:rPr>
          <w:rFonts w:ascii="Calibri" w:eastAsia="Times New Roman" w:hAnsi="Calibri" w:cs="Times New Roman"/>
        </w:rPr>
        <w:t>.</w:t>
      </w:r>
    </w:p>
    <w:p w14:paraId="6B89AD8A"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In de Woerdense bouwsector zijn ook een aantal grote bedrijven verdwenen in de afgelopen vijftien jaar (BAM, van der Heijden), maar de sector zorgde toch voor 572 nieuwe arbeidsplaatsen over de afgelopen vijftien jaar. Veel werknemers die ontslagen zijn bij de grote bedrijven, zijn waarschijnlijk als ZZP’er doorgegaan. Dit zou het grote aantal eenmansbedrijven in de regio verklaren. 52% van de Woerdense bouwbedrijven heeft geen personeel. Intussen konden ook andere grote bedrijven in de bouw, zoals van Hattum &amp; Blankevoort en van der Pol blijven doorgroeien in regio Woerden. Veel grotere bouwbedrijven zijn zich noodgedwongen meer gaan richten op verbouwingen en bouwadvies, zoals bij verduurzaming van gebouwen (ABN-</w:t>
      </w:r>
      <w:r>
        <w:rPr>
          <w:rFonts w:ascii="Calibri" w:eastAsia="Times New Roman" w:hAnsi="Calibri" w:cs="Times New Roman"/>
        </w:rPr>
        <w:t>Amro</w:t>
      </w:r>
      <w:r w:rsidRPr="00302170">
        <w:rPr>
          <w:rFonts w:ascii="Calibri" w:eastAsia="Times New Roman" w:hAnsi="Calibri" w:cs="Times New Roman"/>
        </w:rPr>
        <w:t>, 2014). Deze trend is ook in Woerden te zien.</w:t>
      </w:r>
    </w:p>
    <w:p w14:paraId="19050DB8" w14:textId="22C66D06" w:rsidR="009C6140" w:rsidRPr="00302170" w:rsidRDefault="009C6140" w:rsidP="00830A61">
      <w:pPr>
        <w:ind w:firstLine="720"/>
        <w:rPr>
          <w:rFonts w:ascii="Calibri" w:eastAsia="Times New Roman" w:hAnsi="Calibri" w:cs="Times New Roman"/>
        </w:rPr>
      </w:pPr>
      <w:r w:rsidRPr="00302170">
        <w:rPr>
          <w:rFonts w:ascii="Calibri" w:eastAsia="Times New Roman" w:hAnsi="Calibri" w:cs="Times New Roman"/>
        </w:rPr>
        <w:t>Het verduurzamen van bestaande gebouwen is nog altijd een groeimarkt. Nu de vastgoedmarkt weer meer aantrekt, zal er bovendien weer meer nieuwbouw gepleegd worden. Dit zal alle subsectoren van de bouw ten goede komen volgens ING (2014). Door de bouwrestricties in het Groene Hart zullen bedrijven die lokaal georiënteerd zijn hier wellicht minder van kunnen profiteren dan de zeer grote of gespecialiseerde bouwmaatschappijen in de regio.</w:t>
      </w:r>
    </w:p>
    <w:p w14:paraId="71EC09BB" w14:textId="77777777" w:rsidR="009C6140" w:rsidRPr="00302170" w:rsidRDefault="009C6140" w:rsidP="00830A61">
      <w:pPr>
        <w:pStyle w:val="Heading2"/>
      </w:pPr>
      <w:r w:rsidRPr="00302170">
        <w:t>Handel</w:t>
      </w:r>
    </w:p>
    <w:p w14:paraId="073E4C7D"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In regio Woerden is handel de grootste sector qua banen. Ook in vergelijking met de provincie en met Nederland is de Handel een zeer grote sector. Dit komt met name door de sterke concentratie van groothandels in Woerden en Mijdrecht. Regio Alphen heeft vrijwel evenveel handel als regio Woerden, terwijl regio Gouda hier relatief iets achterloopt.</w:t>
      </w:r>
    </w:p>
    <w:p w14:paraId="7C090D21" w14:textId="03903681"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De handel groeide in regio Woerden</w:t>
      </w:r>
      <w:r>
        <w:rPr>
          <w:rFonts w:ascii="Calibri" w:eastAsia="Times New Roman" w:hAnsi="Calibri" w:cs="Times New Roman"/>
        </w:rPr>
        <w:t xml:space="preserve"> met</w:t>
      </w:r>
      <w:r w:rsidRPr="00302170">
        <w:rPr>
          <w:rFonts w:ascii="Calibri" w:eastAsia="Times New Roman" w:hAnsi="Calibri" w:cs="Times New Roman"/>
        </w:rPr>
        <w:t xml:space="preserve"> 12% tussen 1997 en 2012, en doordat deze sector altijd al een grote omvang had, vertaalt dit zich tot een absolute groei van 1233 nieuwe banen. De handel groeide net zo snel als gemiddeld is in Nederland, maar twee keer sneller dan in provincie Utrecht. Alle groei in de handel vond plaats tussen 1997 en 2002, om in de vijf jaar daarna stabiel te blijven en vervolgens zelfs licht te krimpen. In de rest van Nederland volgde de handel hetzelfde patroon.</w:t>
      </w:r>
      <w:r>
        <w:rPr>
          <w:rFonts w:ascii="Calibri" w:eastAsia="Times New Roman" w:hAnsi="Calibri" w:cs="Times New Roman"/>
        </w:rPr>
        <w:t xml:space="preserve"> Dit is voornamelijk te wijten aan een dip in de Europese handel (ABN-Amro, 2014).</w:t>
      </w:r>
      <w:r w:rsidRPr="00302170">
        <w:rPr>
          <w:rFonts w:ascii="Calibri" w:eastAsia="Times New Roman" w:hAnsi="Calibri" w:cs="Times New Roman"/>
        </w:rPr>
        <w:t xml:space="preserve"> Net als veel andere sectoren kromp de handel in Gouda tussen 20</w:t>
      </w:r>
      <w:r>
        <w:rPr>
          <w:rFonts w:ascii="Calibri" w:eastAsia="Times New Roman" w:hAnsi="Calibri" w:cs="Times New Roman"/>
        </w:rPr>
        <w:t>02 en 2007 zeer hard, met 28%. D</w:t>
      </w:r>
      <w:r w:rsidRPr="00302170">
        <w:rPr>
          <w:rFonts w:ascii="Calibri" w:eastAsia="Times New Roman" w:hAnsi="Calibri" w:cs="Times New Roman"/>
        </w:rPr>
        <w:t>eze krimp komt sterk overeen met de krimp in bevolking</w:t>
      </w:r>
      <w:r w:rsidR="006D145A">
        <w:rPr>
          <w:rFonts w:ascii="Calibri" w:eastAsia="Times New Roman" w:hAnsi="Calibri" w:cs="Times New Roman"/>
        </w:rPr>
        <w:t xml:space="preserve"> in Gouda</w:t>
      </w:r>
      <w:r>
        <w:rPr>
          <w:rFonts w:ascii="Calibri" w:eastAsia="Times New Roman" w:hAnsi="Calibri" w:cs="Times New Roman"/>
        </w:rPr>
        <w:t>.</w:t>
      </w:r>
    </w:p>
    <w:p w14:paraId="609518D3" w14:textId="31514EAE" w:rsidR="009C6140" w:rsidRPr="00302170" w:rsidRDefault="009C6140" w:rsidP="00830A61">
      <w:pPr>
        <w:ind w:firstLine="720"/>
        <w:rPr>
          <w:rFonts w:ascii="Calibri" w:eastAsia="Times New Roman" w:hAnsi="Calibri" w:cs="Times New Roman"/>
        </w:rPr>
      </w:pPr>
      <w:r w:rsidRPr="00302170">
        <w:rPr>
          <w:rFonts w:ascii="Calibri" w:eastAsia="Times New Roman" w:hAnsi="Calibri" w:cs="Times New Roman"/>
        </w:rPr>
        <w:t>De groothandels in de regio die de afgelopen jaren het sterkst groeiden, richten zich op bouw, voedsel en machines, drie takken van de economie waar regio Woerden zich in specialiseert. Door het herstellen van de bouwsector wordt sterke groei van de bouwgroothandel verwacht voor de komende twee jaar (ING, 2014). De groothandel in voedsel krijgt steeds meer concurrentie van bedrijven die via internet inkopen bij de producent doen. Er zijn echter sterke groeimarkten op het gebied van biovoedsel, streekvoedsel en gemaksverpakkingen (ABN-</w:t>
      </w:r>
      <w:r>
        <w:rPr>
          <w:rFonts w:ascii="Calibri" w:eastAsia="Times New Roman" w:hAnsi="Calibri" w:cs="Times New Roman"/>
        </w:rPr>
        <w:t>Amro</w:t>
      </w:r>
      <w:r w:rsidRPr="00302170">
        <w:rPr>
          <w:rFonts w:ascii="Calibri" w:eastAsia="Times New Roman" w:hAnsi="Calibri" w:cs="Times New Roman"/>
        </w:rPr>
        <w:t>, 2014). In samenwerking met de landbouw kan regio Woerden profiteren van de trend rond streekvoedsel. De zuivelgroothandels in Woerden zijn al bezig met gemaksverpakkingen voor kaas. Naast deze specifieke groeimarkten is de verwachting dat de handel in heel Europa aan zal trekken</w:t>
      </w:r>
      <w:r>
        <w:rPr>
          <w:rFonts w:ascii="Calibri" w:eastAsia="Times New Roman" w:hAnsi="Calibri" w:cs="Times New Roman"/>
        </w:rPr>
        <w:t>.</w:t>
      </w:r>
      <w:r w:rsidRPr="00302170">
        <w:rPr>
          <w:rFonts w:ascii="Calibri" w:eastAsia="Times New Roman" w:hAnsi="Calibri" w:cs="Times New Roman"/>
        </w:rPr>
        <w:t xml:space="preserve"> </w:t>
      </w:r>
      <w:r>
        <w:rPr>
          <w:rFonts w:ascii="Calibri" w:eastAsia="Times New Roman" w:hAnsi="Calibri" w:cs="Times New Roman"/>
        </w:rPr>
        <w:t xml:space="preserve">Door de inzet van meer ICT-middelen kan de groothandel de komende jaren haar productiviteit verhogen </w:t>
      </w:r>
      <w:r w:rsidRPr="00302170">
        <w:rPr>
          <w:rFonts w:ascii="Calibri" w:eastAsia="Times New Roman" w:hAnsi="Calibri" w:cs="Times New Roman"/>
        </w:rPr>
        <w:t>(ING</w:t>
      </w:r>
      <w:r>
        <w:rPr>
          <w:rFonts w:ascii="Calibri" w:eastAsia="Times New Roman" w:hAnsi="Calibri" w:cs="Times New Roman"/>
        </w:rPr>
        <w:t>, 2014</w:t>
      </w:r>
      <w:r w:rsidRPr="00302170">
        <w:rPr>
          <w:rFonts w:ascii="Calibri" w:eastAsia="Times New Roman" w:hAnsi="Calibri" w:cs="Times New Roman"/>
        </w:rPr>
        <w:t>; ABN-</w:t>
      </w:r>
      <w:r>
        <w:rPr>
          <w:rFonts w:ascii="Calibri" w:eastAsia="Times New Roman" w:hAnsi="Calibri" w:cs="Times New Roman"/>
        </w:rPr>
        <w:t>Amro</w:t>
      </w:r>
      <w:r w:rsidRPr="00302170">
        <w:rPr>
          <w:rFonts w:ascii="Calibri" w:eastAsia="Times New Roman" w:hAnsi="Calibri" w:cs="Times New Roman"/>
        </w:rPr>
        <w:t>, 2014)</w:t>
      </w:r>
      <w:r>
        <w:rPr>
          <w:rFonts w:ascii="Calibri" w:eastAsia="Times New Roman" w:hAnsi="Calibri" w:cs="Times New Roman"/>
        </w:rPr>
        <w:t>. Dit zal de groei in arbeidsplaatsen mogelijk beperken</w:t>
      </w:r>
      <w:r w:rsidRPr="00302170">
        <w:rPr>
          <w:rFonts w:ascii="Calibri" w:eastAsia="Times New Roman" w:hAnsi="Calibri" w:cs="Times New Roman"/>
        </w:rPr>
        <w:t xml:space="preserve">. </w:t>
      </w:r>
      <w:r>
        <w:rPr>
          <w:rFonts w:ascii="Calibri" w:eastAsia="Times New Roman" w:hAnsi="Calibri" w:cs="Times New Roman"/>
        </w:rPr>
        <w:t>Toch zal de groothandel naar verwachting voor veel economische groei zorgen in regio Woerden.</w:t>
      </w:r>
    </w:p>
    <w:p w14:paraId="52E6301E" w14:textId="77777777" w:rsidR="009C6140" w:rsidRPr="00302170" w:rsidRDefault="009C6140" w:rsidP="00830A61">
      <w:pPr>
        <w:pStyle w:val="Heading2"/>
      </w:pPr>
      <w:r w:rsidRPr="00302170">
        <w:t>Vervoer en opslag</w:t>
      </w:r>
    </w:p>
    <w:p w14:paraId="63D0DB18" w14:textId="732FA20A"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 xml:space="preserve">De transportsector in Woerden springt er in positieve zin uit als de regio vergeleken wordt met provincie Utrecht, maar loopt achter in vergelijking met de rest van Nederland. Ondanks de centrale ligging in Nederland en binnen de randstad, heeft de regio geen sterke specialisatie op dit gebied. Er zijn weinig transporterende </w:t>
      </w:r>
      <w:r w:rsidR="00283514">
        <w:rPr>
          <w:rFonts w:ascii="Calibri" w:eastAsia="Times New Roman" w:hAnsi="Calibri" w:cs="Times New Roman"/>
        </w:rPr>
        <w:t xml:space="preserve">bedrijven </w:t>
      </w:r>
      <w:r w:rsidRPr="00302170">
        <w:rPr>
          <w:rFonts w:ascii="Calibri" w:eastAsia="Times New Roman" w:hAnsi="Calibri" w:cs="Times New Roman"/>
        </w:rPr>
        <w:t>te vinden in de regio, maar wel veel distributiecentra. De distributiecentra staan over het algemeen ingeschreven als groothandel, en komen in de statistieken dus niet voor als opslagbedrijven. Het verdwijnen van het regionale PTT-post centrum in regio Woerden leidde tot een grote hoeveelheid eenmansbedrijfjes die koeriersdiensten leveren. In regio Alphen aan den Rijn is de transportsector vrijwel even groot als in regio Woerden. Regio Gouda bevat meer knooppunten tussen snelwegen en belangrijke provinciale wegen en kent iets meer transportbedrijven.</w:t>
      </w:r>
    </w:p>
    <w:p w14:paraId="585C097B" w14:textId="17443857" w:rsidR="009C6140" w:rsidRPr="00302170" w:rsidRDefault="009C6140" w:rsidP="00830A61">
      <w:pPr>
        <w:ind w:firstLine="720"/>
        <w:rPr>
          <w:rFonts w:ascii="Calibri" w:eastAsia="Times New Roman" w:hAnsi="Calibri" w:cs="Times New Roman"/>
        </w:rPr>
      </w:pPr>
      <w:r w:rsidRPr="00302170">
        <w:rPr>
          <w:rFonts w:ascii="Calibri" w:eastAsia="Times New Roman" w:hAnsi="Calibri" w:cs="Times New Roman"/>
        </w:rPr>
        <w:t xml:space="preserve">De sector groeide eind jaren negentig met 21%, gelijk aan de </w:t>
      </w:r>
      <w:r>
        <w:rPr>
          <w:rFonts w:ascii="Calibri" w:eastAsia="Times New Roman" w:hAnsi="Calibri" w:cs="Times New Roman"/>
        </w:rPr>
        <w:t>gemiddelde economische</w:t>
      </w:r>
      <w:r w:rsidRPr="00302170">
        <w:rPr>
          <w:rFonts w:ascii="Calibri" w:eastAsia="Times New Roman" w:hAnsi="Calibri" w:cs="Times New Roman"/>
        </w:rPr>
        <w:t xml:space="preserve"> groei in regio Woerden, maar nam tussen 2002 en 2007 af in werkgelegenheid. In de laatste vijf jaar stabiliseerde de werkgelegenheid zich weer. Dit komt overeen met de ontwikkelingen van de transportsector in de rest van Nederland en die in regio Alphen. In Gouda en provincie Utrecht krimpt de transport sector echter. De grote banken in Nederland verwachten dat de transportsector qua arbeidsplaatsen in Nederland nauwelijks nog zal groeien omdat veel chauffeurs uit Oost-Europa komen. Hoewel het transport over heel Europa zal toenemen kunnen alleen grootschalige transporteurs concurreren met het</w:t>
      </w:r>
      <w:r>
        <w:rPr>
          <w:rFonts w:ascii="Calibri" w:eastAsia="Times New Roman" w:hAnsi="Calibri" w:cs="Times New Roman"/>
        </w:rPr>
        <w:t xml:space="preserve"> buitenland op lange trajecten. De grote hoeveelheid groothandel in regio Woerden zorgt er mogelijk wel voor dat er werkgelegenheid voor vervoer en opslag blijft voor kortere ritten.</w:t>
      </w:r>
    </w:p>
    <w:p w14:paraId="5DE490F8" w14:textId="77777777" w:rsidR="009C6140" w:rsidRPr="00302170" w:rsidRDefault="009C6140" w:rsidP="00830A61">
      <w:pPr>
        <w:pStyle w:val="Heading2"/>
      </w:pPr>
      <w:r w:rsidRPr="00302170">
        <w:t>Horeca</w:t>
      </w:r>
    </w:p>
    <w:p w14:paraId="5064A00E" w14:textId="2F320DE4"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Door het landelijk karakter van regio Woerden, heeft de Horeca een kleiner aandeel in de economie dan in provincie Utrecht of Nederland. Toch zijn er duizend mensen werkzaam in de sector. Dit is een derde meer dan vijftien jaar geleden. De sector groeide voornamelijk tussen 2002 en 2007, maar kromp de vijf jaar daarna weer licht. Dit patroon is ook zichtbaar in Alphen aan den Rijn. In regio Gouda is daarnaast het aantal horecabanen sterk afgenomen tussen 2002 en 2007, toen er sprake was van bevolkingskrimp. In provincie Utrecht en Nederland groeide de Horeca gemiddeld harder. Ook bleef de banengroei van de horecasector achter bij de be</w:t>
      </w:r>
      <w:r>
        <w:rPr>
          <w:rFonts w:ascii="Calibri" w:eastAsia="Times New Roman" w:hAnsi="Calibri" w:cs="Times New Roman"/>
        </w:rPr>
        <w:t>volkingsgroei in regio Woerden.</w:t>
      </w:r>
    </w:p>
    <w:p w14:paraId="3F5D188C" w14:textId="77777777" w:rsidR="009C6140" w:rsidRPr="00302170" w:rsidRDefault="009C6140" w:rsidP="00830A61">
      <w:pPr>
        <w:pStyle w:val="Heading2"/>
      </w:pPr>
      <w:r w:rsidRPr="00302170">
        <w:t>Informatie en communicatie</w:t>
      </w:r>
    </w:p>
    <w:p w14:paraId="71837611"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De sector informatie en communicatie is groot ten opzichte van Nederland, maar klein in vergelijking met provincie Utrecht. Dit komt voornamelijk omdat de stad Utrecht zelf sterk gespecialiseerd is in ICT-diensten en daarmee het provinciale gemiddelde sterk doet stijgen. 71% van de werkgelegenheid in informatie en communicatie in regio Woerden is in gemeente Woerden te vinden. Twintig procent van de werknemers in deze sector werkt bij het datacenter dat ABN-</w:t>
      </w:r>
      <w:r>
        <w:rPr>
          <w:rFonts w:ascii="Calibri" w:eastAsia="Times New Roman" w:hAnsi="Calibri" w:cs="Times New Roman"/>
        </w:rPr>
        <w:t>Amro</w:t>
      </w:r>
      <w:r w:rsidRPr="00302170">
        <w:rPr>
          <w:rFonts w:ascii="Calibri" w:eastAsia="Times New Roman" w:hAnsi="Calibri" w:cs="Times New Roman"/>
        </w:rPr>
        <w:t xml:space="preserve"> in Woerden heeft.</w:t>
      </w:r>
    </w:p>
    <w:p w14:paraId="5B5567C1"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 xml:space="preserve">De sector Informatie en communicatie groeide tussen 1997 en 2002 met 35%, om in de vijf jaar daarna weer met 22% te krimpen. Deze krimp is voornamelijk toe te schrijven aan het verdwijnen van ruim tweehonderd banen toen het uitzenden van TV en Radio volledig werd geprivatiseerd, en Nozema in Lopik werd opgeheven. Ook sloot ICT-consultant Logica een vestiging met 115 werknemers. In de laatste vijf jaar groeide informatie en communicatie nog met 2%. De totale groei over de onderzochte vijftien jaar bedraagt 8%. Hierdoor blijft de groei van de sector sterk achter bij de provincie en het gemiddelde van Nederland, waar de sector over vijftien jaar anderhalf keer zo groot is geworden, ondanks algemene krimp tussen 2002 en 2007, toen de “dot com bubbel” barste. </w:t>
      </w:r>
    </w:p>
    <w:p w14:paraId="4B2D35DC" w14:textId="2E4BA4B8" w:rsidR="009C6140" w:rsidRPr="00302170" w:rsidRDefault="009C6140" w:rsidP="00830A61">
      <w:pPr>
        <w:ind w:firstLine="720"/>
        <w:rPr>
          <w:rFonts w:ascii="Calibri" w:eastAsia="Times New Roman" w:hAnsi="Calibri" w:cs="Times New Roman"/>
        </w:rPr>
      </w:pPr>
      <w:r w:rsidRPr="00302170">
        <w:rPr>
          <w:rFonts w:ascii="Calibri" w:eastAsia="Times New Roman" w:hAnsi="Calibri" w:cs="Times New Roman"/>
        </w:rPr>
        <w:t>In Alphen aan den Rijn zijn veel minder banen in de ICT, in Gouda speelt de sector een iets grotere rol dan in regio Woerden. Waar de sector in Woerden gedomineerd wordt door kleine bedrijfjes en ZZP’ers, hebben grote spelers als Imtech, Centric en Ortec hun hoofdkantoor in Gouda. Door deze bedrijven wist de ICT-sector als een van de weinige bedrijfstakken te groeien in Gouda. Woerden heeft groeiende ICT-bedrijven tot nu toe niet vast weten te houden, ondanks de grote hoeveelheid ICT’ers in de regio. Dit kan nog altijd veranderen, hoewel ABN-</w:t>
      </w:r>
      <w:r>
        <w:rPr>
          <w:rFonts w:ascii="Calibri" w:eastAsia="Times New Roman" w:hAnsi="Calibri" w:cs="Times New Roman"/>
        </w:rPr>
        <w:t>Amro</w:t>
      </w:r>
      <w:r w:rsidRPr="00302170">
        <w:rPr>
          <w:rFonts w:ascii="Calibri" w:eastAsia="Times New Roman" w:hAnsi="Calibri" w:cs="Times New Roman"/>
        </w:rPr>
        <w:t xml:space="preserve"> (2014) verwacht dat alleen de grote ICT bedrijven de investeringen aankunnen die nodig zijn om te blijven groeien nu cloud-toepassingen de ICT-markt steeds grootschaliger maken. Op dit moment ligt de kracht de ICT-sector in Woerden in de samenwerking van ZZP’ers en middelgrote bedrijven. Door de flexibiliteit van ZZP’ers kunnen de middelgrote bedrijven eenvoudig specialisten inzetten als ze nodig zijn, maar deze niet full-time in dienst houden.</w:t>
      </w:r>
    </w:p>
    <w:p w14:paraId="2078208D" w14:textId="77777777" w:rsidR="009C6140" w:rsidRPr="00302170" w:rsidRDefault="009C6140" w:rsidP="00830A61">
      <w:pPr>
        <w:pStyle w:val="Heading2"/>
      </w:pPr>
      <w:r w:rsidRPr="00302170">
        <w:t>Financiële dienstverlening</w:t>
      </w:r>
    </w:p>
    <w:p w14:paraId="3B857CB7"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Buiten het ICT-centrum van ABN-</w:t>
      </w:r>
      <w:r>
        <w:rPr>
          <w:rFonts w:ascii="Calibri" w:eastAsia="Times New Roman" w:hAnsi="Calibri" w:cs="Times New Roman"/>
        </w:rPr>
        <w:t>Amro</w:t>
      </w:r>
      <w:r w:rsidRPr="00302170">
        <w:rPr>
          <w:rFonts w:ascii="Calibri" w:eastAsia="Times New Roman" w:hAnsi="Calibri" w:cs="Times New Roman"/>
        </w:rPr>
        <w:t xml:space="preserve"> zijn de banken sterk ondervertegenwoordigd in regio Woerden. Het aandeel van financiële instellingen in de werkgelegenheid van Woerden is maar de helft van dat van Nederland. In vergelijking met provincie biedt de regio in verhouding maar een derde van de banen in de financiële sector. Nog sterker dan ICT-bedrijven, zijn financiële diensten voornamelijk geconcentreerd is meer verstedelijkte gebieden.</w:t>
      </w:r>
    </w:p>
    <w:p w14:paraId="40C096B8" w14:textId="26FAE5DC" w:rsidR="009C6140" w:rsidRPr="00830A61" w:rsidRDefault="009C6140" w:rsidP="009C6140">
      <w:pPr>
        <w:rPr>
          <w:rFonts w:ascii="Calibri" w:eastAsia="Times New Roman" w:hAnsi="Calibri" w:cs="Times New Roman"/>
          <w:u w:val="single"/>
        </w:rPr>
      </w:pPr>
      <w:r w:rsidRPr="00302170">
        <w:rPr>
          <w:rFonts w:ascii="Calibri" w:eastAsia="Times New Roman" w:hAnsi="Calibri" w:cs="Times New Roman"/>
        </w:rPr>
        <w:tab/>
        <w:t>Ondanks een sterke groei van 46%, die tussen 1997 en 2002 voortkwam uit een nieuwe regionale Rabobank, kromp de sector in de tien jaar daarna met 56%. In provincie Utrecht en de rest van Nederland is ook een afzwakking van groei te zien die eindigt in krimp tussen 2007 en 2012. De sterkste krimp komt overeen met de jaren dat de wereldwijde economische crisis begon, en banken meer moesten gaan bezuinigen. In provincie Utrecht en Nederland heeft de financiële sector in vijftien jaar echter in totaal meer banen opgeleverd dat er zijn verdwenen. De kleine financiële sector in Woerden is vooral te verklaren aan het landelijke karakter van de regio. In het meer verstedelijkte Gouda zijn al twee derde meer banen in de sector te vinden. De krimp van de financiële sector is echter gelijk over het hele Groene Hart. De werkgelegenheid die verloren ging bij het concentreren van backoffice diensten in grote steden zal waarschijnlijk niet meer terugkomen naar het Groene Hart.</w:t>
      </w:r>
    </w:p>
    <w:p w14:paraId="3762E0CB" w14:textId="77777777" w:rsidR="009C6140" w:rsidRPr="00302170" w:rsidRDefault="009C6140" w:rsidP="00830A61">
      <w:pPr>
        <w:pStyle w:val="Heading2"/>
      </w:pPr>
      <w:r w:rsidRPr="00302170">
        <w:t>Onroerend goed</w:t>
      </w:r>
    </w:p>
    <w:p w14:paraId="67569E51"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 xml:space="preserve">De </w:t>
      </w:r>
      <w:r>
        <w:rPr>
          <w:rFonts w:ascii="Calibri" w:eastAsia="Times New Roman" w:hAnsi="Calibri" w:cs="Times New Roman"/>
        </w:rPr>
        <w:t>vast</w:t>
      </w:r>
      <w:r w:rsidRPr="00302170">
        <w:rPr>
          <w:rFonts w:ascii="Calibri" w:eastAsia="Times New Roman" w:hAnsi="Calibri" w:cs="Times New Roman"/>
        </w:rPr>
        <w:t>goed sector bestaat in Woerden alleen uit kleine bedrijven, en blijft qua werkgelegenheid achter bij zowel de provincie als het land. Het is opvallend dat de sector die zich met verhuur en verkoop van vastgoed wel sterk groeide, ondanks de crisis</w:t>
      </w:r>
      <w:r>
        <w:rPr>
          <w:rFonts w:ascii="Calibri" w:eastAsia="Times New Roman" w:hAnsi="Calibri" w:cs="Times New Roman"/>
        </w:rPr>
        <w:t xml:space="preserve"> en een afname in nieuwbouw</w:t>
      </w:r>
      <w:r w:rsidRPr="00302170">
        <w:rPr>
          <w:rFonts w:ascii="Calibri" w:eastAsia="Times New Roman" w:hAnsi="Calibri" w:cs="Times New Roman"/>
        </w:rPr>
        <w:t>. Zoals in vrijwel iedere sector was de groei het sterkst tussen 1997 en 2003 (37%), toen ook de meeste nieuwbouw werd opgeleverd. Ook de twee periodes van vijf jaar daarna steeg de werkgelegenheid in de sector met 19%.</w:t>
      </w:r>
    </w:p>
    <w:p w14:paraId="21582E41" w14:textId="0250F98C" w:rsidR="009C6140" w:rsidRPr="00302170" w:rsidRDefault="009C6140" w:rsidP="00830A61">
      <w:pPr>
        <w:ind w:firstLine="720"/>
        <w:rPr>
          <w:rFonts w:ascii="Calibri" w:eastAsia="Times New Roman" w:hAnsi="Calibri" w:cs="Times New Roman"/>
        </w:rPr>
      </w:pPr>
      <w:r w:rsidRPr="00302170">
        <w:rPr>
          <w:rFonts w:ascii="Calibri" w:eastAsia="Times New Roman" w:hAnsi="Calibri" w:cs="Times New Roman"/>
        </w:rPr>
        <w:t>De groei komt voornamelijk voort uit nieuwe kleinschalige makelaarskantoren. Ook na de sterke groei van de sector onroerend goed bevat regio Woerden nog relatief weinig banen in de sector vergeleken met de andere twee regio’s in het Groene Hart. Ook in provincie Utrecht en in Nederland als geheel groeide de sector sterk, met alleen in provincie Utrecht een lichte krimp tussen 2007 en 2012. Waarschijnlijk zal de vastgoedsector in regio Woerden nog verder groeien. De sector bevat minder banen in de regio dan in de buurregio’s en de verwachting is dat de omzetten in de vastgoedmarkt weer zullen stijgen door het normaliseren van de woningmarkt (ABN-</w:t>
      </w:r>
      <w:r>
        <w:rPr>
          <w:rFonts w:ascii="Calibri" w:eastAsia="Times New Roman" w:hAnsi="Calibri" w:cs="Times New Roman"/>
        </w:rPr>
        <w:t>Amro</w:t>
      </w:r>
      <w:r w:rsidRPr="00302170">
        <w:rPr>
          <w:rFonts w:ascii="Calibri" w:eastAsia="Times New Roman" w:hAnsi="Calibri" w:cs="Times New Roman"/>
        </w:rPr>
        <w:t>, 2014). Doordat er weinig nieuw land mag worden vrijgegeven voor nieuwbouw, zal er relatief weinig vastgoed bij komen in de regio. Dit drukt de groei van de sector in Woerden mogelijk.</w:t>
      </w:r>
    </w:p>
    <w:p w14:paraId="4EF343DD" w14:textId="77777777" w:rsidR="009C6140" w:rsidRPr="00302170" w:rsidRDefault="009C6140" w:rsidP="00830A61">
      <w:pPr>
        <w:pStyle w:val="Heading2"/>
      </w:pPr>
      <w:r w:rsidRPr="00302170">
        <w:t>Specialistische zakelijke dienstverlening</w:t>
      </w:r>
    </w:p>
    <w:p w14:paraId="657F48DE"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 xml:space="preserve">Bijna 8% van de werkende bevolking in regio Woerden is actief in de specialistische zakelijke dienstverlening. Dit percentage ligt lager dan in provincie Utrecht of Nederland, maar het groeit snel. Na de zorg is de specialistische zakelijke dienstverlening de sector die de meeste banen heeft opgeleverd over de onderzochte vijftien jaar. Procentueel zorgde deze sector zelfs voor de meeste groei. De sterkste groei in deze sector vond plaats tussen 1997 en 2002, toen de gehele economie nog hard groeide. Deze groei veranderde echter in krimp in de vijf jaren daarna. In de laatste vijf jaar steeg de groei in deze sector weer, waarschijnlijk omdat veel mensen die verdwenen bij grotere bedrijven als adviseurs zijn gaan flexwerken. 52% van de nieuwe bedrijven in deze sector </w:t>
      </w:r>
      <w:r>
        <w:rPr>
          <w:rFonts w:ascii="Calibri" w:eastAsia="Times New Roman" w:hAnsi="Calibri" w:cs="Times New Roman"/>
        </w:rPr>
        <w:t>bestaat uit</w:t>
      </w:r>
      <w:r w:rsidRPr="00302170">
        <w:rPr>
          <w:rFonts w:ascii="Calibri" w:eastAsia="Times New Roman" w:hAnsi="Calibri" w:cs="Times New Roman"/>
        </w:rPr>
        <w:t xml:space="preserve"> ZZP’ers.</w:t>
      </w:r>
    </w:p>
    <w:p w14:paraId="5F1B4B0E"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ab/>
        <w:t>In de meer verstedelijkte regio Gouda is er net iets meer specialistische zakelijke dienstverlening te vinden. De sector groeide in heel Nederland, en iedere onderzochte regio, maar nergens zo hard als in regio Woerden. Doordat de drempel om een eigen bedrijf op te richten laag is in de specialistische zakelijke dienstverlening, is de sector aantrekkelijk voor mensen die ondernemer willen worden maar weinig startkapitaal hebben. Een computer is vaak al genoeg om een bedrijf te starten. In een regio waar veel banen bij grote bedrijven verdwijnen en mensen nieuwe bedrijven moeten starten, is het dus logisch dat veel mensen dat in de specialistische zakelijke dienstverlening doen.</w:t>
      </w:r>
    </w:p>
    <w:p w14:paraId="74536959" w14:textId="7782346A" w:rsidR="009C6140" w:rsidRPr="00830A61" w:rsidRDefault="009C6140" w:rsidP="009C6140">
      <w:pPr>
        <w:rPr>
          <w:rFonts w:ascii="Calibri" w:eastAsia="Times New Roman" w:hAnsi="Calibri" w:cs="Times New Roman"/>
        </w:rPr>
      </w:pPr>
      <w:r w:rsidRPr="00302170">
        <w:rPr>
          <w:rFonts w:ascii="Calibri" w:eastAsia="Times New Roman" w:hAnsi="Calibri" w:cs="Times New Roman"/>
        </w:rPr>
        <w:tab/>
        <w:t>Een probleem in de specialistische zakelijke dienstverlening, is d</w:t>
      </w:r>
      <w:r>
        <w:rPr>
          <w:rFonts w:ascii="Calibri" w:eastAsia="Times New Roman" w:hAnsi="Calibri" w:cs="Times New Roman"/>
        </w:rPr>
        <w:t>at de arbeidsmarkt zeer ruim is,</w:t>
      </w:r>
      <w:r w:rsidRPr="00302170">
        <w:rPr>
          <w:rFonts w:ascii="Calibri" w:eastAsia="Times New Roman" w:hAnsi="Calibri" w:cs="Times New Roman"/>
        </w:rPr>
        <w:t xml:space="preserve"> vergeleken met de vraag. Alleen technische dienstverlening en ICT advies kampen met ernstige tekorten in geschikt personeel (ABN-</w:t>
      </w:r>
      <w:r>
        <w:rPr>
          <w:rFonts w:ascii="Calibri" w:eastAsia="Times New Roman" w:hAnsi="Calibri" w:cs="Times New Roman"/>
        </w:rPr>
        <w:t>Amro</w:t>
      </w:r>
      <w:r w:rsidRPr="00302170">
        <w:rPr>
          <w:rFonts w:ascii="Calibri" w:eastAsia="Times New Roman" w:hAnsi="Calibri" w:cs="Times New Roman"/>
        </w:rPr>
        <w:t xml:space="preserve">, 2014). Door dit overschot op de meeste deelmarkten </w:t>
      </w:r>
      <w:r>
        <w:rPr>
          <w:rFonts w:ascii="Calibri" w:eastAsia="Times New Roman" w:hAnsi="Calibri" w:cs="Times New Roman"/>
        </w:rPr>
        <w:t>is verdere groei in de sector onzeker</w:t>
      </w:r>
      <w:r w:rsidRPr="00302170">
        <w:rPr>
          <w:rFonts w:ascii="Calibri" w:eastAsia="Times New Roman" w:hAnsi="Calibri" w:cs="Times New Roman"/>
        </w:rPr>
        <w:t>.</w:t>
      </w:r>
    </w:p>
    <w:p w14:paraId="3EFD6069" w14:textId="77777777" w:rsidR="009C6140" w:rsidRPr="00302170" w:rsidRDefault="009C6140" w:rsidP="00830A61">
      <w:pPr>
        <w:pStyle w:val="Heading2"/>
      </w:pPr>
      <w:r w:rsidRPr="00302170">
        <w:t>Verhuur en overige zakelijke dienstverlening</w:t>
      </w:r>
    </w:p>
    <w:p w14:paraId="19687756"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De sector verhuur en overige zakelijke dienstverlening is in regio Woerden net iets groter dan is de rest van de provincie, maar net iets kleiner dan gemiddeld in Nederland. In regio Woerden komen de meeste arbeidsplaatsen in de sector voort uit de verhuur van machines.</w:t>
      </w:r>
    </w:p>
    <w:p w14:paraId="1BEBADC5" w14:textId="5921CE6E" w:rsidR="009C6140" w:rsidRPr="00830A61" w:rsidRDefault="009C6140" w:rsidP="009C6140">
      <w:pPr>
        <w:rPr>
          <w:rFonts w:ascii="Calibri" w:eastAsia="Times New Roman" w:hAnsi="Calibri" w:cs="Times New Roman"/>
        </w:rPr>
      </w:pPr>
      <w:r w:rsidRPr="00302170">
        <w:rPr>
          <w:rFonts w:ascii="Calibri" w:eastAsia="Times New Roman" w:hAnsi="Calibri" w:cs="Times New Roman"/>
        </w:rPr>
        <w:t xml:space="preserve">De sector verhuur en overige zakelijke dienstverlening zorgde in 15 jaar voor 822 nieuwe banen, waarvan de meeste tussen 1997 en 2002, deze periode gaat samen met de bouw van een nieuw industrieterrein in Woerden. In minder sterke mate groeide de sector ook in de rest van Nederland. Veel verhuurbedrijven in de regio ondersteunen de bouwsector. In de andere twee Groene Hart regio’s is de sector net iets kleiner dan in Woerden. De sector groeit echter het hardst in regio Woerden, mogelijk door de vele ZZP’ers in de bouw, die specialistische bouwmachines huren. Het aantrekken van de bouwsector </w:t>
      </w:r>
      <w:r>
        <w:rPr>
          <w:rFonts w:ascii="Calibri" w:eastAsia="Times New Roman" w:hAnsi="Calibri" w:cs="Times New Roman"/>
        </w:rPr>
        <w:t>kan</w:t>
      </w:r>
      <w:r w:rsidRPr="00302170">
        <w:rPr>
          <w:rFonts w:ascii="Calibri" w:eastAsia="Times New Roman" w:hAnsi="Calibri" w:cs="Times New Roman"/>
        </w:rPr>
        <w:t xml:space="preserve"> de komende jaren ook verhuur en overige zakelijke dienstverlening ten goede komen.</w:t>
      </w:r>
    </w:p>
    <w:p w14:paraId="3B760D2C" w14:textId="77777777" w:rsidR="009C6140" w:rsidRPr="00302170" w:rsidRDefault="009C6140" w:rsidP="00830A61">
      <w:pPr>
        <w:pStyle w:val="Heading2"/>
      </w:pPr>
      <w:r w:rsidRPr="00302170">
        <w:t>Zorg</w:t>
      </w:r>
    </w:p>
    <w:p w14:paraId="3AE42A13"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Ook de zorg is met 5050 banen een grote werkgever in regio Woerden. Toch blijft de sector sterk achter in vergelijking met de provincie, of de nationale zorgsector. 20% van de werknemers in de zorg in de regio is werkzaam bij het Zuwe Hofpoort ziekenhuis, met</w:t>
      </w:r>
      <w:r>
        <w:rPr>
          <w:rFonts w:ascii="Calibri" w:eastAsia="Times New Roman" w:hAnsi="Calibri" w:cs="Times New Roman"/>
        </w:rPr>
        <w:t xml:space="preserve"> volgens het LISA databestand</w:t>
      </w:r>
      <w:r w:rsidRPr="00302170">
        <w:rPr>
          <w:rFonts w:ascii="Calibri" w:eastAsia="Times New Roman" w:hAnsi="Calibri" w:cs="Times New Roman"/>
        </w:rPr>
        <w:t xml:space="preserve"> 993 fulltime werknemers de grootste werkgever in de regio.</w:t>
      </w:r>
    </w:p>
    <w:p w14:paraId="5E2EF39E" w14:textId="77777777" w:rsidR="009C6140" w:rsidRPr="00302170" w:rsidRDefault="009C6140" w:rsidP="009C6140">
      <w:pPr>
        <w:ind w:firstLine="720"/>
        <w:rPr>
          <w:rFonts w:ascii="Calibri" w:eastAsia="Times New Roman" w:hAnsi="Calibri" w:cs="Times New Roman"/>
        </w:rPr>
      </w:pPr>
      <w:r w:rsidRPr="00302170">
        <w:rPr>
          <w:rFonts w:ascii="Calibri" w:eastAsia="Times New Roman" w:hAnsi="Calibri" w:cs="Times New Roman"/>
        </w:rPr>
        <w:t>Tussen 1997 en 2012 heeft de zorgsect</w:t>
      </w:r>
      <w:r>
        <w:rPr>
          <w:rFonts w:ascii="Calibri" w:eastAsia="Times New Roman" w:hAnsi="Calibri" w:cs="Times New Roman"/>
        </w:rPr>
        <w:t xml:space="preserve">or voor de meeste nieuwe banen </w:t>
      </w:r>
      <w:r w:rsidRPr="00302170">
        <w:rPr>
          <w:rFonts w:ascii="Calibri" w:eastAsia="Times New Roman" w:hAnsi="Calibri" w:cs="Times New Roman"/>
        </w:rPr>
        <w:t xml:space="preserve">gezorgd in regio Woerden. In de provincie en de rest van het land groeide de zorgsector het sterkst tussen 1997 en 2002, en nam daarna af. In regio Woerden bleef de sector ook in de periode van 2002 tot 2007 sterk groeien, en nam de groei pas in de derde periode, van 2007 tot 2012, sterk af. In totaal groeide de zorg in regio woerden sterker dan in de provincie en Nederland, maar de sector speelt nog altijd een kleinere rol in de regio dan </w:t>
      </w:r>
      <w:r>
        <w:rPr>
          <w:rFonts w:ascii="Calibri" w:eastAsia="Times New Roman" w:hAnsi="Calibri" w:cs="Times New Roman"/>
        </w:rPr>
        <w:t>op</w:t>
      </w:r>
      <w:r w:rsidRPr="00302170">
        <w:rPr>
          <w:rFonts w:ascii="Calibri" w:eastAsia="Times New Roman" w:hAnsi="Calibri" w:cs="Times New Roman"/>
        </w:rPr>
        <w:t xml:space="preserve"> hogere schaalniveaus. Ook in vergelijking met het Groene Hart blijkt dat</w:t>
      </w:r>
      <w:r>
        <w:rPr>
          <w:rFonts w:ascii="Calibri" w:eastAsia="Times New Roman" w:hAnsi="Calibri" w:cs="Times New Roman"/>
        </w:rPr>
        <w:t xml:space="preserve"> in</w:t>
      </w:r>
      <w:r w:rsidRPr="00302170">
        <w:rPr>
          <w:rFonts w:ascii="Calibri" w:eastAsia="Times New Roman" w:hAnsi="Calibri" w:cs="Times New Roman"/>
        </w:rPr>
        <w:t xml:space="preserve"> regio Woerden </w:t>
      </w:r>
      <w:r>
        <w:rPr>
          <w:rFonts w:ascii="Calibri" w:eastAsia="Times New Roman" w:hAnsi="Calibri" w:cs="Times New Roman"/>
        </w:rPr>
        <w:t xml:space="preserve">de </w:t>
      </w:r>
      <w:r w:rsidRPr="00302170">
        <w:rPr>
          <w:rFonts w:ascii="Calibri" w:eastAsia="Times New Roman" w:hAnsi="Calibri" w:cs="Times New Roman"/>
        </w:rPr>
        <w:t>zorgsector buitengewoon veel groei heeft, maar een kleine rol speelt in de algehele werkgelegenheid.</w:t>
      </w:r>
    </w:p>
    <w:p w14:paraId="4D04C7B1" w14:textId="00F92F8D" w:rsidR="009C6140" w:rsidRPr="00830A61" w:rsidRDefault="009C6140" w:rsidP="00830A61">
      <w:pPr>
        <w:ind w:firstLine="720"/>
        <w:rPr>
          <w:rFonts w:ascii="Calibri" w:eastAsia="Times New Roman" w:hAnsi="Calibri" w:cs="Times New Roman"/>
        </w:rPr>
      </w:pPr>
      <w:r w:rsidRPr="00302170">
        <w:rPr>
          <w:rFonts w:ascii="Calibri" w:eastAsia="Times New Roman" w:hAnsi="Calibri" w:cs="Times New Roman"/>
        </w:rPr>
        <w:t xml:space="preserve">De meeste zorgbanen in regio Woerden zijn afhankelijk van de langdurige zorg. In deze branche </w:t>
      </w:r>
      <w:r>
        <w:rPr>
          <w:rFonts w:ascii="Calibri" w:eastAsia="Times New Roman" w:hAnsi="Calibri" w:cs="Times New Roman"/>
        </w:rPr>
        <w:t>is sinds 2015 minder geld beschikbaar, wat waarschijnlijk zal leiden tot krimp</w:t>
      </w:r>
      <w:r w:rsidRPr="00302170">
        <w:rPr>
          <w:rFonts w:ascii="Calibri" w:eastAsia="Times New Roman" w:hAnsi="Calibri" w:cs="Times New Roman"/>
        </w:rPr>
        <w:t>. De thuiszorg zal</w:t>
      </w:r>
      <w:r>
        <w:rPr>
          <w:rFonts w:ascii="Calibri" w:eastAsia="Times New Roman" w:hAnsi="Calibri" w:cs="Times New Roman"/>
        </w:rPr>
        <w:t xml:space="preserve"> waarschijnlijk</w:t>
      </w:r>
      <w:r w:rsidRPr="00302170">
        <w:rPr>
          <w:rFonts w:ascii="Calibri" w:eastAsia="Times New Roman" w:hAnsi="Calibri" w:cs="Times New Roman"/>
        </w:rPr>
        <w:t xml:space="preserve"> wel verder groeien. Ook de vergrijzing zet door en leidt tot meer ouderenzorg. Onder druk van zorgverzekeraars zal het Zuwe Hofpoort Ziekenhuis als onafhankelijk regionaal ziekenhuis mogelijk te maken krijgen met krimp. Op nationaal niveau zal de groei van de zorgsector stagneren (ABN-</w:t>
      </w:r>
      <w:r>
        <w:rPr>
          <w:rFonts w:ascii="Calibri" w:eastAsia="Times New Roman" w:hAnsi="Calibri" w:cs="Times New Roman"/>
        </w:rPr>
        <w:t>Amro</w:t>
      </w:r>
      <w:r w:rsidRPr="00302170">
        <w:rPr>
          <w:rFonts w:ascii="Calibri" w:eastAsia="Times New Roman" w:hAnsi="Calibri" w:cs="Times New Roman"/>
        </w:rPr>
        <w:t>, 2014). De sector is op dit moment echter al relatief klein in regio Woerden. Het is mogelijk dat de zorg in regio Woerden verder blijft groeien en meer op één lijn komt met de omliggende regio’s.</w:t>
      </w:r>
    </w:p>
    <w:p w14:paraId="4B6DC045" w14:textId="77777777" w:rsidR="009C6140" w:rsidRPr="00302170" w:rsidRDefault="009C6140" w:rsidP="00830A61">
      <w:pPr>
        <w:pStyle w:val="Heading2"/>
      </w:pPr>
      <w:r w:rsidRPr="00302170">
        <w:t>Cultuur, sport en recreatie</w:t>
      </w:r>
    </w:p>
    <w:p w14:paraId="63B6254E" w14:textId="72A1E2AD" w:rsidR="009C6140" w:rsidRPr="00830A61" w:rsidRDefault="009C6140" w:rsidP="009C6140">
      <w:pPr>
        <w:rPr>
          <w:rFonts w:ascii="Calibri" w:eastAsia="Times New Roman" w:hAnsi="Calibri" w:cs="Times New Roman"/>
        </w:rPr>
      </w:pPr>
      <w:r w:rsidRPr="00302170">
        <w:rPr>
          <w:rFonts w:ascii="Calibri" w:eastAsia="Times New Roman" w:hAnsi="Calibri" w:cs="Times New Roman"/>
        </w:rPr>
        <w:t>Ondanks het open landschap, de aanwezigheid van recreatiegebied de Vinkeveense plassen en een regionale beleidsfocus op recreatie (Gemeente Woerden,</w:t>
      </w:r>
      <w:r w:rsidRPr="00302170">
        <w:rPr>
          <w:rFonts w:ascii="Calibri" w:eastAsia="Times New Roman" w:hAnsi="Calibri" w:cs="Times New Roman"/>
          <w:b/>
        </w:rPr>
        <w:t xml:space="preserve"> </w:t>
      </w:r>
      <w:r w:rsidRPr="00302170">
        <w:rPr>
          <w:rFonts w:ascii="Calibri" w:eastAsia="Times New Roman" w:hAnsi="Calibri" w:cs="Times New Roman"/>
        </w:rPr>
        <w:t>2008), blijft de omvang van de sector sport, cultuur en recreatie achter bij de provincie en het land. Het is wel de snelst groeiende sector in de regio; het aantal werkzame mensen in de sector is meer dan verdubbeld. Deze groei is ook veel sterker dan in de rest van het Groene Hart. De gemeente Woerden zet dan ook sterk in op het verbeteren van het culturele aanbod van de stad, en hoopt in de toekomst meer te kunnen gaan dienen als recreatieplaats voor de randstad.</w:t>
      </w:r>
      <w:r>
        <w:rPr>
          <w:rFonts w:ascii="Calibri" w:eastAsia="Times New Roman" w:hAnsi="Calibri" w:cs="Times New Roman"/>
        </w:rPr>
        <w:t xml:space="preserve"> De Rabobank (2012), Vogelzang (2009) en Burmanje (2011) zien ook in dat er kansen zijn blijven liggen op het gebied van recreatie, en hopen dat regio Woerden en het Groene Hart in het algemeen verder zullen inzetten op deze sector. </w:t>
      </w:r>
      <w:r w:rsidRPr="00302170">
        <w:rPr>
          <w:rFonts w:ascii="Calibri" w:eastAsia="Times New Roman" w:hAnsi="Calibri" w:cs="Times New Roman"/>
        </w:rPr>
        <w:t>In de ander Groenen Hart regio’s was de groei minder consistent en biedt de sector ook relatief minder banen. In provincie Utrecht en in Nederland maakte de sector wel consistent groei door. Voornamelijk op het gebied van recreatie laat het Groene Hart als geheel kansen liggen. Het is een rustig gebied net buiten de randstad dat goed bereikbaar is en weinig afwijkt van gebieden in Noord-Brabant en Drenthe waar veel meer verdiend wordt aan recreatie. Intussen neemt het toerisme in het Groene Hart juist af (NBTC-NIPO, 2012). Door meer samen te werken aan informatie voorziening en door een duidelijk merk te vormen kunnen Groene hart gemeentes mogelijk een populairdere bestemming voor recreatie vormen. Hier profiteert ook de horeca van. Ook biedt het mogelijkheden voor nevenactiviteiten van boeren en kan het een helpen met een betere regionale identiteit die streekproducten aantrekkelijker maakt (Rabobank, 2012). De sector biedt dus groeikansen die kunnen overvloeien in andere sectoren, maar blijf</w:t>
      </w:r>
      <w:r>
        <w:rPr>
          <w:rFonts w:ascii="Calibri" w:eastAsia="Times New Roman" w:hAnsi="Calibri" w:cs="Times New Roman"/>
        </w:rPr>
        <w:t>t vooralsnog klein.</w:t>
      </w:r>
    </w:p>
    <w:p w14:paraId="5DC20C7B" w14:textId="77777777" w:rsidR="009C6140" w:rsidRPr="00302170" w:rsidRDefault="009C6140" w:rsidP="00830A61">
      <w:pPr>
        <w:pStyle w:val="Heading2"/>
      </w:pPr>
      <w:r w:rsidRPr="00302170">
        <w:t>Overige dienstverlening</w:t>
      </w:r>
    </w:p>
    <w:p w14:paraId="7865C124"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Door de specialisatie in de bouw is ook de sector overige dienstverlening een relatief grote werkgever in de regio. Veel banen in die sector zijn afkomstig van werknemersorganisaties in de bouw. De overige dienstverlening groeide de afgelopen vijftien jaar consistent, met een totale groei van 34%.</w:t>
      </w:r>
      <w:r>
        <w:rPr>
          <w:rFonts w:ascii="Calibri" w:eastAsia="Times New Roman" w:hAnsi="Calibri" w:cs="Times New Roman"/>
        </w:rPr>
        <w:t xml:space="preserve"> Hierdoor is overige dienstverlening een grotere sector in regio Woerden dan in provincie Utrecht en Nederland. Ook de andere Groene Hart regio’s blijven achter bij woerden op het gebied van overige dienstverlening.</w:t>
      </w:r>
    </w:p>
    <w:p w14:paraId="72AF88F2" w14:textId="77777777" w:rsidR="009C6140" w:rsidRPr="00302170" w:rsidRDefault="009C6140" w:rsidP="009C6140">
      <w:pPr>
        <w:rPr>
          <w:rFonts w:ascii="Calibri" w:eastAsia="Times New Roman" w:hAnsi="Calibri" w:cs="Times New Roman"/>
          <w:b/>
          <w:color w:val="000000"/>
          <w:sz w:val="20"/>
        </w:rPr>
      </w:pPr>
    </w:p>
    <w:p w14:paraId="5325AA51" w14:textId="77777777"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Andere sectoren die in regio Woerden achterblijven ten opzichte van de provincie en de rest van het land, zijn waterbeheer &amp; afvalverwerking, overheidsdiensten en onderwijs. Dit is voornamelijk te wijten aan een gebrek aan bovengemeentelijke overheidsdiensten en hoger onderwijs in de regio. Ook is er nauwelijks bedrijvigheid op het gebied van energie.</w:t>
      </w:r>
    </w:p>
    <w:p w14:paraId="1845C8ED" w14:textId="6021F45B" w:rsidR="009C6140" w:rsidRPr="00302170" w:rsidRDefault="009C6140" w:rsidP="009C6140">
      <w:pPr>
        <w:rPr>
          <w:rFonts w:ascii="Calibri" w:eastAsia="Times New Roman" w:hAnsi="Calibri" w:cs="Times New Roman"/>
        </w:rPr>
      </w:pPr>
      <w:r w:rsidRPr="00302170">
        <w:rPr>
          <w:rFonts w:ascii="Calibri" w:eastAsia="Times New Roman" w:hAnsi="Calibri" w:cs="Times New Roman"/>
        </w:rPr>
        <w:t>Waterbeheer en afvalverwerking is na Cultuur, sport en recreatie wel de snelst groeiende sector in regio Woerden. Door de geringe omvang van de sector leverde deze groei maar 102 banen op. Ook onderwijs en overheidsdiensten groeiden, beide sectoren bieden nu iets meer dan anderhalf keer zoveel arbeidsplaatsen als vijftien jaar geleden. Dit komt ongeveer overeen met de bevolkingsgroei van de regio. Deze sectoren groeiden het hardst tussen 1997 en 2002, de periode dat de meeste nieuwbouw in g</w:t>
      </w:r>
      <w:r w:rsidR="00830A61">
        <w:rPr>
          <w:rFonts w:ascii="Calibri" w:eastAsia="Times New Roman" w:hAnsi="Calibri" w:cs="Times New Roman"/>
        </w:rPr>
        <w:t>emeente Woerden werd opgeleverd</w:t>
      </w:r>
    </w:p>
    <w:p w14:paraId="4839ED36" w14:textId="64E5CC62" w:rsidR="009C6140" w:rsidRPr="00302170" w:rsidRDefault="00830A61" w:rsidP="00830A61">
      <w:pPr>
        <w:pStyle w:val="Heading1"/>
      </w:pPr>
      <w:bookmarkStart w:id="52" w:name="_Toc316143582"/>
      <w:bookmarkStart w:id="53" w:name="_Toc337655433"/>
      <w:r>
        <w:t xml:space="preserve">4.6 </w:t>
      </w:r>
      <w:r w:rsidR="009C6140" w:rsidRPr="00302170">
        <w:t>Clusters</w:t>
      </w:r>
      <w:bookmarkEnd w:id="52"/>
      <w:bookmarkEnd w:id="53"/>
    </w:p>
    <w:p w14:paraId="5910E664" w14:textId="7B253C29" w:rsidR="009C6140" w:rsidRPr="00830A61" w:rsidRDefault="009C6140" w:rsidP="009C6140">
      <w:pPr>
        <w:outlineLvl w:val="0"/>
        <w:rPr>
          <w:rFonts w:ascii="Calibri" w:eastAsia="Times New Roman" w:hAnsi="Calibri" w:cs="Times New Roman"/>
          <w:color w:val="000000"/>
        </w:rPr>
      </w:pPr>
      <w:r>
        <w:rPr>
          <w:rFonts w:ascii="Calibri" w:eastAsia="Times New Roman" w:hAnsi="Calibri" w:cs="Times New Roman"/>
          <w:color w:val="000000"/>
        </w:rPr>
        <w:t>Tot nu toe is er per SBI-sectie een beeld geschetst van de omvang in banen in regio Woerden. Om een goed beeld de krijgen van de specialisaties die regio Woerden echt heeft, zal echter moeten worden ingezoomd op groepen bedrijven binnen een SBI-sectie die met dezelfde producten bezig zijn. Ook zijn er bedrijven die samenwerken over de grenzen van SBI-secties heen, zoals producenten in de maakindustrie die samenwerken met groothandel die dezelfde specialisaties kent. Daarom volgen hieronder enkele clusters van bedrijven die elkaar aanvullen en een grote betekenis hebben voor de arbeidsmarkt in regio Woerden. Naast enkele bloeiende clusters, worden ook de zuivel, de voertuigbouw en de drukkersbranche besproken. Deze clusters zijn de afgelopen vijftien jaar sterk gekrompen, maar laten nog wel hun sporen na in de Woerdense economie.</w:t>
      </w:r>
    </w:p>
    <w:p w14:paraId="78637672" w14:textId="77777777" w:rsidR="009C6140" w:rsidRPr="00302170" w:rsidRDefault="009C6140" w:rsidP="00830A61">
      <w:pPr>
        <w:pStyle w:val="Heading2"/>
        <w:rPr>
          <w:shd w:val="clear" w:color="auto" w:fill="FFFFFF"/>
        </w:rPr>
      </w:pPr>
      <w:r w:rsidRPr="00302170">
        <w:rPr>
          <w:shd w:val="clear" w:color="auto" w:fill="FFFFFF"/>
        </w:rPr>
        <w:t>Zuivel</w:t>
      </w:r>
    </w:p>
    <w:p w14:paraId="1AC3F7BD" w14:textId="77777777" w:rsidR="009C6140" w:rsidRPr="00302170" w:rsidRDefault="009C6140" w:rsidP="009C6140">
      <w:pPr>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 xml:space="preserve">Regio Woerden was van oudsher sterk gespecialiseerd in zuivelverwerking. Oorspronkelijk uitte dit zich voornamelijk in kaasproductie. De zuivelindustrie ging in Nederland de afgelopen eeuw steeds meer profiteren van schaalvoordelen. In het begin kon Woerden ervan profiteren dat steeds meer boeren en zuivelverwerkers op grote schaal met elkaar samenwerkten. Doordat de </w:t>
      </w:r>
      <w:r w:rsidRPr="00302170">
        <w:rPr>
          <w:rFonts w:ascii="Calibri" w:eastAsia="Times New Roman" w:hAnsi="Calibri" w:cs="Times New Roman"/>
          <w:i/>
          <w:iCs/>
          <w:color w:val="000000"/>
          <w:shd w:val="clear" w:color="auto" w:fill="FFFFFF"/>
        </w:rPr>
        <w:t>Melkunie</w:t>
      </w:r>
      <w:r w:rsidRPr="00302170">
        <w:rPr>
          <w:rFonts w:ascii="Calibri" w:eastAsia="Times New Roman" w:hAnsi="Calibri" w:cs="Times New Roman"/>
          <w:iCs/>
          <w:color w:val="000000"/>
          <w:shd w:val="clear" w:color="auto" w:fill="FFFFFF"/>
        </w:rPr>
        <w:t xml:space="preserve"> haar hoofdkantoor in Woerden had, werd melk vanuit grote delen van Nederland naar de regio gebracht om verwerkt te worden. Nadat </w:t>
      </w:r>
      <w:r w:rsidRPr="00302170">
        <w:rPr>
          <w:rFonts w:ascii="Calibri" w:eastAsia="Times New Roman" w:hAnsi="Calibri" w:cs="Times New Roman"/>
          <w:i/>
          <w:iCs/>
          <w:color w:val="000000"/>
          <w:shd w:val="clear" w:color="auto" w:fill="FFFFFF"/>
        </w:rPr>
        <w:t>Melkunie</w:t>
      </w:r>
      <w:r w:rsidRPr="00302170">
        <w:rPr>
          <w:rFonts w:ascii="Calibri" w:eastAsia="Times New Roman" w:hAnsi="Calibri" w:cs="Times New Roman"/>
          <w:iCs/>
          <w:color w:val="000000"/>
          <w:shd w:val="clear" w:color="auto" w:fill="FFFFFF"/>
        </w:rPr>
        <w:t xml:space="preserve"> werd overgenomen </w:t>
      </w:r>
      <w:r w:rsidRPr="00302170">
        <w:rPr>
          <w:rFonts w:ascii="Calibri" w:eastAsia="Times New Roman" w:hAnsi="Calibri" w:cs="Times New Roman"/>
          <w:i/>
          <w:iCs/>
          <w:color w:val="000000"/>
          <w:shd w:val="clear" w:color="auto" w:fill="FFFFFF"/>
        </w:rPr>
        <w:t>Campina</w:t>
      </w:r>
      <w:r>
        <w:rPr>
          <w:rFonts w:ascii="Calibri" w:eastAsia="Times New Roman" w:hAnsi="Calibri" w:cs="Times New Roman"/>
          <w:iCs/>
          <w:color w:val="000000"/>
          <w:shd w:val="clear" w:color="auto" w:fill="FFFFFF"/>
        </w:rPr>
        <w:t>,</w:t>
      </w:r>
      <w:r w:rsidRPr="00302170">
        <w:rPr>
          <w:rFonts w:ascii="Calibri" w:eastAsia="Times New Roman" w:hAnsi="Calibri" w:cs="Times New Roman"/>
          <w:iCs/>
          <w:color w:val="000000"/>
          <w:shd w:val="clear" w:color="auto" w:fill="FFFFFF"/>
        </w:rPr>
        <w:t xml:space="preserve"> kwam Woerden centraal te liggen in een nog groter netwerk van boeren en zuivelverwerking.</w:t>
      </w:r>
    </w:p>
    <w:p w14:paraId="6B03DF1B" w14:textId="77777777" w:rsidR="009C6140" w:rsidRPr="00302170" w:rsidRDefault="009C6140" w:rsidP="009C6140">
      <w:pPr>
        <w:ind w:firstLine="720"/>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 xml:space="preserve">Campina besloot echter om steeds meer productie over te hevelen naar grotere en modernere fabrieken buiten Woerden. Toen </w:t>
      </w:r>
      <w:r w:rsidRPr="00302170">
        <w:rPr>
          <w:rFonts w:ascii="Calibri" w:eastAsia="Times New Roman" w:hAnsi="Calibri" w:cs="Times New Roman"/>
          <w:i/>
          <w:iCs/>
          <w:color w:val="000000"/>
          <w:shd w:val="clear" w:color="auto" w:fill="FFFFFF"/>
        </w:rPr>
        <w:t>Campina</w:t>
      </w:r>
      <w:r w:rsidRPr="00302170">
        <w:rPr>
          <w:rFonts w:ascii="Calibri" w:eastAsia="Times New Roman" w:hAnsi="Calibri" w:cs="Times New Roman"/>
          <w:iCs/>
          <w:color w:val="000000"/>
          <w:shd w:val="clear" w:color="auto" w:fill="FFFFFF"/>
        </w:rPr>
        <w:t xml:space="preserve"> in 2008 fuseerde met </w:t>
      </w:r>
      <w:r w:rsidRPr="00302170">
        <w:rPr>
          <w:rFonts w:ascii="Calibri" w:eastAsia="Times New Roman" w:hAnsi="Calibri" w:cs="Times New Roman"/>
          <w:i/>
          <w:iCs/>
          <w:color w:val="000000"/>
          <w:shd w:val="clear" w:color="auto" w:fill="FFFFFF"/>
        </w:rPr>
        <w:t>Friesland Foods</w:t>
      </w:r>
      <w:r w:rsidRPr="00302170">
        <w:rPr>
          <w:rFonts w:ascii="Calibri" w:eastAsia="Times New Roman" w:hAnsi="Calibri" w:cs="Times New Roman"/>
          <w:iCs/>
          <w:color w:val="000000"/>
          <w:shd w:val="clear" w:color="auto" w:fill="FFFFFF"/>
        </w:rPr>
        <w:t xml:space="preserve"> werd </w:t>
      </w:r>
      <w:r>
        <w:rPr>
          <w:rFonts w:ascii="Calibri" w:eastAsia="Times New Roman" w:hAnsi="Calibri" w:cs="Times New Roman"/>
          <w:iCs/>
          <w:color w:val="000000"/>
          <w:shd w:val="clear" w:color="auto" w:fill="FFFFFF"/>
        </w:rPr>
        <w:t xml:space="preserve">ook </w:t>
      </w:r>
      <w:r w:rsidRPr="00302170">
        <w:rPr>
          <w:rFonts w:ascii="Calibri" w:eastAsia="Times New Roman" w:hAnsi="Calibri" w:cs="Times New Roman"/>
          <w:iCs/>
          <w:color w:val="000000"/>
          <w:shd w:val="clear" w:color="auto" w:fill="FFFFFF"/>
        </w:rPr>
        <w:t xml:space="preserve">besloten om het hoofdkantoor van het bedrijf te verplaatsen naar Amersfoort, een stad die beter bereikbaar is, en dichtbij de foodvalley ligt. Door Universiteit Wageningen en researchcentra is hier meer kennis rondom voedselverwerking en productontwikkeling aanwezig dan in Woerden. In de jaren na de verhuizing van het hoofdkantoor zijn de laatste productiefuncties die </w:t>
      </w:r>
      <w:r w:rsidRPr="00302170">
        <w:rPr>
          <w:rFonts w:ascii="Calibri" w:eastAsia="Times New Roman" w:hAnsi="Calibri" w:cs="Times New Roman"/>
          <w:i/>
          <w:iCs/>
          <w:color w:val="000000"/>
          <w:shd w:val="clear" w:color="auto" w:fill="FFFFFF"/>
        </w:rPr>
        <w:t>Campina</w:t>
      </w:r>
      <w:r w:rsidRPr="00302170">
        <w:rPr>
          <w:rFonts w:ascii="Calibri" w:eastAsia="Times New Roman" w:hAnsi="Calibri" w:cs="Times New Roman"/>
          <w:iCs/>
          <w:color w:val="000000"/>
          <w:shd w:val="clear" w:color="auto" w:fill="FFFFFF"/>
        </w:rPr>
        <w:t xml:space="preserve"> in Woerden uitvoerde verdwenen, en is het distributi</w:t>
      </w:r>
      <w:r>
        <w:rPr>
          <w:rFonts w:ascii="Calibri" w:eastAsia="Times New Roman" w:hAnsi="Calibri" w:cs="Times New Roman"/>
          <w:iCs/>
          <w:color w:val="000000"/>
          <w:shd w:val="clear" w:color="auto" w:fill="FFFFFF"/>
        </w:rPr>
        <w:t>ecentrum in Woerden verkleind (Z</w:t>
      </w:r>
      <w:r w:rsidRPr="00302170">
        <w:rPr>
          <w:rFonts w:ascii="Calibri" w:eastAsia="Times New Roman" w:hAnsi="Calibri" w:cs="Times New Roman"/>
          <w:iCs/>
          <w:color w:val="000000"/>
          <w:shd w:val="clear" w:color="auto" w:fill="FFFFFF"/>
        </w:rPr>
        <w:t>uivelhistorie Nederland, 2014).</w:t>
      </w:r>
    </w:p>
    <w:p w14:paraId="0E92F9A9" w14:textId="77777777" w:rsidR="009C6140" w:rsidRPr="00302170" w:rsidRDefault="009C6140" w:rsidP="009C6140">
      <w:pPr>
        <w:ind w:firstLine="720"/>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 xml:space="preserve">Een andere grote zuivelverwerker in regio Woerden is </w:t>
      </w:r>
      <w:r w:rsidRPr="00302170">
        <w:rPr>
          <w:rFonts w:ascii="Calibri" w:eastAsia="Times New Roman" w:hAnsi="Calibri" w:cs="Times New Roman"/>
          <w:i/>
          <w:iCs/>
          <w:color w:val="000000"/>
          <w:shd w:val="clear" w:color="auto" w:fill="FFFFFF"/>
        </w:rPr>
        <w:t>van Dijk foods</w:t>
      </w:r>
      <w:r w:rsidRPr="00302170">
        <w:rPr>
          <w:rFonts w:ascii="Calibri" w:eastAsia="Times New Roman" w:hAnsi="Calibri" w:cs="Times New Roman"/>
          <w:iCs/>
          <w:color w:val="000000"/>
          <w:shd w:val="clear" w:color="auto" w:fill="FFFFFF"/>
        </w:rPr>
        <w:t xml:space="preserve"> in Lopik, voornamelijk bekend door de merken </w:t>
      </w:r>
      <w:r w:rsidRPr="00302170">
        <w:rPr>
          <w:rFonts w:ascii="Calibri" w:eastAsia="Times New Roman" w:hAnsi="Calibri" w:cs="Times New Roman"/>
          <w:i/>
          <w:iCs/>
          <w:color w:val="000000"/>
          <w:shd w:val="clear" w:color="auto" w:fill="FFFFFF"/>
        </w:rPr>
        <w:t>Diamant</w:t>
      </w:r>
      <w:r w:rsidRPr="00302170">
        <w:rPr>
          <w:rFonts w:ascii="Calibri" w:eastAsia="Times New Roman" w:hAnsi="Calibri" w:cs="Times New Roman"/>
          <w:iCs/>
          <w:color w:val="000000"/>
          <w:shd w:val="clear" w:color="auto" w:fill="FFFFFF"/>
        </w:rPr>
        <w:t xml:space="preserve"> frituurvet en </w:t>
      </w:r>
      <w:r w:rsidRPr="00302170">
        <w:rPr>
          <w:rFonts w:ascii="Calibri" w:eastAsia="Times New Roman" w:hAnsi="Calibri" w:cs="Times New Roman"/>
          <w:i/>
          <w:iCs/>
          <w:color w:val="000000"/>
          <w:shd w:val="clear" w:color="auto" w:fill="FFFFFF"/>
        </w:rPr>
        <w:t>Gouda’s Glorie</w:t>
      </w:r>
      <w:r w:rsidRPr="00302170">
        <w:rPr>
          <w:rFonts w:ascii="Calibri" w:eastAsia="Times New Roman" w:hAnsi="Calibri" w:cs="Times New Roman"/>
          <w:iCs/>
          <w:color w:val="000000"/>
          <w:shd w:val="clear" w:color="auto" w:fill="FFFFFF"/>
        </w:rPr>
        <w:t xml:space="preserve"> sauzen. Dit bedrijf ontstond vanuit de boter productie van boeren uit de omgeving. In 2008 werd de margarine productie echter verkocht, en in 2011 werd de sauzenproductie overgenomen door </w:t>
      </w:r>
      <w:r w:rsidRPr="00302170">
        <w:rPr>
          <w:rFonts w:ascii="Calibri" w:eastAsia="Times New Roman" w:hAnsi="Calibri" w:cs="Times New Roman"/>
          <w:i/>
          <w:iCs/>
          <w:color w:val="000000"/>
          <w:shd w:val="clear" w:color="auto" w:fill="FFFFFF"/>
        </w:rPr>
        <w:t>Remia</w:t>
      </w:r>
      <w:r>
        <w:rPr>
          <w:rFonts w:ascii="Calibri" w:eastAsia="Times New Roman" w:hAnsi="Calibri" w:cs="Times New Roman"/>
          <w:iCs/>
          <w:color w:val="000000"/>
          <w:shd w:val="clear" w:color="auto" w:fill="FFFFFF"/>
        </w:rPr>
        <w:t xml:space="preserve"> in den Dolder (Z</w:t>
      </w:r>
      <w:r w:rsidRPr="00302170">
        <w:rPr>
          <w:rFonts w:ascii="Calibri" w:eastAsia="Times New Roman" w:hAnsi="Calibri" w:cs="Times New Roman"/>
          <w:iCs/>
          <w:color w:val="000000"/>
          <w:shd w:val="clear" w:color="auto" w:fill="FFFFFF"/>
        </w:rPr>
        <w:t>uivelhistorie Nederland, 2014).</w:t>
      </w:r>
    </w:p>
    <w:p w14:paraId="37807CC5" w14:textId="77777777" w:rsidR="009C6140" w:rsidRPr="00302170" w:rsidRDefault="009C6140" w:rsidP="009C6140">
      <w:pPr>
        <w:ind w:firstLine="720"/>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 xml:space="preserve">Andere zuivelverwerkers in de regio wisten wel te blijven groeien, voornamelijk smeerkaasfabrikant </w:t>
      </w:r>
      <w:r w:rsidRPr="00302170">
        <w:rPr>
          <w:rFonts w:ascii="Calibri" w:eastAsia="Times New Roman" w:hAnsi="Calibri" w:cs="Times New Roman"/>
          <w:i/>
          <w:iCs/>
          <w:color w:val="000000"/>
          <w:shd w:val="clear" w:color="auto" w:fill="FFFFFF"/>
        </w:rPr>
        <w:t>ERU</w:t>
      </w:r>
      <w:r w:rsidRPr="00302170">
        <w:rPr>
          <w:rFonts w:ascii="Calibri" w:eastAsia="Times New Roman" w:hAnsi="Calibri" w:cs="Times New Roman"/>
          <w:iCs/>
          <w:color w:val="000000"/>
          <w:shd w:val="clear" w:color="auto" w:fill="FFFFFF"/>
        </w:rPr>
        <w:t>. Ook heeft de historie als zuivelregio duidelijk haar sporen achter gelaten in andere sectoren. Zo is het verpakken en verhandelen van Kaas, veelal afkomstig uit andere groene Hart-plaatsen, een onderdeel van de Woerdens economie dat nog altijd groeit. Veel groothandels richten zich op kleinschalige kaasproductie van boeren. Toch zijn 811 van de 1125 banen die Woerden in 1997 rijk was in de zuivelverwerking verloren gegaan. Om de kennis rondom kaas te behouden in de regio zal binnenkort een kaasacademie openen in gemeente Woerden, die ook door Gouda en Bodegraven ondersteund zal worden.</w:t>
      </w:r>
    </w:p>
    <w:p w14:paraId="36D768A7" w14:textId="5E81F66A" w:rsidR="009C6140" w:rsidRPr="00302170" w:rsidRDefault="009C6140" w:rsidP="00830A61">
      <w:pPr>
        <w:ind w:firstLine="720"/>
        <w:rPr>
          <w:rFonts w:ascii="Calibri" w:eastAsia="Times New Roman" w:hAnsi="Calibri" w:cs="Times New Roman"/>
          <w:iCs/>
          <w:color w:val="000000"/>
          <w:shd w:val="clear" w:color="auto" w:fill="FFFFFF"/>
        </w:rPr>
      </w:pPr>
      <w:r w:rsidRPr="00302170">
        <w:rPr>
          <w:rFonts w:ascii="Calibri" w:eastAsia="Times New Roman" w:hAnsi="Calibri" w:cs="Times New Roman"/>
        </w:rPr>
        <w:t>Door het verdwijnen van deze grote zuivelbedrijven zijn het alleen de ERU smeerkaasfabriek en kleinschalige zuivelverwerkers die in de regio gevestigd zijn. Daardoor wordt er per geproduceerde liter “ruwe” melk zeer veel getransporteerd naar buiten de regio</w:t>
      </w:r>
      <w:r>
        <w:rPr>
          <w:rFonts w:ascii="Calibri" w:eastAsia="Times New Roman" w:hAnsi="Calibri" w:cs="Times New Roman"/>
        </w:rPr>
        <w:t>,</w:t>
      </w:r>
      <w:r w:rsidRPr="00302170">
        <w:rPr>
          <w:rFonts w:ascii="Calibri" w:eastAsia="Times New Roman" w:hAnsi="Calibri" w:cs="Times New Roman"/>
        </w:rPr>
        <w:t xml:space="preserve"> vergeleken met de rest van Nederland (Rabobank, 2012). Door meer in te zetten op duurzame streekproducten kan de regio meer waarde halen uit de vele melkbedrijven in de regio. Door in samenwerking met recreatie, horeca en handel een duidelijk regionaal beeld neer te zetten, kan de regio weer meer profiteren van het open landschap en de zuivelproductie. Dit kan mogelijk in samenwerking met de rest van het Groene Hart, waar dezelfde problemen zijn ontstaan als rond Woerden.</w:t>
      </w:r>
    </w:p>
    <w:p w14:paraId="00D6A165" w14:textId="77777777" w:rsidR="009C6140" w:rsidRPr="00302170" w:rsidRDefault="009C6140" w:rsidP="00830A61">
      <w:pPr>
        <w:pStyle w:val="Heading2"/>
        <w:rPr>
          <w:rFonts w:ascii="Times" w:hAnsi="Times"/>
          <w:sz w:val="18"/>
          <w:szCs w:val="20"/>
        </w:rPr>
      </w:pPr>
      <w:r w:rsidRPr="00302170">
        <w:rPr>
          <w:shd w:val="clear" w:color="auto" w:fill="FFFFFF"/>
        </w:rPr>
        <w:t>Voertuig industrie</w:t>
      </w:r>
    </w:p>
    <w:p w14:paraId="4FA38955" w14:textId="3AD734B9" w:rsidR="009C6140" w:rsidRPr="00302170" w:rsidRDefault="009C6140" w:rsidP="009C6140">
      <w:pPr>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 xml:space="preserve">Ook de auto industrie in regio Woerden was ooit verantwoordelijk voor bijna duizend banen, maar kromp sterk in de afgelopen vijftien jaar. Het gebied van Montfoort tot IJsselstein was gespecialiseerd in het bouwen van speciale voertuigen, zoals vuilniswagens en bussen. Vijftien jaar geleden was </w:t>
      </w:r>
      <w:r w:rsidRPr="00302170">
        <w:rPr>
          <w:rFonts w:ascii="Calibri" w:eastAsia="Times New Roman" w:hAnsi="Calibri" w:cs="Times New Roman"/>
          <w:i/>
          <w:iCs/>
          <w:color w:val="000000"/>
          <w:shd w:val="clear" w:color="auto" w:fill="FFFFFF"/>
        </w:rPr>
        <w:t xml:space="preserve">MCI </w:t>
      </w:r>
      <w:r w:rsidRPr="00302170">
        <w:rPr>
          <w:rFonts w:ascii="Calibri" w:eastAsia="Times New Roman" w:hAnsi="Calibri" w:cs="Times New Roman"/>
          <w:iCs/>
          <w:color w:val="000000"/>
          <w:shd w:val="clear" w:color="auto" w:fill="FFFFFF"/>
        </w:rPr>
        <w:t xml:space="preserve">de grootste werkgever, een bedrijf dat verstelmechanismen voor de buitenspiegels van auto’s maakt. Dit bedrijf heeft zich steeds meer geïnternationaliseerd en heeft veel productie faciliteiten naar het buitenland verplaatst. Dit kostte 256 banen in Woerden, nu werken er nog 64 mensen bij het Nederlandse hoofkantoor. Een ander groot bedrijf in de voertuigbouw was busfabrikant </w:t>
      </w:r>
      <w:r w:rsidRPr="00302170">
        <w:rPr>
          <w:rFonts w:ascii="Calibri" w:eastAsia="Times New Roman" w:hAnsi="Calibri" w:cs="Times New Roman"/>
          <w:i/>
          <w:iCs/>
          <w:color w:val="000000"/>
          <w:shd w:val="clear" w:color="auto" w:fill="FFFFFF"/>
        </w:rPr>
        <w:t>den Oudsten</w:t>
      </w:r>
      <w:r w:rsidRPr="00302170">
        <w:rPr>
          <w:rFonts w:ascii="Calibri" w:eastAsia="Times New Roman" w:hAnsi="Calibri" w:cs="Times New Roman"/>
          <w:iCs/>
          <w:color w:val="000000"/>
          <w:shd w:val="clear" w:color="auto" w:fill="FFFFFF"/>
        </w:rPr>
        <w:t xml:space="preserve">, die in 2002 failliet ging. Daarbij gingen 258 banen verloren. Nu is </w:t>
      </w:r>
      <w:r w:rsidRPr="00302170">
        <w:rPr>
          <w:rFonts w:ascii="Calibri" w:eastAsia="Times New Roman" w:hAnsi="Calibri" w:cs="Times New Roman"/>
          <w:i/>
          <w:iCs/>
          <w:color w:val="000000"/>
          <w:shd w:val="clear" w:color="auto" w:fill="FFFFFF"/>
        </w:rPr>
        <w:t>Terberg</w:t>
      </w:r>
      <w:r w:rsidRPr="00302170">
        <w:rPr>
          <w:rFonts w:ascii="Calibri" w:eastAsia="Times New Roman" w:hAnsi="Calibri" w:cs="Times New Roman"/>
          <w:iCs/>
          <w:color w:val="000000"/>
          <w:shd w:val="clear" w:color="auto" w:fill="FFFFFF"/>
        </w:rPr>
        <w:t xml:space="preserve"> </w:t>
      </w:r>
      <w:r w:rsidRPr="00302170">
        <w:rPr>
          <w:rFonts w:ascii="Calibri" w:eastAsia="Times New Roman" w:hAnsi="Calibri" w:cs="Times New Roman"/>
          <w:i/>
          <w:iCs/>
          <w:color w:val="000000"/>
          <w:shd w:val="clear" w:color="auto" w:fill="FFFFFF"/>
        </w:rPr>
        <w:t>Benschop</w:t>
      </w:r>
      <w:r w:rsidRPr="00302170">
        <w:rPr>
          <w:rFonts w:ascii="Calibri" w:eastAsia="Times New Roman" w:hAnsi="Calibri" w:cs="Times New Roman"/>
          <w:iCs/>
          <w:color w:val="000000"/>
          <w:shd w:val="clear" w:color="auto" w:fill="FFFFFF"/>
        </w:rPr>
        <w:t xml:space="preserve"> het enige bedrijf dat aan voertuigfabricage doet dat nog in de regio gevestigd is. Hier worden speciale voertuigen, zoals trekkers voor containervervoer en vuilniswagens gemaakt</w:t>
      </w:r>
      <w:r>
        <w:rPr>
          <w:rFonts w:ascii="Calibri" w:eastAsia="Times New Roman" w:hAnsi="Calibri" w:cs="Times New Roman"/>
          <w:iCs/>
          <w:color w:val="000000"/>
          <w:shd w:val="clear" w:color="auto" w:fill="FFFFFF"/>
        </w:rPr>
        <w:t>.</w:t>
      </w:r>
    </w:p>
    <w:p w14:paraId="4FD85E57" w14:textId="77777777" w:rsidR="009C6140" w:rsidRPr="00302170" w:rsidRDefault="009C6140" w:rsidP="00830A61">
      <w:pPr>
        <w:pStyle w:val="Heading2"/>
        <w:rPr>
          <w:shd w:val="clear" w:color="auto" w:fill="FFFFFF"/>
        </w:rPr>
      </w:pPr>
      <w:r w:rsidRPr="00302170">
        <w:rPr>
          <w:shd w:val="clear" w:color="auto" w:fill="FFFFFF"/>
        </w:rPr>
        <w:t>Voedselverwerking en verpakkingen</w:t>
      </w:r>
    </w:p>
    <w:p w14:paraId="3AA80EFD" w14:textId="77777777" w:rsidR="009C6140" w:rsidRPr="00302170" w:rsidRDefault="009C6140" w:rsidP="009C6140">
      <w:pPr>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De verwerking van voedsel</w:t>
      </w:r>
      <w:r>
        <w:rPr>
          <w:rFonts w:ascii="Calibri" w:eastAsia="Times New Roman" w:hAnsi="Calibri" w:cs="Times New Roman"/>
          <w:iCs/>
          <w:color w:val="000000"/>
          <w:shd w:val="clear" w:color="auto" w:fill="FFFFFF"/>
        </w:rPr>
        <w:t xml:space="preserve"> krimpt ook</w:t>
      </w:r>
      <w:r w:rsidRPr="00302170">
        <w:rPr>
          <w:rFonts w:ascii="Calibri" w:eastAsia="Times New Roman" w:hAnsi="Calibri" w:cs="Times New Roman"/>
          <w:iCs/>
          <w:color w:val="000000"/>
          <w:shd w:val="clear" w:color="auto" w:fill="FFFFFF"/>
        </w:rPr>
        <w:t xml:space="preserve"> buiten de zuivelindustrie in regio Woerden. Er zijn echter veel bedrijven in de regio die machines bouwen voor voedselverwerkers. Specialistische bedrijven, met vakgebieden van lopende banden tot drukketels en fabrieksfriteuses zijn veel in de regio te vinden. Een specialisatie binnen de voedselverwerking waar veel bedrijven mee bezig zijn, is de verpakkingsindustrie. In Woerden zijn een aantal bedrijven actief die zich bezighouden met het ontwikkelen van nieuwe verpakkingen, het bouwen van machines die producten in deze verpakkingen doen, en het verpakken zelf. Veel bedrijven in de regio zijn gericht op het verpakken van voedsel, of de machinebouw voor verpakkende bedrijven, zoals bijvoorbeeld </w:t>
      </w:r>
      <w:r w:rsidRPr="00302170">
        <w:rPr>
          <w:rFonts w:ascii="Calibri" w:eastAsia="Times New Roman" w:hAnsi="Calibri" w:cs="Times New Roman"/>
          <w:i/>
          <w:iCs/>
          <w:color w:val="000000"/>
          <w:shd w:val="clear" w:color="auto" w:fill="FFFFFF"/>
        </w:rPr>
        <w:t>Blueprint Automation</w:t>
      </w:r>
      <w:r w:rsidRPr="00302170">
        <w:rPr>
          <w:rFonts w:ascii="Calibri" w:eastAsia="Times New Roman" w:hAnsi="Calibri" w:cs="Times New Roman"/>
          <w:iCs/>
          <w:color w:val="000000"/>
          <w:shd w:val="clear" w:color="auto" w:fill="FFFFFF"/>
        </w:rPr>
        <w:t xml:space="preserve">. De verpakkingsindustrie heeft zich in de regio ook verder verbreedt. Bijvoorbeeld </w:t>
      </w:r>
      <w:r w:rsidRPr="00302170">
        <w:rPr>
          <w:rFonts w:ascii="Calibri" w:eastAsia="Times New Roman" w:hAnsi="Calibri" w:cs="Times New Roman"/>
          <w:i/>
          <w:iCs/>
          <w:color w:val="000000"/>
          <w:shd w:val="clear" w:color="auto" w:fill="FFFFFF"/>
        </w:rPr>
        <w:t>Multifill</w:t>
      </w:r>
      <w:r w:rsidRPr="00302170">
        <w:rPr>
          <w:rFonts w:ascii="Calibri" w:eastAsia="Times New Roman" w:hAnsi="Calibri" w:cs="Times New Roman"/>
          <w:iCs/>
          <w:color w:val="000000"/>
          <w:shd w:val="clear" w:color="auto" w:fill="FFFFFF"/>
        </w:rPr>
        <w:t xml:space="preserve"> richt zich op non-food en werkte vroeger voor </w:t>
      </w:r>
      <w:r w:rsidRPr="00302170">
        <w:rPr>
          <w:rFonts w:ascii="Calibri" w:eastAsia="Times New Roman" w:hAnsi="Calibri" w:cs="Times New Roman"/>
          <w:i/>
          <w:iCs/>
          <w:color w:val="000000"/>
          <w:shd w:val="clear" w:color="auto" w:fill="FFFFFF"/>
        </w:rPr>
        <w:t>Andrélon</w:t>
      </w:r>
      <w:r w:rsidRPr="00302170">
        <w:rPr>
          <w:rFonts w:ascii="Calibri" w:eastAsia="Times New Roman" w:hAnsi="Calibri" w:cs="Times New Roman"/>
          <w:iCs/>
          <w:color w:val="000000"/>
          <w:shd w:val="clear" w:color="auto" w:fill="FFFFFF"/>
        </w:rPr>
        <w:t xml:space="preserve"> in Bodegraven.</w:t>
      </w:r>
    </w:p>
    <w:p w14:paraId="1925BD4B" w14:textId="2B1C76B2" w:rsidR="009C6140" w:rsidRPr="00302170" w:rsidRDefault="009C6140" w:rsidP="00830A61">
      <w:pPr>
        <w:ind w:firstLine="720"/>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De verpakkingsindustrie is een van de sectoren in de industrie die zich in 2013 weer begon te herstellen na de economische crisis. De belangrijkste groeikansen voor de industrie liggen in verdere flexibilisering van verpakkingslijnen, nieuwe marketing mogelijkheden, zoals gepersonaliseerde boodschappen op verpakkingen, en meer ICT integratie (ABN-</w:t>
      </w:r>
      <w:r>
        <w:rPr>
          <w:rFonts w:ascii="Calibri" w:eastAsia="Times New Roman" w:hAnsi="Calibri" w:cs="Times New Roman"/>
          <w:iCs/>
          <w:color w:val="000000"/>
          <w:shd w:val="clear" w:color="auto" w:fill="FFFFFF"/>
        </w:rPr>
        <w:t>Amro</w:t>
      </w:r>
      <w:r w:rsidRPr="00302170">
        <w:rPr>
          <w:rFonts w:ascii="Calibri" w:eastAsia="Times New Roman" w:hAnsi="Calibri" w:cs="Times New Roman"/>
          <w:iCs/>
          <w:color w:val="000000"/>
          <w:shd w:val="clear" w:color="auto" w:fill="FFFFFF"/>
        </w:rPr>
        <w:t>, 2014). In flexibilisering is de Woerdense industrie altijd goed geweest, maar het meeste hightech R&amp;D, zoals ICT integratie</w:t>
      </w:r>
      <w:r w:rsidR="00C11AA0">
        <w:rPr>
          <w:rFonts w:ascii="Calibri" w:eastAsia="Times New Roman" w:hAnsi="Calibri" w:cs="Times New Roman"/>
          <w:iCs/>
          <w:color w:val="000000"/>
          <w:shd w:val="clear" w:color="auto" w:fill="FFFFFF"/>
        </w:rPr>
        <w:t>,</w:t>
      </w:r>
      <w:r w:rsidRPr="00302170">
        <w:rPr>
          <w:rFonts w:ascii="Calibri" w:eastAsia="Times New Roman" w:hAnsi="Calibri" w:cs="Times New Roman"/>
          <w:iCs/>
          <w:color w:val="000000"/>
          <w:shd w:val="clear" w:color="auto" w:fill="FFFFFF"/>
        </w:rPr>
        <w:t xml:space="preserve"> voert </w:t>
      </w:r>
      <w:r w:rsidRPr="00302170">
        <w:rPr>
          <w:rFonts w:ascii="Calibri" w:eastAsia="Times New Roman" w:hAnsi="Calibri" w:cs="Times New Roman"/>
          <w:i/>
          <w:iCs/>
          <w:color w:val="000000"/>
          <w:shd w:val="clear" w:color="auto" w:fill="FFFFFF"/>
        </w:rPr>
        <w:t>Blueprint Automation</w:t>
      </w:r>
      <w:r w:rsidRPr="00302170">
        <w:rPr>
          <w:rFonts w:ascii="Calibri" w:eastAsia="Times New Roman" w:hAnsi="Calibri" w:cs="Times New Roman"/>
          <w:iCs/>
          <w:color w:val="000000"/>
          <w:shd w:val="clear" w:color="auto" w:fill="FFFFFF"/>
        </w:rPr>
        <w:t xml:space="preserve"> tegenwoordig in de Verenigde Staten uit. Regio Woerden moet mee kunnen evolueren met de trends in de sector om hier een goede positie in te kunnen behouden.</w:t>
      </w:r>
    </w:p>
    <w:p w14:paraId="57DBA9D5" w14:textId="77777777" w:rsidR="009C6140" w:rsidRPr="00302170" w:rsidRDefault="009C6140" w:rsidP="00830A61">
      <w:pPr>
        <w:pStyle w:val="Heading2"/>
        <w:rPr>
          <w:shd w:val="clear" w:color="auto" w:fill="FFFFFF"/>
        </w:rPr>
      </w:pPr>
      <w:r w:rsidRPr="00302170">
        <w:rPr>
          <w:shd w:val="clear" w:color="auto" w:fill="FFFFFF"/>
        </w:rPr>
        <w:t>Drukkers</w:t>
      </w:r>
    </w:p>
    <w:p w14:paraId="5CE7C29E" w14:textId="753F8EC9" w:rsidR="009C6140" w:rsidRPr="00302170" w:rsidRDefault="009C6140" w:rsidP="009C6140">
      <w:pPr>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 xml:space="preserve">In Mijdrecht zijn twee distributiecentra van Zwitserse drukpersen en printers gevestigd, </w:t>
      </w:r>
      <w:r w:rsidRPr="003A29B3">
        <w:rPr>
          <w:rFonts w:ascii="Calibri" w:eastAsia="Times New Roman" w:hAnsi="Calibri" w:cs="Times New Roman"/>
          <w:i/>
          <w:iCs/>
          <w:color w:val="000000"/>
          <w:shd w:val="clear" w:color="auto" w:fill="FFFFFF"/>
        </w:rPr>
        <w:t>Wifac</w:t>
      </w:r>
      <w:r w:rsidRPr="00302170">
        <w:rPr>
          <w:rFonts w:ascii="Calibri" w:eastAsia="Times New Roman" w:hAnsi="Calibri" w:cs="Times New Roman"/>
          <w:iCs/>
          <w:color w:val="000000"/>
          <w:shd w:val="clear" w:color="auto" w:fill="FFFFFF"/>
        </w:rPr>
        <w:t xml:space="preserve"> en </w:t>
      </w:r>
      <w:r w:rsidRPr="003A29B3">
        <w:rPr>
          <w:rFonts w:ascii="Calibri" w:eastAsia="Times New Roman" w:hAnsi="Calibri" w:cs="Times New Roman"/>
          <w:i/>
          <w:iCs/>
          <w:color w:val="000000"/>
          <w:shd w:val="clear" w:color="auto" w:fill="FFFFFF"/>
        </w:rPr>
        <w:t>Müller-Martini</w:t>
      </w:r>
      <w:r w:rsidRPr="00302170">
        <w:rPr>
          <w:rFonts w:ascii="Calibri" w:eastAsia="Times New Roman" w:hAnsi="Calibri" w:cs="Times New Roman"/>
          <w:iCs/>
          <w:color w:val="000000"/>
          <w:shd w:val="clear" w:color="auto" w:fill="FFFFFF"/>
        </w:rPr>
        <w:t>. Deze bedrijven houden zich bezig met verkoop, onderhoud en overige dienstverlening voor drukkers en de grafische industrie. Daarnaast zijn er honderdvijftig werknemers werkzaam bij drukkerijen in gemeente Woerden. Vijftien jaar geleden was de drukkersindustrie echter veel prominenter aanwezig in de regio. Er zijn in vijftien jaar meer dan 250 banen in de sector verdwenen, dit is bijna een halvering werkgelegenheid in 1997. Vergeleken met de rest van Nederland is de sector echter nog steeds sterk geconcentreerd. De drukkerssector kromp in de rest van Nederland no</w:t>
      </w:r>
      <w:r w:rsidR="00830A61">
        <w:rPr>
          <w:rFonts w:ascii="Calibri" w:eastAsia="Times New Roman" w:hAnsi="Calibri" w:cs="Times New Roman"/>
          <w:iCs/>
          <w:color w:val="000000"/>
          <w:shd w:val="clear" w:color="auto" w:fill="FFFFFF"/>
        </w:rPr>
        <w:t>g sterker dan in regio Woerden.</w:t>
      </w:r>
    </w:p>
    <w:p w14:paraId="42221FCF" w14:textId="77777777" w:rsidR="009C6140" w:rsidRPr="00302170" w:rsidRDefault="009C6140" w:rsidP="00830A61">
      <w:pPr>
        <w:pStyle w:val="Heading2"/>
        <w:rPr>
          <w:shd w:val="clear" w:color="auto" w:fill="FFFFFF"/>
        </w:rPr>
      </w:pPr>
      <w:r w:rsidRPr="00302170">
        <w:rPr>
          <w:shd w:val="clear" w:color="auto" w:fill="FFFFFF"/>
        </w:rPr>
        <w:t>Bouw</w:t>
      </w:r>
    </w:p>
    <w:p w14:paraId="3B2D5229" w14:textId="2255A21E" w:rsidR="009C6140" w:rsidRPr="00302170" w:rsidRDefault="009C6140" w:rsidP="009C6140">
      <w:pPr>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 xml:space="preserve">De bouwnijverheid op zichzelf is verantwoordelijk voor 12% van de werkgelegenheid in regio Woerden. De regio bevat 77% procent meer arbeidsplaatsen in bouw dan gewoonlijk is in Nederland. Deze specialisatie vertaalt zich naar vrijwel alle takken van de bouw, van metaalbouw en timmermanswerk tot het aanleggen van wegen, binnen de bouwsector is Woerden dus nog vrij divers qua activiteiten. Ook aan de bouw verwante activiteiten, zoals groothandel in, en vervaardiging van bouwmaterialen zijn grote sectoren in Woerden, die in de rest van Nederland minder vaak voorkomen. In de meeste takken van de bouw is sprake van schaalvergroting. Kleine bedrijven verdwijnen of worden opgekocht, terwijl de grote bedrijven een sterke groei doormaken. Hierdoor </w:t>
      </w:r>
      <w:r>
        <w:rPr>
          <w:rFonts w:ascii="Calibri" w:eastAsia="Times New Roman" w:hAnsi="Calibri" w:cs="Times New Roman"/>
          <w:iCs/>
          <w:color w:val="000000"/>
          <w:shd w:val="clear" w:color="auto" w:fill="FFFFFF"/>
        </w:rPr>
        <w:t>maakten</w:t>
      </w:r>
      <w:r w:rsidRPr="00302170">
        <w:rPr>
          <w:rFonts w:ascii="Calibri" w:eastAsia="Times New Roman" w:hAnsi="Calibri" w:cs="Times New Roman"/>
          <w:iCs/>
          <w:color w:val="000000"/>
          <w:shd w:val="clear" w:color="auto" w:fill="FFFFFF"/>
        </w:rPr>
        <w:t xml:space="preserve"> bedrijven als van </w:t>
      </w:r>
      <w:r w:rsidRPr="00302170">
        <w:rPr>
          <w:rFonts w:ascii="Calibri" w:eastAsia="Times New Roman" w:hAnsi="Calibri" w:cs="Times New Roman"/>
          <w:i/>
          <w:iCs/>
          <w:color w:val="000000"/>
          <w:shd w:val="clear" w:color="auto" w:fill="FFFFFF"/>
        </w:rPr>
        <w:t>Hattum &amp; Blankevoort</w:t>
      </w:r>
      <w:r w:rsidRPr="00302170">
        <w:rPr>
          <w:rFonts w:ascii="Calibri" w:eastAsia="Times New Roman" w:hAnsi="Calibri" w:cs="Times New Roman"/>
          <w:iCs/>
          <w:color w:val="000000"/>
          <w:shd w:val="clear" w:color="auto" w:fill="FFFFFF"/>
        </w:rPr>
        <w:t xml:space="preserve"> (Mijdrecht) en </w:t>
      </w:r>
      <w:r w:rsidRPr="00302170">
        <w:rPr>
          <w:rFonts w:ascii="Calibri" w:eastAsia="Times New Roman" w:hAnsi="Calibri" w:cs="Times New Roman"/>
          <w:i/>
          <w:iCs/>
          <w:color w:val="000000"/>
          <w:shd w:val="clear" w:color="auto" w:fill="FFFFFF"/>
        </w:rPr>
        <w:t>van den Pol</w:t>
      </w:r>
      <w:r w:rsidRPr="00302170">
        <w:rPr>
          <w:rFonts w:ascii="Calibri" w:eastAsia="Times New Roman" w:hAnsi="Calibri" w:cs="Times New Roman"/>
          <w:iCs/>
          <w:color w:val="000000"/>
          <w:shd w:val="clear" w:color="auto" w:fill="FFFFFF"/>
        </w:rPr>
        <w:t xml:space="preserve"> (Woerden) een sterke groei door, en kon de bouwsector zich meer concentreren in enkele regio’s. De meeste subsectoren in regio Woerden groeiden daarom over de afgelopen vijftien jaar. Alleen de laatste vijf jaar vond in veel takken van de bouwsector lichte krimp plaats. Nu de vastgoedsector weer uit het dal begint te klimmen waar het sinds 2008 in zat, is de verwachting dat de bouw ook weer zal aantrekken. Als allround bouwspecialist zal regio Woerden hierdoor ook weer een sterke groei door gaan maken.</w:t>
      </w:r>
    </w:p>
    <w:p w14:paraId="54B5BC85" w14:textId="77777777" w:rsidR="009C6140" w:rsidRPr="00302170" w:rsidRDefault="009C6140" w:rsidP="00830A61">
      <w:pPr>
        <w:pStyle w:val="Heading2"/>
        <w:rPr>
          <w:shd w:val="clear" w:color="auto" w:fill="FFFFFF"/>
        </w:rPr>
      </w:pPr>
      <w:r w:rsidRPr="00302170">
        <w:rPr>
          <w:shd w:val="clear" w:color="auto" w:fill="FFFFFF"/>
        </w:rPr>
        <w:t>Groothandel</w:t>
      </w:r>
    </w:p>
    <w:p w14:paraId="5B0E1B0C" w14:textId="77777777" w:rsidR="009C6140" w:rsidRPr="00302170" w:rsidRDefault="009C6140" w:rsidP="009C6140">
      <w:pPr>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Regio Woerden heeft een groot aantal gespecialiseerde groothandels. De regio ligt in het midden van Nederland en is dus goed bereikbaar. Veel groothandels in de regio zijn verbonden met andere sectoren die groot zijn, of waren in de regio. Zo is er veel groothandel te vinden die zich richt op bouwmaterialen, machines, zuivelproducten en ander voedsel. De handel in deze productcategorieën is sterk geconcentreerd in regio Woerden en maakte de afgelopen jaren groei door. Voedselgroothandel in Woerden verpakt vaak zelf de producten die verkocht worden en vormt zo een verbinding met de bedrijven die zich richten op verpakkingen.</w:t>
      </w:r>
    </w:p>
    <w:p w14:paraId="2BE9F639" w14:textId="4A391E5B" w:rsidR="009C6140" w:rsidRPr="00830A61" w:rsidRDefault="009C6140" w:rsidP="00830A61">
      <w:pPr>
        <w:ind w:firstLine="720"/>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 xml:space="preserve">Naast groothandel in producten die in de regio gemaakt worden, zijn er ook zeer veel banen in de farmaceutische groothandel te vinden in regio Utrecht. Over het algemeen gaat het om de distributie van in het buitenland gefabriceerde farmaceutica. Er zijn ruim 900 mensen werkzaam in farmaceutische groothandels in regio Woerden, dit aantal is de afgelopen </w:t>
      </w:r>
      <w:r>
        <w:rPr>
          <w:rFonts w:ascii="Calibri" w:eastAsia="Times New Roman" w:hAnsi="Calibri" w:cs="Times New Roman"/>
          <w:iCs/>
          <w:color w:val="000000"/>
          <w:shd w:val="clear" w:color="auto" w:fill="FFFFFF"/>
        </w:rPr>
        <w:t>tien jaar</w:t>
      </w:r>
      <w:r w:rsidRPr="00302170">
        <w:rPr>
          <w:rFonts w:ascii="Calibri" w:eastAsia="Times New Roman" w:hAnsi="Calibri" w:cs="Times New Roman"/>
          <w:iCs/>
          <w:color w:val="000000"/>
          <w:shd w:val="clear" w:color="auto" w:fill="FFFFFF"/>
        </w:rPr>
        <w:t xml:space="preserve"> stabiel gebleven.</w:t>
      </w:r>
    </w:p>
    <w:p w14:paraId="4997B309" w14:textId="77777777" w:rsidR="009C6140" w:rsidRPr="00302170" w:rsidRDefault="009C6140" w:rsidP="00830A61">
      <w:pPr>
        <w:pStyle w:val="Heading2"/>
        <w:rPr>
          <w:shd w:val="clear" w:color="auto" w:fill="FFFFFF"/>
        </w:rPr>
      </w:pPr>
      <w:r w:rsidRPr="00302170">
        <w:rPr>
          <w:shd w:val="clear" w:color="auto" w:fill="FFFFFF"/>
        </w:rPr>
        <w:t>Management advies</w:t>
      </w:r>
    </w:p>
    <w:p w14:paraId="5BBC414D" w14:textId="77777777" w:rsidR="009C6140" w:rsidRPr="00302170" w:rsidRDefault="009C6140" w:rsidP="009C6140">
      <w:pPr>
        <w:rPr>
          <w:rFonts w:ascii="Calibri" w:eastAsia="Times New Roman" w:hAnsi="Calibri" w:cs="Times New Roman"/>
          <w:iCs/>
          <w:color w:val="000000"/>
          <w:shd w:val="clear" w:color="auto" w:fill="FFFFFF"/>
        </w:rPr>
      </w:pPr>
      <w:r w:rsidRPr="00302170">
        <w:rPr>
          <w:rFonts w:ascii="Calibri" w:eastAsia="Times New Roman" w:hAnsi="Calibri" w:cs="Times New Roman"/>
          <w:iCs/>
          <w:color w:val="000000"/>
          <w:shd w:val="clear" w:color="auto" w:fill="FFFFFF"/>
        </w:rPr>
        <w:t>Veel bedrijven in regio Woerden richten zich op management advies. Het is de snelst groeiende tak van de specialistisch zakelijke dienstverlening in de regio. Geen enkel bedrijf in deze categorie telt meer dan vijftig werknemers, maar bij elkaar zijn er toch ruim 1200 mensen werkzaam als managementadviseur. Als ook administratief adviseurs worden meegerekend, zijn dit er tweeduizend. Van de 1200 banen in het managementadvies, zijn er 850 gecreëerd in de afgelopen vijftien jaar. Een zeer groot deel van de adviseurs werkt in zeer kleinschalige bedrijfjes, of is actief als ZZP’er. Veel van de ZZP’ers werken afwisselend voor verschillende van deze kleinschalige bedrijfjes.</w:t>
      </w:r>
    </w:p>
    <w:p w14:paraId="7EC8E3D6" w14:textId="33D1E6E1" w:rsidR="00BD4F3C" w:rsidRPr="00B323A7" w:rsidRDefault="009C6140" w:rsidP="00B323A7">
      <w:pPr>
        <w:ind w:firstLine="720"/>
        <w:rPr>
          <w:rFonts w:ascii="Calibri" w:eastAsia="Times New Roman" w:hAnsi="Calibri" w:cs="Times New Roman"/>
          <w:color w:val="000000"/>
        </w:rPr>
      </w:pPr>
      <w:r w:rsidRPr="00302170">
        <w:rPr>
          <w:rFonts w:ascii="Calibri" w:eastAsia="Times New Roman" w:hAnsi="Calibri" w:cs="Times New Roman"/>
          <w:iCs/>
          <w:color w:val="000000"/>
          <w:shd w:val="clear" w:color="auto" w:fill="FFFFFF"/>
        </w:rPr>
        <w:t>De sector groeide waarschijnlijk zo hard doordat er, in tegenstelling tot sectoren als de industrie of handel, weinig startkapitaal nodig is om te investeren in de start van een bedrijf dat advies geeft. De verwachting is echter dat de markt voor zakelijke dienstverlening nu verzadigd is, en dat er weinig extra plaats meer is voor nieuwe specialisten. Alleen technisch advies en ICT-advies  hebben nog te maken met een groeiende vraag. De vraag naar management adviseurs groeit echter niet meer.</w:t>
      </w:r>
    </w:p>
    <w:p w14:paraId="667D4112" w14:textId="77777777" w:rsidR="00B323A7" w:rsidRDefault="00BD4F3C" w:rsidP="00BD4F3C">
      <w:pPr>
        <w:pStyle w:val="Heading1"/>
        <w:jc w:val="left"/>
      </w:pPr>
      <w:bookmarkStart w:id="54" w:name="_Toc337655434"/>
      <w:r>
        <w:t>4.7 Conclusie</w:t>
      </w:r>
      <w:bookmarkEnd w:id="54"/>
    </w:p>
    <w:p w14:paraId="50102FA9" w14:textId="77777777" w:rsidR="00481940" w:rsidRDefault="00552D1B" w:rsidP="00B323A7">
      <w:r>
        <w:t>De sterkste specialisatie in regio Woerden liggen in de landbouw, de bouw en de (groot)handel. Van deze sectoren maakte alleen de bouw nog groei door in de laatste tien jaar. Vrijwel iedere subsector die met bouw te maken heeft is groo</w:t>
      </w:r>
      <w:r w:rsidR="00481940">
        <w:t>t in regio Woerden, en ook groothandel en distributiecentra in de omgeving richten zich op bouwmaterialen. Ook is veel handel in de regio gericht op de voedselindustrie en landbouw in de regio. Door het sluiten van grote voedselfabrieken is de industrie in de regio sterk gekrompen. Ook in andere sectoren zijn grote bedrijfsvestigingen gesloten. Kleine bedrijfjes en ZZP’ers vullen deze gaten in de arbeidsmarkt op. Deze nieuwe kleine bedrijfjes zijn voornamelijk te vinden in de bouw, handel en dienstverlening.</w:t>
      </w:r>
      <w:r>
        <w:t xml:space="preserve"> </w:t>
      </w:r>
    </w:p>
    <w:p w14:paraId="066AC58D" w14:textId="18015178" w:rsidR="00812DEE" w:rsidRDefault="009C6140" w:rsidP="00275CCD">
      <w:pPr>
        <w:pStyle w:val="Title"/>
      </w:pPr>
      <w:r>
        <w:br w:type="column"/>
      </w:r>
      <w:bookmarkStart w:id="55" w:name="_Toc316143583"/>
      <w:bookmarkStart w:id="56" w:name="_Toc337655435"/>
      <w:r w:rsidR="00EA0D56">
        <w:t xml:space="preserve">5 </w:t>
      </w:r>
      <w:r w:rsidR="00812DEE">
        <w:t>Profiel regio Veenendaal</w:t>
      </w:r>
      <w:bookmarkEnd w:id="55"/>
      <w:bookmarkEnd w:id="56"/>
    </w:p>
    <w:p w14:paraId="695D4565" w14:textId="1E66563B" w:rsidR="00835DBC" w:rsidRDefault="00835DBC" w:rsidP="009928C1">
      <w:bookmarkStart w:id="57" w:name="_Toc316143584"/>
      <w:r>
        <w:t xml:space="preserve">In dit hoofdstuk wordt regio </w:t>
      </w:r>
      <w:r w:rsidR="009928C1">
        <w:t>Veenendaal uitgebreid besproken</w:t>
      </w:r>
      <w:r>
        <w:t xml:space="preserve">. Na een korte beschrijving van de ligging </w:t>
      </w:r>
      <w:r w:rsidR="009928C1">
        <w:t>wordt regio Ede-Wageningen besproken,</w:t>
      </w:r>
      <w:r>
        <w:t xml:space="preserve"> waarmee regio </w:t>
      </w:r>
      <w:r w:rsidR="009928C1">
        <w:t>Veenendaal</w:t>
      </w:r>
      <w:r>
        <w:t xml:space="preserve"> vergeleken</w:t>
      </w:r>
      <w:r w:rsidR="009928C1">
        <w:t xml:space="preserve"> zal</w:t>
      </w:r>
      <w:r>
        <w:t xml:space="preserve"> worden. Vervolgens komen de verschillen binnen regio Woerden aan bod. Hierna komen economische gegevens over de verhoudingen van de sectoren en de groei per sector aan bod. Iedere sector in de regio wordt uitgebreid besproken qua omvang, groei en trends. Ten slotte worden enkele bedrijfsclusters in de regio geïdentificeerd.</w:t>
      </w:r>
    </w:p>
    <w:p w14:paraId="2C29FF3C" w14:textId="293F03C7" w:rsidR="00812DEE" w:rsidRPr="00302170" w:rsidRDefault="00EA0D56" w:rsidP="00EA0D56">
      <w:pPr>
        <w:pStyle w:val="Heading1"/>
        <w:rPr>
          <w:sz w:val="20"/>
        </w:rPr>
      </w:pPr>
      <w:bookmarkStart w:id="58" w:name="_Toc337655436"/>
      <w:r>
        <w:t xml:space="preserve">5.1 </w:t>
      </w:r>
      <w:r w:rsidR="00812DEE" w:rsidRPr="00302170">
        <w:t>Regio Veenendaal</w:t>
      </w:r>
      <w:bookmarkEnd w:id="57"/>
      <w:bookmarkEnd w:id="58"/>
    </w:p>
    <w:p w14:paraId="62316D12" w14:textId="77777777" w:rsidR="00812DEE" w:rsidRPr="00302170" w:rsidRDefault="00812DEE" w:rsidP="00812DEE">
      <w:r w:rsidRPr="00F63BDF">
        <w:t>De regio Veenendaal beslaat het zuidoostelijk deel van de provincie Utrecht. De regio bestaat uit de gemeentes Renswoude, Rhenen, Utrechtse Heuvelrug, Veenendaal en Wijk bij Duurstede. De regio beslaat 19,3% van de oppervlakte van de provincie en bevat 12</w:t>
      </w:r>
      <w:r>
        <w:t xml:space="preserve">,7% van de bevolking. Tabel </w:t>
      </w:r>
      <w:r w:rsidRPr="00F63BDF">
        <w:t>1 laat de oppervlakte en het inwonertal per gemeente zien. De belangrijkste kern voor winkels en bedrijven in de regio is Veenendaal, hier liggen twee bedrijventerreinen langs de A27. Verder zijn er bedrijventerreinen te vinden in Wijk bij Duurstede, Renswoude en net buiten Rhenen. In Doorn en Driebergen-Rijsenburg (beiden gemeente Utrechtse Heuvelrug</w:t>
      </w:r>
      <w:r w:rsidRPr="00302170">
        <w:t xml:space="preserve">) zijn veel kantoren en zorginstellingen te vinden in de bosrijke </w:t>
      </w:r>
      <w:r w:rsidRPr="00E769A3">
        <w:t>omgeving.</w:t>
      </w:r>
      <w:r w:rsidRPr="00E769A3">
        <w:rPr>
          <w:noProof/>
        </w:rPr>
        <w:t xml:space="preserve"> In afbeelding </w:t>
      </w:r>
      <w:r>
        <w:rPr>
          <w:noProof/>
        </w:rPr>
        <w:t>5.</w:t>
      </w:r>
      <w:r w:rsidRPr="00E769A3">
        <w:rPr>
          <w:noProof/>
        </w:rPr>
        <w:t xml:space="preserve">1 is de ligging van de </w:t>
      </w:r>
      <w:r>
        <w:rPr>
          <w:noProof/>
        </w:rPr>
        <w:t>gemeenten</w:t>
      </w:r>
      <w:r w:rsidRPr="00E769A3">
        <w:rPr>
          <w:noProof/>
        </w:rPr>
        <w:t xml:space="preserve"> in regio Veenendaal te zien.</w:t>
      </w:r>
    </w:p>
    <w:p w14:paraId="1D32484C" w14:textId="77777777" w:rsidR="00812DEE" w:rsidRPr="00302170" w:rsidRDefault="00812DEE" w:rsidP="00812DEE">
      <w:pPr>
        <w:ind w:firstLine="720"/>
      </w:pPr>
      <w:r w:rsidRPr="00302170">
        <w:rPr>
          <w:noProof/>
          <w:lang w:val="en-US" w:eastAsia="en-US"/>
        </w:rPr>
        <mc:AlternateContent>
          <mc:Choice Requires="wps">
            <w:drawing>
              <wp:anchor distT="0" distB="0" distL="114300" distR="114300" simplePos="0" relativeHeight="251667456" behindDoc="0" locked="0" layoutInCell="1" allowOverlap="1" wp14:anchorId="0FAB0990" wp14:editId="2F9A81A0">
                <wp:simplePos x="0" y="0"/>
                <wp:positionH relativeFrom="column">
                  <wp:posOffset>2171700</wp:posOffset>
                </wp:positionH>
                <wp:positionV relativeFrom="paragraph">
                  <wp:posOffset>2180590</wp:posOffset>
                </wp:positionV>
                <wp:extent cx="29718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797B7B" w14:textId="77777777" w:rsidR="00E01C36" w:rsidRPr="00FD48C5" w:rsidRDefault="00E01C36" w:rsidP="00812DEE">
                            <w:pPr>
                              <w:rPr>
                                <w:color w:val="548DD4" w:themeColor="text2" w:themeTint="99"/>
                                <w:sz w:val="20"/>
                              </w:rPr>
                            </w:pPr>
                            <w:r>
                              <w:rPr>
                                <w:b/>
                                <w:color w:val="548DD4" w:themeColor="text2" w:themeTint="99"/>
                                <w:sz w:val="20"/>
                              </w:rPr>
                              <w:t xml:space="preserve">Afbeelding 5.1: </w:t>
                            </w:r>
                            <w:r>
                              <w:rPr>
                                <w:color w:val="548DD4" w:themeColor="text2" w:themeTint="99"/>
                                <w:sz w:val="20"/>
                              </w:rPr>
                              <w:t>De ligging van regio Veenendaal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left:0;text-align:left;margin-left:171pt;margin-top:171.7pt;width:234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MZ99E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" filled="f" stroked="f">
                <v:textbox>
                  <w:txbxContent>
                    <w:p w14:paraId="4A797B7B" w14:textId="77777777" w:rsidR="00835DBC" w:rsidRPr="00FD48C5" w:rsidRDefault="00835DBC" w:rsidP="00812DEE">
                      <w:pPr>
                        <w:rPr>
                          <w:color w:val="548DD4" w:themeColor="text2" w:themeTint="99"/>
                          <w:sz w:val="20"/>
                        </w:rPr>
                      </w:pPr>
                      <w:r>
                        <w:rPr>
                          <w:b/>
                          <w:color w:val="548DD4" w:themeColor="text2" w:themeTint="99"/>
                          <w:sz w:val="20"/>
                        </w:rPr>
                        <w:t xml:space="preserve">Afbeelding 5.1: </w:t>
                      </w:r>
                      <w:r>
                        <w:rPr>
                          <w:color w:val="548DD4" w:themeColor="text2" w:themeTint="99"/>
                          <w:sz w:val="20"/>
                        </w:rPr>
                        <w:t>De ligging van regio Veenendaal</w:t>
                      </w:r>
                    </w:p>
                  </w:txbxContent>
                </v:textbox>
                <w10:wrap type="square"/>
              </v:shape>
            </w:pict>
          </mc:Fallback>
        </mc:AlternateContent>
      </w:r>
      <w:r w:rsidRPr="00302170">
        <w:rPr>
          <w:noProof/>
          <w:lang w:val="en-US" w:eastAsia="en-US"/>
        </w:rPr>
        <w:drawing>
          <wp:anchor distT="0" distB="0" distL="114300" distR="114300" simplePos="0" relativeHeight="251666432" behindDoc="0" locked="0" layoutInCell="1" allowOverlap="1" wp14:anchorId="556BA653" wp14:editId="1DD897C5">
            <wp:simplePos x="0" y="0"/>
            <wp:positionH relativeFrom="column">
              <wp:posOffset>2057400</wp:posOffset>
            </wp:positionH>
            <wp:positionV relativeFrom="paragraph">
              <wp:posOffset>65405</wp:posOffset>
            </wp:positionV>
            <wp:extent cx="3150235" cy="21202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vdaalmetwegenenzo.jpg"/>
                    <pic:cNvPicPr/>
                  </pic:nvPicPr>
                  <pic:blipFill>
                    <a:blip r:embed="rId19">
                      <a:extLst>
                        <a:ext uri="{28A0092B-C50C-407E-A947-70E740481C1C}">
                          <a14:useLocalDpi xmlns:a14="http://schemas.microsoft.com/office/drawing/2010/main" val="0"/>
                        </a:ext>
                      </a:extLst>
                    </a:blip>
                    <a:stretch>
                      <a:fillRect/>
                    </a:stretch>
                  </pic:blipFill>
                  <pic:spPr>
                    <a:xfrm>
                      <a:off x="0" y="0"/>
                      <a:ext cx="3150235" cy="2120265"/>
                    </a:xfrm>
                    <a:prstGeom prst="rect">
                      <a:avLst/>
                    </a:prstGeom>
                  </pic:spPr>
                </pic:pic>
              </a:graphicData>
            </a:graphic>
            <wp14:sizeRelH relativeFrom="page">
              <wp14:pctWidth>0</wp14:pctWidth>
            </wp14:sizeRelH>
            <wp14:sizeRelV relativeFrom="page">
              <wp14:pctHeight>0</wp14:pctHeight>
            </wp14:sizeRelV>
          </wp:anchor>
        </w:drawing>
      </w:r>
      <w:r w:rsidRPr="00302170">
        <w:t>De belangrijkste verbinding over de weg is de A12,  met afslagen bij de Heuvelrug plaatsen Driebergen-Rijsenburg, Maarn en Maarsbergen, en bij Veenendaal. Ook de N225, die langs de meeste Heuvelrugdorpen loopt is een bel</w:t>
      </w:r>
      <w:r>
        <w:t xml:space="preserve">angrijke weg in de regio. Maarn, </w:t>
      </w:r>
      <w:r w:rsidRPr="00302170">
        <w:t>Driebergen-Rijsenburg</w:t>
      </w:r>
      <w:r>
        <w:t xml:space="preserve"> en Veenendaal</w:t>
      </w:r>
      <w:r w:rsidRPr="00302170">
        <w:t>.</w:t>
      </w:r>
      <w:r>
        <w:t xml:space="preserve"> Aan een aftakking van deze lijn liggen ook twee Veenendaalse stations en één in Rhenen.</w:t>
      </w:r>
      <w:r w:rsidRPr="00302170">
        <w:t xml:space="preserve"> Bij Wijk bij Duurstede komen de Neder-Rijn en Lek samen en eindigt het Amsterdam-Rijnkanaal. Hier zijn een kleine haven aan de Neder-Rijn en aanlegplaatsen langs het Amsterdam Rijnkanaal te vinden.</w:t>
      </w:r>
    </w:p>
    <w:p w14:paraId="2D0C4FA5" w14:textId="77777777" w:rsidR="00812DEE" w:rsidRPr="00302170" w:rsidRDefault="00812DEE" w:rsidP="00812DEE">
      <w:r w:rsidRPr="00302170">
        <w:tab/>
        <w:t>Veenendaal is de grootste plaats in de regio. Het dorp ontstond bij veen-ontginningen in de 17</w:t>
      </w:r>
      <w:r w:rsidRPr="00302170">
        <w:rPr>
          <w:vertAlign w:val="superscript"/>
        </w:rPr>
        <w:t>e</w:t>
      </w:r>
      <w:r w:rsidRPr="00302170">
        <w:t xml:space="preserve"> eeuw en is groot geworden doordat het de centrale winkelfunctie vervulde voor het gebied eromheen, zowel voor het oosten van provincie Utrecht als in westen van Gelderland. Daarnaast kwamen er in de 19</w:t>
      </w:r>
      <w:r w:rsidRPr="00302170">
        <w:rPr>
          <w:vertAlign w:val="superscript"/>
        </w:rPr>
        <w:t>e</w:t>
      </w:r>
      <w:r w:rsidRPr="00302170">
        <w:t xml:space="preserve"> eeuw textiel- en tabaksindustrie op gang. Deze sectoren zijn echter vrijwel volledig verdwenen uit de regio.</w:t>
      </w:r>
    </w:p>
    <w:p w14:paraId="7138BCFB" w14:textId="72EA8B1C" w:rsidR="00812DEE" w:rsidRPr="00302170" w:rsidRDefault="00812DEE" w:rsidP="00EA0D56">
      <w:pPr>
        <w:ind w:firstLine="720"/>
      </w:pPr>
      <w:r w:rsidRPr="00302170">
        <w:t>Nu wilt Veenendaal zich qua economie voornamelijk te richten op ICT, in samenw</w:t>
      </w:r>
      <w:r>
        <w:t>erking met de buurgemeentes Ede en</w:t>
      </w:r>
      <w:r w:rsidRPr="00302170">
        <w:t xml:space="preserve"> Wageningen, waar veel research naar voedsel plaatsvindt. Op dit moment wordt er een HBO opgezet voor ICT-opleidingen in Veenendaal.</w:t>
      </w:r>
      <w:r>
        <w:t xml:space="preserve"> De ICT moet zich richten op het ondersteunen van de Wageningse voedseltechnologie.</w:t>
      </w:r>
      <w:r w:rsidRPr="00302170">
        <w:t xml:space="preserve"> Provincie Utrecht profileert de Heuvelrug als duurzaam gebied, waar landschap en ondernemen in elkaar overvloeien. De N225 die de Heuvelrugdorpen verbindt zal worden omgedoopt tot “route naar duurzaamheid”, een weg door de natuur die</w:t>
      </w:r>
      <w:r>
        <w:t xml:space="preserve"> het Science Park in</w:t>
      </w:r>
      <w:r w:rsidRPr="00302170">
        <w:t xml:space="preserve"> Utrecht en Food Valley verbind. Met deze naam hopen de provincie en de gemeente Utrechtse Heuvelrug meer duurzame bedrijven aan te trekken</w:t>
      </w:r>
      <w:r>
        <w:t xml:space="preserve"> (Provincie </w:t>
      </w:r>
      <w:r w:rsidRPr="00413A5F">
        <w:t>Utrecht</w:t>
      </w:r>
      <w:r>
        <w:t>, 2011)</w:t>
      </w:r>
      <w:r w:rsidRPr="00302170">
        <w:t>.</w:t>
      </w:r>
    </w:p>
    <w:p w14:paraId="28B6E3D8" w14:textId="7180BD49" w:rsidR="00812DEE" w:rsidRPr="00302170" w:rsidRDefault="00EA0D56" w:rsidP="00EA0D56">
      <w:pPr>
        <w:pStyle w:val="Heading1"/>
      </w:pPr>
      <w:bookmarkStart w:id="59" w:name="_Toc316143585"/>
      <w:bookmarkStart w:id="60" w:name="_Toc337655437"/>
      <w:r>
        <w:t xml:space="preserve">5.2 </w:t>
      </w:r>
      <w:r w:rsidR="00812DEE" w:rsidRPr="00302170">
        <w:t>Vergelijkingsregio</w:t>
      </w:r>
      <w:bookmarkEnd w:id="59"/>
      <w:bookmarkEnd w:id="60"/>
    </w:p>
    <w:p w14:paraId="0B4F9649" w14:textId="77777777" w:rsidR="00812DEE" w:rsidRPr="00302170" w:rsidRDefault="00812DEE" w:rsidP="00812DEE">
      <w:r w:rsidRPr="00302170">
        <w:t>Om te zien hoe Veenendaal zich verhoud</w:t>
      </w:r>
      <w:r>
        <w:t>t</w:t>
      </w:r>
      <w:r w:rsidRPr="00302170">
        <w:t xml:space="preserve"> tot andere gebieden wordt de regio vergeleken met het gemiddelde van Nederland. Omdat veel economisch beleid op provinciaal niveau wordt gemaakt, wordt ook onderzocht hoe de regio zich verhoudt tot de rest van provincie Utrecht. De stad Veenendaal zelf heeft van oudsher ook veel interactie met omliggende gemeentes in Gelderland. Ook nu proberen</w:t>
      </w:r>
      <w:r>
        <w:t xml:space="preserve"> de gemeentes</w:t>
      </w:r>
      <w:r w:rsidRPr="00302170">
        <w:t xml:space="preserve"> Veenendaal en Rhenen zich te verbinden met het food-cluster in Wageningen. Daarom wordt de regio ook vergeleken met Ede en Wageningen.</w:t>
      </w:r>
    </w:p>
    <w:p w14:paraId="07452692" w14:textId="77777777" w:rsidR="00812DEE" w:rsidRPr="00302170" w:rsidRDefault="00812DEE" w:rsidP="00812DEE">
      <w:r>
        <w:t xml:space="preserve">Tabel </w:t>
      </w:r>
      <w:r w:rsidRPr="00302170">
        <w:t>1 laat de oppervlakte en het inwonertal per gemeente zien. In Wageningen is de universiteit het centrum van Food Valley, een regio waar veel research naar voedsel plaatsvindt, en waar ook enkele multinationals op het gebied van voedsel gevestigd zijn. Ook Ede gaat zich qua beleid steeds meer richten op voedsel</w:t>
      </w:r>
      <w:r>
        <w:t xml:space="preserve"> (Gemeente Ede, 2014)</w:t>
      </w:r>
      <w:r w:rsidRPr="00302170">
        <w:t>. Veenendaal, Rhenen, Ede en Wageningen zijn een samenwerkingsverband begonnen waarin de gemeentes samenwerken om de voedselexpertise van Universiteit Wageningen te benutten</w:t>
      </w:r>
      <w:r>
        <w:t>, genaamd WERV</w:t>
      </w:r>
      <w:r w:rsidRPr="00302170">
        <w:t xml:space="preserve">. Door het WERV-samenwerkingsproject hopen de gemeentes de </w:t>
      </w:r>
      <w:r w:rsidRPr="00302170">
        <w:rPr>
          <w:i/>
        </w:rPr>
        <w:t>Food Valley</w:t>
      </w:r>
      <w:r w:rsidRPr="00302170">
        <w:t xml:space="preserve"> te laten groeien. In regio Veenendaal zijn arbeidsplaatsen voor 75% van de beroepsbevolking</w:t>
      </w:r>
      <w:r>
        <w:t xml:space="preserve"> die er woonachtig is</w:t>
      </w:r>
      <w:r w:rsidRPr="00302170">
        <w:t>. In Ede-Wageningen geldt dit voor 95% van de bevolking.</w:t>
      </w:r>
    </w:p>
    <w:p w14:paraId="02E55D6C" w14:textId="77777777" w:rsidR="00812DEE" w:rsidRPr="00302170" w:rsidRDefault="00812DEE" w:rsidP="00812DEE"/>
    <w:tbl>
      <w:tblPr>
        <w:tblStyle w:val="ColorfulGrid-Accent1"/>
        <w:tblW w:w="4835" w:type="dxa"/>
        <w:jc w:val="center"/>
        <w:tblLook w:val="04A0" w:firstRow="1" w:lastRow="0" w:firstColumn="1" w:lastColumn="0" w:noHBand="0" w:noVBand="1"/>
      </w:tblPr>
      <w:tblGrid>
        <w:gridCol w:w="2094"/>
        <w:gridCol w:w="1300"/>
        <w:gridCol w:w="1441"/>
      </w:tblGrid>
      <w:tr w:rsidR="00812DEE" w:rsidRPr="00302170" w14:paraId="7B761BAA" w14:textId="77777777" w:rsidTr="00812DE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4" w:type="dxa"/>
            <w:shd w:val="clear" w:color="auto" w:fill="365F91" w:themeFill="accent1" w:themeFillShade="BF"/>
            <w:noWrap/>
            <w:hideMark/>
          </w:tcPr>
          <w:p w14:paraId="343DBC6C" w14:textId="77777777" w:rsidR="00812DEE" w:rsidRPr="00302170" w:rsidRDefault="00812DEE" w:rsidP="00812DEE">
            <w:pPr>
              <w:rPr>
                <w:rFonts w:ascii="Cambria" w:eastAsia="Times New Roman" w:hAnsi="Cambria" w:cs="Times New Roman"/>
                <w:color w:val="000000"/>
                <w:sz w:val="16"/>
                <w:szCs w:val="16"/>
              </w:rPr>
            </w:pPr>
          </w:p>
        </w:tc>
        <w:tc>
          <w:tcPr>
            <w:tcW w:w="1300" w:type="dxa"/>
            <w:shd w:val="clear" w:color="auto" w:fill="365F91" w:themeFill="accent1" w:themeFillShade="BF"/>
            <w:noWrap/>
            <w:hideMark/>
          </w:tcPr>
          <w:p w14:paraId="3F7239F4"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6"/>
                <w:szCs w:val="16"/>
              </w:rPr>
            </w:pPr>
            <w:r w:rsidRPr="00302170">
              <w:rPr>
                <w:rFonts w:ascii="Calibri" w:eastAsia="Times New Roman" w:hAnsi="Calibri" w:cs="Times New Roman"/>
                <w:color w:val="FFFFFF" w:themeColor="background1"/>
                <w:sz w:val="16"/>
                <w:szCs w:val="16"/>
              </w:rPr>
              <w:t>Inwonertal</w:t>
            </w:r>
          </w:p>
        </w:tc>
        <w:tc>
          <w:tcPr>
            <w:tcW w:w="1441" w:type="dxa"/>
            <w:shd w:val="clear" w:color="auto" w:fill="365F91" w:themeFill="accent1" w:themeFillShade="BF"/>
            <w:noWrap/>
            <w:hideMark/>
          </w:tcPr>
          <w:p w14:paraId="1C261165"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6"/>
                <w:szCs w:val="16"/>
              </w:rPr>
            </w:pPr>
            <w:r w:rsidRPr="00302170">
              <w:rPr>
                <w:rFonts w:ascii="Calibri" w:eastAsia="Times New Roman" w:hAnsi="Calibri" w:cs="Times New Roman"/>
                <w:color w:val="FFFFFF" w:themeColor="background1"/>
                <w:sz w:val="16"/>
                <w:szCs w:val="16"/>
              </w:rPr>
              <w:t>Oppervlakte (km</w:t>
            </w:r>
            <w:r w:rsidRPr="00302170">
              <w:rPr>
                <w:rFonts w:ascii="Calibri" w:eastAsia="Times New Roman" w:hAnsi="Calibri" w:cs="Times New Roman"/>
                <w:color w:val="FFFFFF" w:themeColor="background1"/>
                <w:sz w:val="16"/>
                <w:szCs w:val="16"/>
                <w:vertAlign w:val="superscript"/>
              </w:rPr>
              <w:t>2</w:t>
            </w:r>
            <w:r w:rsidRPr="00302170">
              <w:rPr>
                <w:rFonts w:ascii="Calibri" w:eastAsia="Times New Roman" w:hAnsi="Calibri" w:cs="Times New Roman"/>
                <w:color w:val="FFFFFF" w:themeColor="background1"/>
                <w:sz w:val="16"/>
                <w:szCs w:val="16"/>
              </w:rPr>
              <w:t>)</w:t>
            </w:r>
          </w:p>
        </w:tc>
      </w:tr>
      <w:tr w:rsidR="00812DEE" w:rsidRPr="00302170" w14:paraId="4F8F954D" w14:textId="77777777" w:rsidTr="00812D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7D105000" w14:textId="77777777" w:rsidR="00812DEE" w:rsidRPr="00302170" w:rsidRDefault="00812DEE" w:rsidP="00E47779">
            <w:pPr>
              <w:jc w:val="left"/>
              <w:rPr>
                <w:rFonts w:ascii="Calibri" w:eastAsia="Times New Roman" w:hAnsi="Calibri" w:cs="Times New Roman"/>
                <w:b/>
                <w:bCs/>
                <w:sz w:val="16"/>
                <w:szCs w:val="16"/>
              </w:rPr>
            </w:pPr>
            <w:r w:rsidRPr="00302170">
              <w:rPr>
                <w:rFonts w:ascii="Calibri" w:eastAsia="Times New Roman" w:hAnsi="Calibri" w:cs="Times New Roman"/>
                <w:b/>
                <w:bCs/>
                <w:sz w:val="16"/>
                <w:szCs w:val="16"/>
              </w:rPr>
              <w:t>Regio Veenendaal</w:t>
            </w:r>
          </w:p>
        </w:tc>
        <w:tc>
          <w:tcPr>
            <w:tcW w:w="1300" w:type="dxa"/>
            <w:noWrap/>
            <w:hideMark/>
          </w:tcPr>
          <w:p w14:paraId="75DA0AF4"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302170">
              <w:rPr>
                <w:rFonts w:ascii="Calibri" w:eastAsia="Times New Roman" w:hAnsi="Calibri" w:cs="Times New Roman"/>
                <w:b/>
                <w:bCs/>
                <w:color w:val="000000"/>
                <w:sz w:val="16"/>
                <w:szCs w:val="16"/>
              </w:rPr>
              <w:t>158.000</w:t>
            </w:r>
          </w:p>
        </w:tc>
        <w:tc>
          <w:tcPr>
            <w:tcW w:w="1441" w:type="dxa"/>
            <w:noWrap/>
            <w:hideMark/>
          </w:tcPr>
          <w:p w14:paraId="48E335B1"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302170">
              <w:rPr>
                <w:rFonts w:ascii="Calibri" w:eastAsia="Times New Roman" w:hAnsi="Calibri" w:cs="Times New Roman"/>
                <w:b/>
                <w:bCs/>
                <w:color w:val="000000"/>
                <w:sz w:val="16"/>
                <w:szCs w:val="16"/>
              </w:rPr>
              <w:t>267</w:t>
            </w:r>
          </w:p>
        </w:tc>
      </w:tr>
      <w:tr w:rsidR="00812DEE" w:rsidRPr="00302170" w14:paraId="5DA76CC9" w14:textId="77777777" w:rsidTr="00812DEE">
        <w:trPr>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525F882F" w14:textId="77777777" w:rsidR="00812DEE" w:rsidRPr="00302170" w:rsidRDefault="00812DEE" w:rsidP="00E47779">
            <w:pPr>
              <w:jc w:val="left"/>
              <w:rPr>
                <w:rFonts w:ascii="Calibri" w:eastAsia="Times New Roman" w:hAnsi="Calibri" w:cs="Times New Roman"/>
                <w:sz w:val="16"/>
                <w:szCs w:val="16"/>
              </w:rPr>
            </w:pPr>
            <w:r w:rsidRPr="00302170">
              <w:rPr>
                <w:rFonts w:ascii="Calibri" w:eastAsia="Times New Roman" w:hAnsi="Calibri" w:cs="Times New Roman"/>
                <w:sz w:val="16"/>
                <w:szCs w:val="16"/>
              </w:rPr>
              <w:t>Gemeente Renswoude</w:t>
            </w:r>
          </w:p>
        </w:tc>
        <w:tc>
          <w:tcPr>
            <w:tcW w:w="1300" w:type="dxa"/>
            <w:noWrap/>
            <w:hideMark/>
          </w:tcPr>
          <w:p w14:paraId="35F84B6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5.000</w:t>
            </w:r>
          </w:p>
        </w:tc>
        <w:tc>
          <w:tcPr>
            <w:tcW w:w="1441" w:type="dxa"/>
            <w:noWrap/>
            <w:hideMark/>
          </w:tcPr>
          <w:p w14:paraId="11720145"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18,5</w:t>
            </w:r>
          </w:p>
        </w:tc>
      </w:tr>
      <w:tr w:rsidR="00812DEE" w:rsidRPr="00302170" w14:paraId="7F8687E0" w14:textId="77777777" w:rsidTr="00812D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7B05481D" w14:textId="77777777" w:rsidR="00812DEE" w:rsidRPr="00302170" w:rsidRDefault="00812DEE" w:rsidP="00E47779">
            <w:pPr>
              <w:jc w:val="left"/>
              <w:rPr>
                <w:rFonts w:ascii="Calibri" w:eastAsia="Times New Roman" w:hAnsi="Calibri" w:cs="Times New Roman"/>
                <w:sz w:val="16"/>
                <w:szCs w:val="16"/>
              </w:rPr>
            </w:pPr>
            <w:r w:rsidRPr="00302170">
              <w:rPr>
                <w:rFonts w:ascii="Calibri" w:eastAsia="Times New Roman" w:hAnsi="Calibri" w:cs="Times New Roman"/>
                <w:sz w:val="16"/>
                <w:szCs w:val="16"/>
              </w:rPr>
              <w:t>Gemeente Rhenen</w:t>
            </w:r>
          </w:p>
        </w:tc>
        <w:tc>
          <w:tcPr>
            <w:tcW w:w="1300" w:type="dxa"/>
            <w:noWrap/>
            <w:hideMark/>
          </w:tcPr>
          <w:p w14:paraId="14AC6C5C"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19.000</w:t>
            </w:r>
          </w:p>
        </w:tc>
        <w:tc>
          <w:tcPr>
            <w:tcW w:w="1441" w:type="dxa"/>
            <w:noWrap/>
            <w:hideMark/>
          </w:tcPr>
          <w:p w14:paraId="35C5C796"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20</w:t>
            </w:r>
          </w:p>
        </w:tc>
      </w:tr>
      <w:tr w:rsidR="00812DEE" w:rsidRPr="00302170" w14:paraId="4816AD7D" w14:textId="77777777" w:rsidTr="00812DEE">
        <w:trPr>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67179A07" w14:textId="77777777" w:rsidR="00812DEE" w:rsidRPr="00302170" w:rsidRDefault="00812DEE" w:rsidP="00E47779">
            <w:pPr>
              <w:jc w:val="left"/>
              <w:rPr>
                <w:rFonts w:ascii="Calibri" w:eastAsia="Times New Roman" w:hAnsi="Calibri" w:cs="Times New Roman"/>
                <w:sz w:val="16"/>
                <w:szCs w:val="16"/>
              </w:rPr>
            </w:pPr>
            <w:r w:rsidRPr="00302170">
              <w:rPr>
                <w:rFonts w:ascii="Calibri" w:eastAsia="Times New Roman" w:hAnsi="Calibri" w:cs="Times New Roman"/>
                <w:sz w:val="16"/>
                <w:szCs w:val="16"/>
              </w:rPr>
              <w:t>Gemeente Utrechtse Heuvelrug</w:t>
            </w:r>
          </w:p>
        </w:tc>
        <w:tc>
          <w:tcPr>
            <w:tcW w:w="1300" w:type="dxa"/>
            <w:noWrap/>
            <w:hideMark/>
          </w:tcPr>
          <w:p w14:paraId="0F7CEFE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48.000</w:t>
            </w:r>
          </w:p>
        </w:tc>
        <w:tc>
          <w:tcPr>
            <w:tcW w:w="1441" w:type="dxa"/>
            <w:noWrap/>
            <w:hideMark/>
          </w:tcPr>
          <w:p w14:paraId="470C90A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134</w:t>
            </w:r>
          </w:p>
        </w:tc>
      </w:tr>
      <w:tr w:rsidR="00812DEE" w:rsidRPr="00302170" w14:paraId="19317A51" w14:textId="77777777" w:rsidTr="00812D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290A652F" w14:textId="77777777" w:rsidR="00812DEE" w:rsidRPr="00302170" w:rsidRDefault="00812DEE" w:rsidP="00E47779">
            <w:pPr>
              <w:jc w:val="left"/>
              <w:rPr>
                <w:rFonts w:ascii="Calibri" w:eastAsia="Times New Roman" w:hAnsi="Calibri" w:cs="Times New Roman"/>
                <w:sz w:val="16"/>
                <w:szCs w:val="16"/>
              </w:rPr>
            </w:pPr>
            <w:r w:rsidRPr="00302170">
              <w:rPr>
                <w:rFonts w:ascii="Calibri" w:eastAsia="Times New Roman" w:hAnsi="Calibri" w:cs="Times New Roman"/>
                <w:sz w:val="16"/>
                <w:szCs w:val="16"/>
              </w:rPr>
              <w:t>Gemeente Veenendaal</w:t>
            </w:r>
          </w:p>
        </w:tc>
        <w:tc>
          <w:tcPr>
            <w:tcW w:w="1300" w:type="dxa"/>
            <w:noWrap/>
            <w:hideMark/>
          </w:tcPr>
          <w:p w14:paraId="0ED88E93"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63.000</w:t>
            </w:r>
          </w:p>
        </w:tc>
        <w:tc>
          <w:tcPr>
            <w:tcW w:w="1441" w:type="dxa"/>
            <w:noWrap/>
            <w:hideMark/>
          </w:tcPr>
          <w:p w14:paraId="24E2505B"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44</w:t>
            </w:r>
          </w:p>
        </w:tc>
      </w:tr>
      <w:tr w:rsidR="00812DEE" w:rsidRPr="00302170" w14:paraId="55683CF6" w14:textId="77777777" w:rsidTr="00812DEE">
        <w:trPr>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1A2E454D" w14:textId="77777777" w:rsidR="00812DEE" w:rsidRPr="00302170" w:rsidRDefault="00812DEE" w:rsidP="00E47779">
            <w:pPr>
              <w:jc w:val="left"/>
              <w:rPr>
                <w:rFonts w:ascii="Calibri" w:eastAsia="Times New Roman" w:hAnsi="Calibri" w:cs="Times New Roman"/>
                <w:sz w:val="16"/>
                <w:szCs w:val="16"/>
              </w:rPr>
            </w:pPr>
            <w:r w:rsidRPr="00302170">
              <w:rPr>
                <w:rFonts w:ascii="Calibri" w:eastAsia="Times New Roman" w:hAnsi="Calibri" w:cs="Times New Roman"/>
                <w:sz w:val="16"/>
                <w:szCs w:val="16"/>
              </w:rPr>
              <w:t>Gemeente Wijk bij Duurstede</w:t>
            </w:r>
          </w:p>
        </w:tc>
        <w:tc>
          <w:tcPr>
            <w:tcW w:w="1300" w:type="dxa"/>
            <w:noWrap/>
            <w:hideMark/>
          </w:tcPr>
          <w:p w14:paraId="7C256692"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23.000</w:t>
            </w:r>
          </w:p>
        </w:tc>
        <w:tc>
          <w:tcPr>
            <w:tcW w:w="1441" w:type="dxa"/>
            <w:noWrap/>
            <w:hideMark/>
          </w:tcPr>
          <w:p w14:paraId="41DCF9CE"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50</w:t>
            </w:r>
          </w:p>
        </w:tc>
      </w:tr>
      <w:tr w:rsidR="00812DEE" w:rsidRPr="00302170" w14:paraId="510DD336" w14:textId="77777777" w:rsidTr="00812D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1AF77D24" w14:textId="77777777" w:rsidR="00812DEE" w:rsidRPr="00302170" w:rsidRDefault="00812DEE" w:rsidP="00E47779">
            <w:pPr>
              <w:jc w:val="left"/>
              <w:rPr>
                <w:rFonts w:ascii="Calibri" w:eastAsia="Times New Roman" w:hAnsi="Calibri" w:cs="Times New Roman"/>
                <w:b/>
                <w:bCs/>
                <w:sz w:val="16"/>
                <w:szCs w:val="16"/>
              </w:rPr>
            </w:pPr>
            <w:r w:rsidRPr="00302170">
              <w:rPr>
                <w:rFonts w:ascii="Calibri" w:eastAsia="Times New Roman" w:hAnsi="Calibri" w:cs="Times New Roman"/>
                <w:b/>
                <w:bCs/>
                <w:sz w:val="16"/>
                <w:szCs w:val="16"/>
              </w:rPr>
              <w:t>Regio Ede-Wageningen</w:t>
            </w:r>
          </w:p>
        </w:tc>
        <w:tc>
          <w:tcPr>
            <w:tcW w:w="1300" w:type="dxa"/>
            <w:noWrap/>
            <w:hideMark/>
          </w:tcPr>
          <w:p w14:paraId="2388846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302170">
              <w:rPr>
                <w:rFonts w:ascii="Calibri" w:eastAsia="Times New Roman" w:hAnsi="Calibri" w:cs="Times New Roman"/>
                <w:b/>
                <w:bCs/>
                <w:color w:val="000000"/>
                <w:sz w:val="16"/>
                <w:szCs w:val="16"/>
              </w:rPr>
              <w:t>137.500</w:t>
            </w:r>
          </w:p>
        </w:tc>
        <w:tc>
          <w:tcPr>
            <w:tcW w:w="1441" w:type="dxa"/>
            <w:noWrap/>
            <w:hideMark/>
          </w:tcPr>
          <w:p w14:paraId="474C3158"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rPr>
            </w:pPr>
            <w:r w:rsidRPr="00302170">
              <w:rPr>
                <w:rFonts w:ascii="Calibri" w:eastAsia="Times New Roman" w:hAnsi="Calibri" w:cs="Times New Roman"/>
                <w:b/>
                <w:bCs/>
                <w:color w:val="000000"/>
                <w:sz w:val="16"/>
                <w:szCs w:val="16"/>
              </w:rPr>
              <w:t>350</w:t>
            </w:r>
          </w:p>
        </w:tc>
      </w:tr>
      <w:tr w:rsidR="00812DEE" w:rsidRPr="00302170" w14:paraId="494594FB" w14:textId="77777777" w:rsidTr="00812DEE">
        <w:trPr>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1A6C9B15" w14:textId="77777777" w:rsidR="00812DEE" w:rsidRPr="00302170" w:rsidRDefault="00812DEE" w:rsidP="00E47779">
            <w:pPr>
              <w:jc w:val="left"/>
              <w:rPr>
                <w:rFonts w:ascii="Calibri" w:eastAsia="Times New Roman" w:hAnsi="Calibri" w:cs="Times New Roman"/>
                <w:sz w:val="16"/>
                <w:szCs w:val="16"/>
              </w:rPr>
            </w:pPr>
            <w:r w:rsidRPr="00302170">
              <w:rPr>
                <w:rFonts w:ascii="Calibri" w:eastAsia="Times New Roman" w:hAnsi="Calibri" w:cs="Times New Roman"/>
                <w:sz w:val="16"/>
                <w:szCs w:val="16"/>
              </w:rPr>
              <w:t>Gemeente Ede</w:t>
            </w:r>
          </w:p>
        </w:tc>
        <w:tc>
          <w:tcPr>
            <w:tcW w:w="1300" w:type="dxa"/>
            <w:noWrap/>
            <w:hideMark/>
          </w:tcPr>
          <w:p w14:paraId="53862DA6"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110.000</w:t>
            </w:r>
          </w:p>
        </w:tc>
        <w:tc>
          <w:tcPr>
            <w:tcW w:w="1441" w:type="dxa"/>
            <w:noWrap/>
            <w:hideMark/>
          </w:tcPr>
          <w:p w14:paraId="5D921BE9"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318</w:t>
            </w:r>
          </w:p>
        </w:tc>
      </w:tr>
      <w:tr w:rsidR="00812DEE" w:rsidRPr="00302170" w14:paraId="42896E50" w14:textId="77777777" w:rsidTr="00812D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4" w:type="dxa"/>
            <w:noWrap/>
            <w:hideMark/>
          </w:tcPr>
          <w:p w14:paraId="0D714B23" w14:textId="77777777" w:rsidR="00812DEE" w:rsidRPr="00302170" w:rsidRDefault="00812DEE" w:rsidP="00E47779">
            <w:pPr>
              <w:jc w:val="left"/>
              <w:rPr>
                <w:rFonts w:ascii="Calibri" w:eastAsia="Times New Roman" w:hAnsi="Calibri" w:cs="Times New Roman"/>
                <w:sz w:val="16"/>
                <w:szCs w:val="16"/>
              </w:rPr>
            </w:pPr>
            <w:r w:rsidRPr="00302170">
              <w:rPr>
                <w:rFonts w:ascii="Calibri" w:eastAsia="Times New Roman" w:hAnsi="Calibri" w:cs="Times New Roman"/>
                <w:sz w:val="16"/>
                <w:szCs w:val="16"/>
              </w:rPr>
              <w:t>Gemeente Wageningen</w:t>
            </w:r>
          </w:p>
        </w:tc>
        <w:tc>
          <w:tcPr>
            <w:tcW w:w="1300" w:type="dxa"/>
            <w:noWrap/>
            <w:hideMark/>
          </w:tcPr>
          <w:p w14:paraId="4E5C2B0C"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27.500</w:t>
            </w:r>
          </w:p>
        </w:tc>
        <w:tc>
          <w:tcPr>
            <w:tcW w:w="1441" w:type="dxa"/>
            <w:noWrap/>
            <w:hideMark/>
          </w:tcPr>
          <w:p w14:paraId="40EC4114"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rPr>
            </w:pPr>
            <w:r w:rsidRPr="00302170">
              <w:rPr>
                <w:rFonts w:ascii="Calibri" w:eastAsia="Times New Roman" w:hAnsi="Calibri" w:cs="Times New Roman"/>
                <w:color w:val="000000"/>
                <w:sz w:val="16"/>
                <w:szCs w:val="16"/>
              </w:rPr>
              <w:t>32</w:t>
            </w:r>
          </w:p>
        </w:tc>
      </w:tr>
    </w:tbl>
    <w:p w14:paraId="687E3271" w14:textId="284ED4B0" w:rsidR="00812DEE" w:rsidRPr="00302170" w:rsidRDefault="00812DEE" w:rsidP="002E76FA">
      <w:pPr>
        <w:jc w:val="center"/>
        <w:rPr>
          <w:color w:val="548DD4" w:themeColor="text2" w:themeTint="99"/>
          <w:sz w:val="20"/>
        </w:rPr>
      </w:pPr>
      <w:r>
        <w:rPr>
          <w:b/>
          <w:color w:val="548DD4" w:themeColor="text2" w:themeTint="99"/>
          <w:sz w:val="20"/>
        </w:rPr>
        <w:t>Tabel 5.</w:t>
      </w:r>
      <w:r w:rsidRPr="00302170">
        <w:rPr>
          <w:b/>
          <w:color w:val="548DD4" w:themeColor="text2" w:themeTint="99"/>
          <w:sz w:val="20"/>
        </w:rPr>
        <w:t xml:space="preserve">1: </w:t>
      </w:r>
      <w:r w:rsidRPr="00302170">
        <w:rPr>
          <w:color w:val="548DD4" w:themeColor="text2" w:themeTint="99"/>
          <w:sz w:val="20"/>
        </w:rPr>
        <w:t xml:space="preserve"> Het inwonertal en de oppervlakte per gemeente en per regio.</w:t>
      </w:r>
    </w:p>
    <w:p w14:paraId="4C620D0A" w14:textId="2AE79919" w:rsidR="00812DEE" w:rsidRPr="00302170" w:rsidRDefault="00EA0D56" w:rsidP="00EA0D56">
      <w:pPr>
        <w:pStyle w:val="Heading1"/>
      </w:pPr>
      <w:bookmarkStart w:id="61" w:name="_Toc316143586"/>
      <w:bookmarkStart w:id="62" w:name="_Toc337655438"/>
      <w:r>
        <w:t xml:space="preserve">5.3 </w:t>
      </w:r>
      <w:r w:rsidR="00812DEE">
        <w:t>Statistiek op gemeente</w:t>
      </w:r>
      <w:r w:rsidR="00812DEE" w:rsidRPr="00302170">
        <w:t>niveau</w:t>
      </w:r>
      <w:bookmarkEnd w:id="61"/>
      <w:bookmarkEnd w:id="62"/>
    </w:p>
    <w:p w14:paraId="2128F1BC" w14:textId="7347094B" w:rsidR="009928C1"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Gemeente Veenendaal is qua hoeveelheid bedrijfsvestigingen de grootste gemeente in de regio, met 44,36% van alle vestigingen. Qua werkgelegenheid is de Utrechtse Heuvelrug echter groter, hier zijn 300 banen meer dan in Veenendaal. Hier staat wel tegenover dat Veenendaal één aaneengesloten bebouwd gebied is, terwijl de werkgelegenheid op e Heuvelrug verspreid is over Driebergen-Rijsenburg (13,8% van regio</w:t>
      </w:r>
      <w:r>
        <w:rPr>
          <w:rFonts w:ascii="Calibri" w:eastAsia="Times New Roman" w:hAnsi="Calibri" w:cs="Times New Roman"/>
          <w:color w:val="000000"/>
        </w:rPr>
        <w:t xml:space="preserve"> Veenendaal</w:t>
      </w:r>
      <w:r w:rsidRPr="00302170">
        <w:rPr>
          <w:rFonts w:ascii="Calibri" w:eastAsia="Times New Roman" w:hAnsi="Calibri" w:cs="Times New Roman"/>
          <w:color w:val="000000"/>
        </w:rPr>
        <w:t>), Doorn (11,4) en de kleinere kernen (gezamenlijk 10,3%). De werkgelegenheid op de Heuvelrug is zo groot doordat politie en defensie hier grote vestigingen hebben. De werkgelegenheid en het aantal bedrijfsvestigingen per gem</w:t>
      </w:r>
      <w:r>
        <w:rPr>
          <w:rFonts w:ascii="Calibri" w:eastAsia="Times New Roman" w:hAnsi="Calibri" w:cs="Times New Roman"/>
          <w:color w:val="000000"/>
        </w:rPr>
        <w:t xml:space="preserve">eente is te vinden in tabel </w:t>
      </w:r>
      <w:r w:rsidRPr="00302170">
        <w:rPr>
          <w:rFonts w:ascii="Calibri" w:eastAsia="Times New Roman" w:hAnsi="Calibri" w:cs="Times New Roman"/>
          <w:color w:val="000000"/>
        </w:rPr>
        <w:t>2.</w:t>
      </w:r>
    </w:p>
    <w:p w14:paraId="096E9B43" w14:textId="77777777" w:rsidR="00812DEE" w:rsidRPr="009928C1" w:rsidRDefault="009928C1" w:rsidP="00812DEE">
      <w:pPr>
        <w:rPr>
          <w:rFonts w:ascii="Calibri" w:eastAsia="Times New Roman" w:hAnsi="Calibri" w:cs="Times New Roman"/>
          <w:color w:val="000000"/>
        </w:rPr>
      </w:pPr>
      <w:r>
        <w:rPr>
          <w:rFonts w:ascii="Calibri" w:eastAsia="Times New Roman" w:hAnsi="Calibri" w:cs="Times New Roman"/>
          <w:color w:val="000000"/>
        </w:rPr>
        <w:br w:type="column"/>
      </w:r>
    </w:p>
    <w:tbl>
      <w:tblPr>
        <w:tblStyle w:val="ColorfulGrid-Accent1"/>
        <w:tblW w:w="6094" w:type="dxa"/>
        <w:jc w:val="center"/>
        <w:tblLook w:val="04A0" w:firstRow="1" w:lastRow="0" w:firstColumn="1" w:lastColumn="0" w:noHBand="0" w:noVBand="1"/>
      </w:tblPr>
      <w:tblGrid>
        <w:gridCol w:w="1854"/>
        <w:gridCol w:w="1168"/>
        <w:gridCol w:w="952"/>
        <w:gridCol w:w="1220"/>
        <w:gridCol w:w="900"/>
      </w:tblGrid>
      <w:tr w:rsidR="00812DEE" w:rsidRPr="00302170" w14:paraId="627AF66A" w14:textId="77777777" w:rsidTr="00812DEE">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54" w:type="dxa"/>
            <w:shd w:val="clear" w:color="auto" w:fill="365F91" w:themeFill="accent1" w:themeFillShade="BF"/>
            <w:noWrap/>
            <w:hideMark/>
          </w:tcPr>
          <w:p w14:paraId="3ACE70D2" w14:textId="77777777" w:rsidR="00812DEE" w:rsidRPr="00302170" w:rsidRDefault="00812DEE" w:rsidP="00812DEE">
            <w:pPr>
              <w:rPr>
                <w:rFonts w:eastAsia="Times New Roman" w:cs="Arial"/>
                <w:sz w:val="16"/>
                <w:szCs w:val="16"/>
              </w:rPr>
            </w:pPr>
          </w:p>
        </w:tc>
        <w:tc>
          <w:tcPr>
            <w:tcW w:w="2120" w:type="dxa"/>
            <w:gridSpan w:val="2"/>
            <w:shd w:val="clear" w:color="auto" w:fill="365F91" w:themeFill="accent1" w:themeFillShade="BF"/>
            <w:noWrap/>
            <w:hideMark/>
          </w:tcPr>
          <w:p w14:paraId="1CCAF29F"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Vestigingen</w:t>
            </w:r>
          </w:p>
        </w:tc>
        <w:tc>
          <w:tcPr>
            <w:tcW w:w="2120" w:type="dxa"/>
            <w:gridSpan w:val="2"/>
            <w:shd w:val="clear" w:color="auto" w:fill="365F91" w:themeFill="accent1" w:themeFillShade="BF"/>
            <w:noWrap/>
            <w:hideMark/>
          </w:tcPr>
          <w:p w14:paraId="30CA786F"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Arbeidsplaatsen</w:t>
            </w:r>
          </w:p>
        </w:tc>
      </w:tr>
      <w:tr w:rsidR="00812DEE" w:rsidRPr="00302170" w14:paraId="5CDE2307" w14:textId="77777777" w:rsidTr="00812DE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54" w:type="dxa"/>
            <w:noWrap/>
            <w:hideMark/>
          </w:tcPr>
          <w:p w14:paraId="224C3446" w14:textId="77777777" w:rsidR="00812DEE" w:rsidRPr="00302170" w:rsidRDefault="00812DEE" w:rsidP="00812DEE">
            <w:pPr>
              <w:rPr>
                <w:rFonts w:eastAsia="Times New Roman" w:cs="Arial"/>
                <w:sz w:val="16"/>
                <w:szCs w:val="16"/>
              </w:rPr>
            </w:pPr>
          </w:p>
        </w:tc>
        <w:tc>
          <w:tcPr>
            <w:tcW w:w="1168" w:type="dxa"/>
            <w:shd w:val="clear" w:color="auto" w:fill="365F91" w:themeFill="accent1" w:themeFillShade="BF"/>
            <w:noWrap/>
            <w:hideMark/>
          </w:tcPr>
          <w:p w14:paraId="607E2D41"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absoluut</w:t>
            </w:r>
          </w:p>
        </w:tc>
        <w:tc>
          <w:tcPr>
            <w:tcW w:w="952" w:type="dxa"/>
            <w:shd w:val="clear" w:color="auto" w:fill="365F91" w:themeFill="accent1" w:themeFillShade="BF"/>
            <w:noWrap/>
            <w:hideMark/>
          </w:tcPr>
          <w:p w14:paraId="639B0FEC"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w:t>
            </w:r>
          </w:p>
        </w:tc>
        <w:tc>
          <w:tcPr>
            <w:tcW w:w="1220" w:type="dxa"/>
            <w:shd w:val="clear" w:color="auto" w:fill="365F91" w:themeFill="accent1" w:themeFillShade="BF"/>
            <w:noWrap/>
            <w:hideMark/>
          </w:tcPr>
          <w:p w14:paraId="4EBEAD7F"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absoluut</w:t>
            </w:r>
          </w:p>
        </w:tc>
        <w:tc>
          <w:tcPr>
            <w:tcW w:w="900" w:type="dxa"/>
            <w:shd w:val="clear" w:color="auto" w:fill="365F91" w:themeFill="accent1" w:themeFillShade="BF"/>
            <w:noWrap/>
            <w:hideMark/>
          </w:tcPr>
          <w:p w14:paraId="0412B609"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6"/>
                <w:szCs w:val="16"/>
              </w:rPr>
            </w:pPr>
            <w:r w:rsidRPr="00302170">
              <w:rPr>
                <w:rFonts w:eastAsia="Times New Roman" w:cs="Arial"/>
                <w:color w:val="FFFFFF" w:themeColor="background1"/>
                <w:sz w:val="16"/>
                <w:szCs w:val="16"/>
              </w:rPr>
              <w:t>%</w:t>
            </w:r>
          </w:p>
        </w:tc>
      </w:tr>
      <w:tr w:rsidR="00812DEE" w:rsidRPr="00302170" w14:paraId="242214FE" w14:textId="77777777" w:rsidTr="00812DEE">
        <w:trPr>
          <w:trHeight w:val="260"/>
          <w:jc w:val="center"/>
        </w:trPr>
        <w:tc>
          <w:tcPr>
            <w:cnfStyle w:val="001000000000" w:firstRow="0" w:lastRow="0" w:firstColumn="1" w:lastColumn="0" w:oddVBand="0" w:evenVBand="0" w:oddHBand="0" w:evenHBand="0" w:firstRowFirstColumn="0" w:firstRowLastColumn="0" w:lastRowFirstColumn="0" w:lastRowLastColumn="0"/>
            <w:tcW w:w="1854" w:type="dxa"/>
            <w:noWrap/>
            <w:hideMark/>
          </w:tcPr>
          <w:p w14:paraId="50F2A061" w14:textId="77777777" w:rsidR="00812DEE" w:rsidRPr="00302170" w:rsidRDefault="00812DEE" w:rsidP="00812DEE">
            <w:pPr>
              <w:rPr>
                <w:rFonts w:eastAsia="Times New Roman" w:cs="Arial"/>
                <w:sz w:val="16"/>
                <w:szCs w:val="16"/>
              </w:rPr>
            </w:pPr>
            <w:r w:rsidRPr="00302170">
              <w:rPr>
                <w:rFonts w:eastAsia="Times New Roman" w:cs="Arial"/>
                <w:sz w:val="16"/>
                <w:szCs w:val="16"/>
              </w:rPr>
              <w:t>Renswoude</w:t>
            </w:r>
          </w:p>
        </w:tc>
        <w:tc>
          <w:tcPr>
            <w:tcW w:w="1168" w:type="dxa"/>
            <w:noWrap/>
            <w:hideMark/>
          </w:tcPr>
          <w:p w14:paraId="06FF851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2355</w:t>
            </w:r>
          </w:p>
        </w:tc>
        <w:tc>
          <w:tcPr>
            <w:tcW w:w="952" w:type="dxa"/>
            <w:noWrap/>
            <w:hideMark/>
          </w:tcPr>
          <w:p w14:paraId="13A20473"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4,34</w:t>
            </w:r>
          </w:p>
        </w:tc>
        <w:tc>
          <w:tcPr>
            <w:tcW w:w="1220" w:type="dxa"/>
            <w:noWrap/>
            <w:hideMark/>
          </w:tcPr>
          <w:p w14:paraId="499166A0"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514</w:t>
            </w:r>
          </w:p>
        </w:tc>
        <w:tc>
          <w:tcPr>
            <w:tcW w:w="900" w:type="dxa"/>
            <w:noWrap/>
            <w:hideMark/>
          </w:tcPr>
          <w:p w14:paraId="6A1AE077"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3,94</w:t>
            </w:r>
          </w:p>
        </w:tc>
      </w:tr>
      <w:tr w:rsidR="00812DEE" w:rsidRPr="00302170" w14:paraId="756FB70A" w14:textId="77777777" w:rsidTr="00812DE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54" w:type="dxa"/>
            <w:noWrap/>
            <w:hideMark/>
          </w:tcPr>
          <w:p w14:paraId="4A8C0CFE" w14:textId="77777777" w:rsidR="00812DEE" w:rsidRPr="00302170" w:rsidRDefault="00812DEE" w:rsidP="00812DEE">
            <w:pPr>
              <w:rPr>
                <w:rFonts w:eastAsia="Times New Roman" w:cs="Arial"/>
                <w:sz w:val="16"/>
                <w:szCs w:val="16"/>
              </w:rPr>
            </w:pPr>
            <w:r w:rsidRPr="00302170">
              <w:rPr>
                <w:rFonts w:eastAsia="Times New Roman" w:cs="Arial"/>
                <w:sz w:val="16"/>
                <w:szCs w:val="16"/>
              </w:rPr>
              <w:t>Rhenen</w:t>
            </w:r>
          </w:p>
        </w:tc>
        <w:tc>
          <w:tcPr>
            <w:tcW w:w="1168" w:type="dxa"/>
            <w:noWrap/>
            <w:hideMark/>
          </w:tcPr>
          <w:p w14:paraId="79DB595E"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4422</w:t>
            </w:r>
          </w:p>
        </w:tc>
        <w:tc>
          <w:tcPr>
            <w:tcW w:w="952" w:type="dxa"/>
            <w:noWrap/>
            <w:hideMark/>
          </w:tcPr>
          <w:p w14:paraId="6F0056F8"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8,14</w:t>
            </w:r>
          </w:p>
        </w:tc>
        <w:tc>
          <w:tcPr>
            <w:tcW w:w="1220" w:type="dxa"/>
            <w:noWrap/>
            <w:hideMark/>
          </w:tcPr>
          <w:p w14:paraId="7B15509E"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1443</w:t>
            </w:r>
          </w:p>
        </w:tc>
        <w:tc>
          <w:tcPr>
            <w:tcW w:w="900" w:type="dxa"/>
            <w:noWrap/>
            <w:hideMark/>
          </w:tcPr>
          <w:p w14:paraId="7BC2A638"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11,05</w:t>
            </w:r>
          </w:p>
        </w:tc>
      </w:tr>
      <w:tr w:rsidR="00812DEE" w:rsidRPr="00302170" w14:paraId="5F6D5B75" w14:textId="77777777" w:rsidTr="00812DEE">
        <w:trPr>
          <w:trHeight w:val="240"/>
          <w:jc w:val="center"/>
        </w:trPr>
        <w:tc>
          <w:tcPr>
            <w:cnfStyle w:val="001000000000" w:firstRow="0" w:lastRow="0" w:firstColumn="1" w:lastColumn="0" w:oddVBand="0" w:evenVBand="0" w:oddHBand="0" w:evenHBand="0" w:firstRowFirstColumn="0" w:firstRowLastColumn="0" w:lastRowFirstColumn="0" w:lastRowLastColumn="0"/>
            <w:tcW w:w="1854" w:type="dxa"/>
            <w:noWrap/>
            <w:hideMark/>
          </w:tcPr>
          <w:p w14:paraId="59CDEED8" w14:textId="77777777" w:rsidR="00812DEE" w:rsidRPr="00302170" w:rsidRDefault="00812DEE" w:rsidP="00812DEE">
            <w:pPr>
              <w:rPr>
                <w:rFonts w:eastAsia="Times New Roman" w:cs="Arial"/>
                <w:sz w:val="16"/>
                <w:szCs w:val="16"/>
              </w:rPr>
            </w:pPr>
            <w:r w:rsidRPr="00302170">
              <w:rPr>
                <w:rFonts w:eastAsia="Times New Roman" w:cs="Arial"/>
                <w:sz w:val="16"/>
                <w:szCs w:val="16"/>
              </w:rPr>
              <w:t>Utrechtse Heuvelrug</w:t>
            </w:r>
          </w:p>
        </w:tc>
        <w:tc>
          <w:tcPr>
            <w:tcW w:w="1168" w:type="dxa"/>
            <w:noWrap/>
            <w:hideMark/>
          </w:tcPr>
          <w:p w14:paraId="4C50CA2E"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18527</w:t>
            </w:r>
          </w:p>
        </w:tc>
        <w:tc>
          <w:tcPr>
            <w:tcW w:w="952" w:type="dxa"/>
            <w:noWrap/>
            <w:hideMark/>
          </w:tcPr>
          <w:p w14:paraId="52692E43"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34,11</w:t>
            </w:r>
          </w:p>
        </w:tc>
        <w:tc>
          <w:tcPr>
            <w:tcW w:w="1220" w:type="dxa"/>
            <w:noWrap/>
            <w:hideMark/>
          </w:tcPr>
          <w:p w14:paraId="28209B3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4724</w:t>
            </w:r>
          </w:p>
        </w:tc>
        <w:tc>
          <w:tcPr>
            <w:tcW w:w="900" w:type="dxa"/>
            <w:noWrap/>
            <w:hideMark/>
          </w:tcPr>
          <w:p w14:paraId="05EFE693"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36,19</w:t>
            </w:r>
          </w:p>
        </w:tc>
      </w:tr>
      <w:tr w:rsidR="00812DEE" w:rsidRPr="00302170" w14:paraId="4CEF0AAD" w14:textId="77777777" w:rsidTr="00812DE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854" w:type="dxa"/>
            <w:noWrap/>
            <w:hideMark/>
          </w:tcPr>
          <w:p w14:paraId="015A9157" w14:textId="77777777" w:rsidR="00812DEE" w:rsidRPr="00302170" w:rsidRDefault="00812DEE" w:rsidP="00812DEE">
            <w:pPr>
              <w:rPr>
                <w:rFonts w:eastAsia="Times New Roman" w:cs="Arial"/>
                <w:sz w:val="16"/>
                <w:szCs w:val="16"/>
              </w:rPr>
            </w:pPr>
            <w:r w:rsidRPr="00302170">
              <w:rPr>
                <w:rFonts w:eastAsia="Times New Roman" w:cs="Arial"/>
                <w:sz w:val="16"/>
                <w:szCs w:val="16"/>
              </w:rPr>
              <w:t>Veenendaal</w:t>
            </w:r>
          </w:p>
        </w:tc>
        <w:tc>
          <w:tcPr>
            <w:tcW w:w="1168" w:type="dxa"/>
            <w:noWrap/>
            <w:hideMark/>
          </w:tcPr>
          <w:p w14:paraId="0A86776C"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24099</w:t>
            </w:r>
          </w:p>
        </w:tc>
        <w:tc>
          <w:tcPr>
            <w:tcW w:w="952" w:type="dxa"/>
            <w:noWrap/>
            <w:hideMark/>
          </w:tcPr>
          <w:p w14:paraId="63A02248"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44,36</w:t>
            </w:r>
          </w:p>
        </w:tc>
        <w:tc>
          <w:tcPr>
            <w:tcW w:w="1220" w:type="dxa"/>
            <w:noWrap/>
            <w:hideMark/>
          </w:tcPr>
          <w:p w14:paraId="11500468"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4442</w:t>
            </w:r>
          </w:p>
        </w:tc>
        <w:tc>
          <w:tcPr>
            <w:tcW w:w="900" w:type="dxa"/>
            <w:noWrap/>
            <w:hideMark/>
          </w:tcPr>
          <w:p w14:paraId="45C5B64A"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34,03</w:t>
            </w:r>
          </w:p>
        </w:tc>
      </w:tr>
      <w:tr w:rsidR="00812DEE" w:rsidRPr="00302170" w14:paraId="06DE3FFA" w14:textId="77777777" w:rsidTr="00812DEE">
        <w:trPr>
          <w:trHeight w:val="240"/>
          <w:jc w:val="center"/>
        </w:trPr>
        <w:tc>
          <w:tcPr>
            <w:cnfStyle w:val="001000000000" w:firstRow="0" w:lastRow="0" w:firstColumn="1" w:lastColumn="0" w:oddVBand="0" w:evenVBand="0" w:oddHBand="0" w:evenHBand="0" w:firstRowFirstColumn="0" w:firstRowLastColumn="0" w:lastRowFirstColumn="0" w:lastRowLastColumn="0"/>
            <w:tcW w:w="1854" w:type="dxa"/>
            <w:noWrap/>
            <w:hideMark/>
          </w:tcPr>
          <w:p w14:paraId="097967DE" w14:textId="77777777" w:rsidR="00812DEE" w:rsidRPr="00302170" w:rsidRDefault="00812DEE" w:rsidP="00812DEE">
            <w:pPr>
              <w:rPr>
                <w:rFonts w:eastAsia="Times New Roman" w:cs="Arial"/>
                <w:sz w:val="16"/>
                <w:szCs w:val="16"/>
              </w:rPr>
            </w:pPr>
            <w:r w:rsidRPr="00302170">
              <w:rPr>
                <w:rFonts w:eastAsia="Times New Roman" w:cs="Arial"/>
                <w:sz w:val="16"/>
                <w:szCs w:val="16"/>
              </w:rPr>
              <w:t>Wijk bij Duurstede</w:t>
            </w:r>
          </w:p>
        </w:tc>
        <w:tc>
          <w:tcPr>
            <w:tcW w:w="1168" w:type="dxa"/>
            <w:noWrap/>
            <w:hideMark/>
          </w:tcPr>
          <w:p w14:paraId="11925B09"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4919</w:t>
            </w:r>
          </w:p>
        </w:tc>
        <w:tc>
          <w:tcPr>
            <w:tcW w:w="952" w:type="dxa"/>
            <w:noWrap/>
            <w:hideMark/>
          </w:tcPr>
          <w:p w14:paraId="36BB2244"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302170">
              <w:rPr>
                <w:rFonts w:eastAsia="Times New Roman" w:cs="Arial"/>
                <w:sz w:val="16"/>
                <w:szCs w:val="16"/>
              </w:rPr>
              <w:t>9,06</w:t>
            </w:r>
          </w:p>
        </w:tc>
        <w:tc>
          <w:tcPr>
            <w:tcW w:w="1220" w:type="dxa"/>
            <w:noWrap/>
            <w:hideMark/>
          </w:tcPr>
          <w:p w14:paraId="441E54CF"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1931</w:t>
            </w:r>
          </w:p>
        </w:tc>
        <w:tc>
          <w:tcPr>
            <w:tcW w:w="900" w:type="dxa"/>
            <w:noWrap/>
            <w:hideMark/>
          </w:tcPr>
          <w:p w14:paraId="5AA85553"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14,79</w:t>
            </w:r>
          </w:p>
        </w:tc>
      </w:tr>
      <w:tr w:rsidR="00812DEE" w:rsidRPr="00302170" w14:paraId="371EA62B" w14:textId="77777777" w:rsidTr="00812DE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54" w:type="dxa"/>
            <w:noWrap/>
            <w:hideMark/>
          </w:tcPr>
          <w:p w14:paraId="1748FFBD" w14:textId="77777777" w:rsidR="00812DEE" w:rsidRPr="00302170" w:rsidRDefault="00812DEE" w:rsidP="00812DEE">
            <w:pPr>
              <w:rPr>
                <w:rFonts w:eastAsia="Times New Roman" w:cs="Arial"/>
                <w:sz w:val="16"/>
                <w:szCs w:val="16"/>
              </w:rPr>
            </w:pPr>
            <w:r w:rsidRPr="00302170">
              <w:rPr>
                <w:rFonts w:eastAsia="Times New Roman" w:cs="Arial"/>
                <w:sz w:val="16"/>
                <w:szCs w:val="16"/>
              </w:rPr>
              <w:t>totaal</w:t>
            </w:r>
          </w:p>
        </w:tc>
        <w:tc>
          <w:tcPr>
            <w:tcW w:w="1168" w:type="dxa"/>
            <w:noWrap/>
            <w:hideMark/>
          </w:tcPr>
          <w:p w14:paraId="6687A5B0"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54322</w:t>
            </w:r>
          </w:p>
        </w:tc>
        <w:tc>
          <w:tcPr>
            <w:tcW w:w="952" w:type="dxa"/>
            <w:noWrap/>
            <w:hideMark/>
          </w:tcPr>
          <w:p w14:paraId="7CEC3B55"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302170">
              <w:rPr>
                <w:rFonts w:eastAsia="Times New Roman" w:cs="Arial"/>
                <w:sz w:val="16"/>
                <w:szCs w:val="16"/>
              </w:rPr>
              <w:t>100,00</w:t>
            </w:r>
          </w:p>
        </w:tc>
        <w:tc>
          <w:tcPr>
            <w:tcW w:w="1220" w:type="dxa"/>
            <w:noWrap/>
            <w:hideMark/>
          </w:tcPr>
          <w:p w14:paraId="0DAD2963"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13054</w:t>
            </w:r>
          </w:p>
        </w:tc>
        <w:tc>
          <w:tcPr>
            <w:tcW w:w="900" w:type="dxa"/>
            <w:noWrap/>
            <w:hideMark/>
          </w:tcPr>
          <w:p w14:paraId="47197808"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rPr>
            </w:pPr>
            <w:r w:rsidRPr="00302170">
              <w:rPr>
                <w:rFonts w:eastAsia="Times New Roman" w:cs="Arial"/>
                <w:color w:val="000000"/>
                <w:sz w:val="16"/>
                <w:szCs w:val="16"/>
              </w:rPr>
              <w:t>100,00</w:t>
            </w:r>
          </w:p>
        </w:tc>
      </w:tr>
    </w:tbl>
    <w:p w14:paraId="2DD9A29A" w14:textId="77777777" w:rsidR="00812DEE" w:rsidRPr="00302170" w:rsidRDefault="00812DEE" w:rsidP="00812DEE">
      <w:pPr>
        <w:jc w:val="center"/>
        <w:rPr>
          <w:rFonts w:ascii="Calibri" w:eastAsia="Times New Roman" w:hAnsi="Calibri" w:cs="Times New Roman"/>
          <w:color w:val="548DD4" w:themeColor="text2" w:themeTint="99"/>
          <w:sz w:val="20"/>
        </w:rPr>
      </w:pPr>
      <w:r>
        <w:rPr>
          <w:rFonts w:ascii="Calibri" w:eastAsia="Times New Roman" w:hAnsi="Calibri" w:cs="Times New Roman"/>
          <w:b/>
          <w:color w:val="548DD4" w:themeColor="text2" w:themeTint="99"/>
          <w:sz w:val="20"/>
        </w:rPr>
        <w:t>Tabel 5.</w:t>
      </w:r>
      <w:r w:rsidRPr="00302170">
        <w:rPr>
          <w:rFonts w:ascii="Calibri" w:eastAsia="Times New Roman" w:hAnsi="Calibri" w:cs="Times New Roman"/>
          <w:b/>
          <w:color w:val="548DD4" w:themeColor="text2" w:themeTint="99"/>
          <w:sz w:val="20"/>
        </w:rPr>
        <w:t xml:space="preserve">2: </w:t>
      </w:r>
      <w:r w:rsidRPr="00302170">
        <w:rPr>
          <w:rFonts w:ascii="Calibri" w:eastAsia="Times New Roman" w:hAnsi="Calibri" w:cs="Times New Roman"/>
          <w:color w:val="548DD4" w:themeColor="text2" w:themeTint="99"/>
          <w:sz w:val="20"/>
        </w:rPr>
        <w:t>Verdeling van bedrijfsvestigingen en werkgelegenheid in regio Veenendaal.</w:t>
      </w:r>
    </w:p>
    <w:p w14:paraId="113FC5C4" w14:textId="77777777" w:rsidR="00812DEE" w:rsidRPr="00302170" w:rsidRDefault="00812DEE" w:rsidP="00812DEE">
      <w:pPr>
        <w:rPr>
          <w:rFonts w:ascii="Calibri" w:eastAsia="Times New Roman" w:hAnsi="Calibri" w:cs="Times New Roman"/>
        </w:rPr>
      </w:pPr>
    </w:p>
    <w:p w14:paraId="51F1A3A4" w14:textId="39378C8C" w:rsidR="00812DEE" w:rsidRPr="00EA0D56" w:rsidRDefault="00812DEE" w:rsidP="00812DEE">
      <w:pPr>
        <w:rPr>
          <w:rFonts w:ascii="Calibri" w:eastAsia="Times New Roman" w:hAnsi="Calibri" w:cs="Times New Roman"/>
        </w:rPr>
      </w:pPr>
      <w:r w:rsidRPr="00302170">
        <w:rPr>
          <w:rFonts w:ascii="Calibri" w:eastAsia="Times New Roman" w:hAnsi="Calibri" w:cs="Times New Roman"/>
        </w:rPr>
        <w:t xml:space="preserve">Veel sectoren in regio Veenendaal zijn voornamelijk geconcentreerd in </w:t>
      </w:r>
      <w:r>
        <w:rPr>
          <w:rFonts w:ascii="Calibri" w:eastAsia="Times New Roman" w:hAnsi="Calibri" w:cs="Times New Roman"/>
        </w:rPr>
        <w:t xml:space="preserve">de </w:t>
      </w:r>
      <w:r w:rsidRPr="00302170">
        <w:rPr>
          <w:rFonts w:ascii="Calibri" w:eastAsia="Times New Roman" w:hAnsi="Calibri" w:cs="Times New Roman"/>
        </w:rPr>
        <w:t>gemeente Veenendaal. Vooral het LQ van de industrie van gemeente Veenendaal ten opzichte van de regio is met 1,7 zeer hoog. Ook de sectoren onroerend goed, informatie en communicatie, Handel, transport en verhuur en overige dienstverlening zijn sterk geconcentreerd in gemeente Veenendaal. De Utrechtse Heuvelrug is voornamelijk groot in overheidsdiensten, dankzij defensie en landelijk politiediensten, en in recreatie. Ook de zorgsector binnen de regio is enigszins geconcentreerd in de Heuvelrugplaatsen.</w:t>
      </w:r>
    </w:p>
    <w:p w14:paraId="3E1FB50D" w14:textId="11E92B87" w:rsidR="00812DEE" w:rsidRPr="00302170" w:rsidRDefault="00EA0D56" w:rsidP="00EA0D56">
      <w:pPr>
        <w:pStyle w:val="Heading1"/>
      </w:pPr>
      <w:bookmarkStart w:id="63" w:name="_Toc316143587"/>
      <w:bookmarkStart w:id="64" w:name="_Toc337655439"/>
      <w:r>
        <w:t xml:space="preserve">5.4 </w:t>
      </w:r>
      <w:r w:rsidR="00812DEE" w:rsidRPr="00302170">
        <w:t>Groei</w:t>
      </w:r>
      <w:bookmarkEnd w:id="63"/>
      <w:bookmarkEnd w:id="64"/>
    </w:p>
    <w:p w14:paraId="617191D5"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Om de economische groei van Veenendaal in perspectief te plaatsen, moet eerst naar de bevolkingsgroei gekeken worden. Door de bouw van nieuwe woonwijken was de bevolkingsgroei het sterkst tussen 1997 en 2002, in deze periode groeide de bevolking van regio Veenendaal met 3%. In totaal groeide de bevolking 5,9% over vijftien jaar. Dit is minder dan het gemiddelde in Nederland, waar de bevolking met 7,5% groeide in deze periode. Ook in Nederland groeide de bevolking het hardst tussen 1997 en 2002 (</w:t>
      </w:r>
      <w:r>
        <w:rPr>
          <w:rFonts w:ascii="Calibri" w:eastAsia="Times New Roman" w:hAnsi="Calibri" w:cs="Times New Roman"/>
          <w:color w:val="000000"/>
        </w:rPr>
        <w:t xml:space="preserve">een toename van </w:t>
      </w:r>
      <w:r w:rsidRPr="00302170">
        <w:rPr>
          <w:rFonts w:ascii="Calibri" w:eastAsia="Times New Roman" w:hAnsi="Calibri" w:cs="Times New Roman"/>
          <w:color w:val="000000"/>
        </w:rPr>
        <w:t>3,5%). De groei in regio Veenendaal is zeer scheef verdeeld over de regio. De Utrechtse Heuvelrug had te maken met krimp, terwijl gemeente Veenendaal met 10,9% groeide, meer dan het Nederlands gemiddelde. Ede-Wageningen maakte ook veel groei door tussen 1997 en 2012. Hier groeide de bevolking met 8,8%. Deze regio maakte de grootste groeispurt door tussen 2002 en 2007, toen de oplevering van een nieuwbouwwijk in Ede de groei stimuleerde tot 4%. De groei van de bevolking in regio Veenendaal en regio E</w:t>
      </w:r>
      <w:r>
        <w:rPr>
          <w:rFonts w:ascii="Calibri" w:eastAsia="Times New Roman" w:hAnsi="Calibri" w:cs="Times New Roman"/>
          <w:color w:val="000000"/>
        </w:rPr>
        <w:t>de is te zien in afbeelding 5.</w:t>
      </w:r>
      <w:r w:rsidRPr="00302170">
        <w:rPr>
          <w:rFonts w:ascii="Calibri" w:eastAsia="Times New Roman" w:hAnsi="Calibri" w:cs="Times New Roman"/>
          <w:color w:val="000000"/>
        </w:rPr>
        <w:t>2.</w:t>
      </w:r>
    </w:p>
    <w:p w14:paraId="5CF4779C" w14:textId="77777777" w:rsidR="00812DEE" w:rsidRPr="00302170" w:rsidRDefault="00812DEE" w:rsidP="00812DEE">
      <w:pPr>
        <w:ind w:firstLine="720"/>
        <w:rPr>
          <w:rFonts w:ascii="Calibri" w:eastAsia="Times New Roman" w:hAnsi="Calibri" w:cs="Times New Roman"/>
          <w:color w:val="000000"/>
        </w:rPr>
      </w:pPr>
      <w:r w:rsidRPr="00302170">
        <w:rPr>
          <w:rFonts w:ascii="Calibri" w:eastAsia="Times New Roman" w:hAnsi="Calibri" w:cs="Times New Roman"/>
          <w:color w:val="000000"/>
        </w:rPr>
        <w:t>De werkende bevolking in de regio is harder toegenomen dan de totale bevolking. Dit komt voornamelijk omdat steeds meer vrouwen werken</w:t>
      </w:r>
      <w:r>
        <w:rPr>
          <w:rFonts w:ascii="Calibri" w:eastAsia="Times New Roman" w:hAnsi="Calibri" w:cs="Times New Roman"/>
          <w:color w:val="000000"/>
        </w:rPr>
        <w:t xml:space="preserve"> (CBS, 2014)</w:t>
      </w:r>
      <w:r w:rsidRPr="00302170">
        <w:rPr>
          <w:rFonts w:ascii="Calibri" w:eastAsia="Times New Roman" w:hAnsi="Calibri" w:cs="Times New Roman"/>
          <w:color w:val="000000"/>
        </w:rPr>
        <w:t>. Ook is er de demografische trend dat steeds meer mensen parttime werken. Hierdoor zijn meer werknemers nodig om het werk voor één fulltime baan uit te voeren en stijgt het aantal banen. Omdat een fulltime baan in het LISA databestand gedefinieerd is als een baan waar minstens twaalf uur per week aan wordt besteedt, zijn veel banen die nu verdeeld zijn over meerdere mensen aangemerkt als nieuwe fulltime banen.</w:t>
      </w:r>
    </w:p>
    <w:p w14:paraId="299D96B5" w14:textId="77777777" w:rsidR="00812DEE" w:rsidRPr="00302170" w:rsidRDefault="00812DEE" w:rsidP="00812DEE">
      <w:pPr>
        <w:ind w:firstLine="720"/>
        <w:rPr>
          <w:rFonts w:ascii="Calibri" w:eastAsia="Times New Roman" w:hAnsi="Calibri" w:cs="Times New Roman"/>
          <w:color w:val="000000"/>
          <w:sz w:val="20"/>
        </w:rPr>
      </w:pPr>
    </w:p>
    <w:p w14:paraId="1DAB5AF9" w14:textId="77777777" w:rsidR="00812DEE" w:rsidRPr="00302170" w:rsidRDefault="00812DEE" w:rsidP="00812DEE">
      <w:pPr>
        <w:jc w:val="center"/>
        <w:rPr>
          <w:rFonts w:ascii="Calibri" w:eastAsia="Times New Roman" w:hAnsi="Calibri" w:cs="Times New Roman"/>
          <w:color w:val="000000"/>
          <w:sz w:val="20"/>
        </w:rPr>
      </w:pPr>
      <w:r w:rsidRPr="00302170">
        <w:rPr>
          <w:rFonts w:ascii="Calibri" w:eastAsia="Times New Roman" w:hAnsi="Calibri" w:cs="Times New Roman"/>
          <w:noProof/>
          <w:color w:val="000000"/>
          <w:sz w:val="20"/>
          <w:lang w:val="en-US" w:eastAsia="en-US"/>
        </w:rPr>
        <w:drawing>
          <wp:inline distT="0" distB="0" distL="0" distR="0" wp14:anchorId="19431D56" wp14:editId="3EC92BA2">
            <wp:extent cx="4224236" cy="1834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veenendaal.png"/>
                    <pic:cNvPicPr/>
                  </pic:nvPicPr>
                  <pic:blipFill>
                    <a:blip r:embed="rId20">
                      <a:extLst>
                        <a:ext uri="{28A0092B-C50C-407E-A947-70E740481C1C}">
                          <a14:useLocalDpi xmlns:a14="http://schemas.microsoft.com/office/drawing/2010/main" val="0"/>
                        </a:ext>
                      </a:extLst>
                    </a:blip>
                    <a:stretch>
                      <a:fillRect/>
                    </a:stretch>
                  </pic:blipFill>
                  <pic:spPr>
                    <a:xfrm>
                      <a:off x="0" y="0"/>
                      <a:ext cx="4224236" cy="1834235"/>
                    </a:xfrm>
                    <a:prstGeom prst="rect">
                      <a:avLst/>
                    </a:prstGeom>
                  </pic:spPr>
                </pic:pic>
              </a:graphicData>
            </a:graphic>
          </wp:inline>
        </w:drawing>
      </w:r>
    </w:p>
    <w:p w14:paraId="51CDC54B" w14:textId="77777777" w:rsidR="00812DEE" w:rsidRPr="00302170" w:rsidRDefault="00812DEE" w:rsidP="00812DEE">
      <w:pPr>
        <w:jc w:val="center"/>
        <w:rPr>
          <w:rFonts w:ascii="Calibri" w:eastAsia="Times New Roman" w:hAnsi="Calibri" w:cs="Times New Roman"/>
          <w:color w:val="548DD4" w:themeColor="text2" w:themeTint="99"/>
          <w:sz w:val="20"/>
        </w:rPr>
      </w:pPr>
      <w:r>
        <w:rPr>
          <w:rFonts w:ascii="Calibri" w:eastAsia="Times New Roman" w:hAnsi="Calibri" w:cs="Times New Roman"/>
          <w:b/>
          <w:color w:val="548DD4" w:themeColor="text2" w:themeTint="99"/>
          <w:sz w:val="20"/>
        </w:rPr>
        <w:t>Afbeelding 5.</w:t>
      </w:r>
      <w:r w:rsidRPr="00302170">
        <w:rPr>
          <w:rFonts w:ascii="Calibri" w:eastAsia="Times New Roman" w:hAnsi="Calibri" w:cs="Times New Roman"/>
          <w:b/>
          <w:color w:val="548DD4" w:themeColor="text2" w:themeTint="99"/>
          <w:sz w:val="20"/>
        </w:rPr>
        <w:t>2:</w:t>
      </w:r>
      <w:r w:rsidRPr="00302170">
        <w:rPr>
          <w:rFonts w:ascii="Calibri" w:eastAsia="Times New Roman" w:hAnsi="Calibri" w:cs="Times New Roman"/>
          <w:color w:val="548DD4" w:themeColor="text2" w:themeTint="99"/>
          <w:sz w:val="20"/>
        </w:rPr>
        <w:t xml:space="preserve"> De bevolkingsgroei in regio Veenendaal en Ede-Wageningen tussen 1997 en 2012.</w:t>
      </w:r>
    </w:p>
    <w:p w14:paraId="5E16A8FC" w14:textId="77777777" w:rsidR="00812DEE" w:rsidRPr="00302170" w:rsidRDefault="00812DEE" w:rsidP="00812DEE">
      <w:pPr>
        <w:jc w:val="center"/>
        <w:rPr>
          <w:rFonts w:ascii="Calibri" w:eastAsia="Times New Roman" w:hAnsi="Calibri" w:cs="Times New Roman"/>
          <w:color w:val="000000"/>
          <w:sz w:val="20"/>
        </w:rPr>
      </w:pPr>
    </w:p>
    <w:p w14:paraId="265DA41D" w14:textId="77777777" w:rsidR="00812DEE" w:rsidRDefault="00812DEE" w:rsidP="00812DEE">
      <w:pPr>
        <w:ind w:firstLine="720"/>
        <w:rPr>
          <w:rFonts w:ascii="Calibri" w:eastAsia="Times New Roman" w:hAnsi="Calibri" w:cs="Times New Roman"/>
          <w:color w:val="000000"/>
        </w:rPr>
      </w:pPr>
      <w:r w:rsidRPr="00302170">
        <w:rPr>
          <w:rFonts w:ascii="Calibri" w:eastAsia="Times New Roman" w:hAnsi="Calibri" w:cs="Times New Roman"/>
          <w:color w:val="000000"/>
        </w:rPr>
        <w:t xml:space="preserve">De werkgelegenheid in Veenendaal groeide tussen 1997 en 2012 met 23%. Dit </w:t>
      </w:r>
      <w:r>
        <w:rPr>
          <w:rFonts w:ascii="Calibri" w:eastAsia="Times New Roman" w:hAnsi="Calibri" w:cs="Times New Roman"/>
          <w:color w:val="000000"/>
        </w:rPr>
        <w:t xml:space="preserve">is </w:t>
      </w:r>
      <w:r w:rsidRPr="00302170">
        <w:rPr>
          <w:rFonts w:ascii="Calibri" w:eastAsia="Times New Roman" w:hAnsi="Calibri" w:cs="Times New Roman"/>
          <w:color w:val="000000"/>
        </w:rPr>
        <w:t>minder dan de gemiddelde groei in Nederland (26%), of de groei in provincie Utrecht (30%). De meeste groei in regio Veenendaal vond plaats tussen 1997 en 2002 (</w:t>
      </w:r>
      <w:r>
        <w:rPr>
          <w:rFonts w:ascii="Calibri" w:eastAsia="Times New Roman" w:hAnsi="Calibri" w:cs="Times New Roman"/>
          <w:color w:val="000000"/>
        </w:rPr>
        <w:t xml:space="preserve">een toename van </w:t>
      </w:r>
      <w:r w:rsidRPr="00302170">
        <w:rPr>
          <w:rFonts w:ascii="Calibri" w:eastAsia="Times New Roman" w:hAnsi="Calibri" w:cs="Times New Roman"/>
          <w:color w:val="000000"/>
        </w:rPr>
        <w:t xml:space="preserve">18%), de periode waarin ook de meeste bevolkingsgroei tot stand kwam. Provincie Utrecht groeide deze vijf jaar iets harder dan regio Veenendaal, maar de regio groeide een procentpunt harder dan het Nederlands gemiddelde. Deze groei nam sterk af tussen 2002 en 2007, toen er nog sprake was van 4% groei. Tussen 2007 en 2012 was er geen sprake meer van groei, maar kromp de werkgelegenheid met 0,03%. In De rest van Nederland is </w:t>
      </w:r>
      <w:r>
        <w:rPr>
          <w:rFonts w:ascii="Calibri" w:eastAsia="Times New Roman" w:hAnsi="Calibri" w:cs="Times New Roman"/>
          <w:color w:val="000000"/>
        </w:rPr>
        <w:t>een vergelijkbaar</w:t>
      </w:r>
      <w:r w:rsidRPr="00302170">
        <w:rPr>
          <w:rFonts w:ascii="Calibri" w:eastAsia="Times New Roman" w:hAnsi="Calibri" w:cs="Times New Roman"/>
          <w:color w:val="000000"/>
        </w:rPr>
        <w:t xml:space="preserve"> patroon zichtbaar: Van zeer sterke groei tot meer gematigde groei, met nog zeer weinig groei tussen 2007 en 2012. Gemiddeld groeide de werkgelegenheid Nederland echter nog ruim een procent in deze periode, terwijl provincie Utrecht nog een groei van 3% doormaakte en regio Veenendaal kromp.</w:t>
      </w:r>
    </w:p>
    <w:p w14:paraId="716DBAD5" w14:textId="77777777" w:rsidR="00812DEE" w:rsidRPr="00302170" w:rsidRDefault="00812DEE" w:rsidP="00812DEE">
      <w:pPr>
        <w:jc w:val="center"/>
        <w:rPr>
          <w:rFonts w:ascii="Calibri" w:eastAsia="Times New Roman" w:hAnsi="Calibri" w:cs="Times New Roman"/>
          <w:b/>
          <w:color w:val="000000"/>
          <w:sz w:val="20"/>
        </w:rPr>
      </w:pPr>
      <w:r w:rsidRPr="00302170">
        <w:rPr>
          <w:rFonts w:ascii="Calibri" w:eastAsia="Times New Roman" w:hAnsi="Calibri" w:cs="Times New Roman"/>
          <w:b/>
          <w:noProof/>
          <w:color w:val="000000"/>
          <w:sz w:val="20"/>
          <w:lang w:val="en-US" w:eastAsia="en-US"/>
        </w:rPr>
        <w:drawing>
          <wp:inline distT="0" distB="0" distL="0" distR="0" wp14:anchorId="469BB2F4" wp14:editId="5E2D10F5">
            <wp:extent cx="5270500" cy="198559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1985599"/>
                    </a:xfrm>
                    <a:prstGeom prst="rect">
                      <a:avLst/>
                    </a:prstGeom>
                    <a:noFill/>
                    <a:ln>
                      <a:noFill/>
                    </a:ln>
                  </pic:spPr>
                </pic:pic>
              </a:graphicData>
            </a:graphic>
          </wp:inline>
        </w:drawing>
      </w:r>
    </w:p>
    <w:p w14:paraId="19A57677" w14:textId="77777777" w:rsidR="00812DEE" w:rsidRPr="00302170" w:rsidRDefault="00812DEE" w:rsidP="00812DEE">
      <w:pPr>
        <w:jc w:val="center"/>
        <w:rPr>
          <w:rFonts w:ascii="Calibri" w:eastAsia="Times New Roman" w:hAnsi="Calibri" w:cs="Times New Roman"/>
          <w:color w:val="548DD4" w:themeColor="text2" w:themeTint="99"/>
          <w:sz w:val="20"/>
        </w:rPr>
      </w:pPr>
      <w:r>
        <w:rPr>
          <w:rFonts w:ascii="Calibri" w:eastAsia="Times New Roman" w:hAnsi="Calibri" w:cs="Times New Roman"/>
          <w:b/>
          <w:color w:val="548DD4" w:themeColor="text2" w:themeTint="99"/>
          <w:sz w:val="20"/>
        </w:rPr>
        <w:t>Afbeelding 5.3</w:t>
      </w:r>
      <w:r w:rsidRPr="00302170">
        <w:rPr>
          <w:rFonts w:ascii="Calibri" w:eastAsia="Times New Roman" w:hAnsi="Calibri" w:cs="Times New Roman"/>
          <w:color w:val="548DD4" w:themeColor="text2" w:themeTint="99"/>
          <w:sz w:val="20"/>
        </w:rPr>
        <w:t>: Ontwikkeling werkgelegenheid tussen 1997 en 2012 in regio Veenendaal en Ede-Wageningen.</w:t>
      </w:r>
    </w:p>
    <w:p w14:paraId="7BBE7B15" w14:textId="77777777" w:rsidR="00812DEE" w:rsidRPr="00302170" w:rsidRDefault="00812DEE" w:rsidP="00812DEE">
      <w:pPr>
        <w:rPr>
          <w:rFonts w:ascii="Calibri" w:eastAsia="Times New Roman" w:hAnsi="Calibri" w:cs="Times New Roman"/>
          <w:color w:val="000000"/>
        </w:rPr>
      </w:pPr>
    </w:p>
    <w:p w14:paraId="5584DC40"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Als regio Veenendaal vergeleken wordt met Ede en Wageningen</w:t>
      </w:r>
      <w:r>
        <w:rPr>
          <w:rFonts w:ascii="Calibri" w:eastAsia="Times New Roman" w:hAnsi="Calibri" w:cs="Times New Roman"/>
          <w:color w:val="000000"/>
        </w:rPr>
        <w:t>, zoals te zien is in afbeelding 5.3</w:t>
      </w:r>
      <w:r w:rsidRPr="00302170">
        <w:rPr>
          <w:rFonts w:ascii="Calibri" w:eastAsia="Times New Roman" w:hAnsi="Calibri" w:cs="Times New Roman"/>
          <w:color w:val="000000"/>
        </w:rPr>
        <w:t>, dan valt op dat Veenendaal tussen 1997 en 2002 nog harder groeide dan de buurregio, maar dat Ede-Wageningen de groei beter vast wist te houden in de jaren daarna. Tussen 2002 en 2007 groeide Ede-Wageningen nog 6%, en daar kwam in de vijf jaar daarna nog eens 6% overheen. Doordat Ede-Wageningen</w:t>
      </w:r>
      <w:r>
        <w:rPr>
          <w:rFonts w:ascii="Calibri" w:eastAsia="Times New Roman" w:hAnsi="Calibri" w:cs="Times New Roman"/>
          <w:color w:val="000000"/>
        </w:rPr>
        <w:t xml:space="preserve"> (mede dankzij een nieuwer industrieterrein en de aantrekkingskracht van de universiteit)</w:t>
      </w:r>
      <w:r w:rsidRPr="00302170">
        <w:rPr>
          <w:rFonts w:ascii="Calibri" w:eastAsia="Times New Roman" w:hAnsi="Calibri" w:cs="Times New Roman"/>
          <w:color w:val="000000"/>
        </w:rPr>
        <w:t xml:space="preserve"> langer wist door te groeien, is de totale groei over vijftien jaar hier hoger dan in regio Veenendaal. Waar regio Veenendaal 23% groeide, was dit 28% in Ede-Wageningen. </w:t>
      </w:r>
    </w:p>
    <w:p w14:paraId="256C9C08" w14:textId="5B957AB8" w:rsidR="00812DEE" w:rsidRPr="00EA0D56"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Terwijl het aantal arbeidsplaatsen met 28% groeide in regio Veenendaal, groeide het aantal bedrijfsvestigingen met 213%. Deze ontwikkeling is ook te zien in Ede-Wageningen, met 203% groei in bedrijfsvestigingen, en in provincie Utrecht, waar een groei van maar liefst 228% plaatsvond. Ook gemiddeld zijn er in Nederland explosief veel meer bedrijfsvestigingen geregistreerd, maar met 184% nationale groei stijgen provincie Utrecht (inclusief regio Veenendaal) en Ede-Wageningen daar ver boven uit. Dit is voornamelijk te verklaren door het aantal ZZP’ers dat erbij gekomen is.</w:t>
      </w:r>
    </w:p>
    <w:p w14:paraId="52AAA39D" w14:textId="23179AAC" w:rsidR="00812DEE" w:rsidRDefault="00EA0D56" w:rsidP="00EA0D56">
      <w:pPr>
        <w:pStyle w:val="Heading1"/>
      </w:pPr>
      <w:bookmarkStart w:id="65" w:name="_Toc316143588"/>
      <w:bookmarkStart w:id="66" w:name="_Toc337655440"/>
      <w:r>
        <w:t xml:space="preserve">5.5 </w:t>
      </w:r>
      <w:r w:rsidR="00812DEE" w:rsidRPr="00302170">
        <w:t>Sectorale verdeling werkgelegenheid</w:t>
      </w:r>
      <w:bookmarkEnd w:id="65"/>
      <w:bookmarkEnd w:id="66"/>
    </w:p>
    <w:p w14:paraId="7753AD87" w14:textId="77777777" w:rsidR="00812DEE" w:rsidRPr="00C1495E" w:rsidRDefault="00812DEE" w:rsidP="00812DEE">
      <w:pPr>
        <w:outlineLvl w:val="0"/>
        <w:rPr>
          <w:rFonts w:ascii="Calibri" w:eastAsia="Times New Roman" w:hAnsi="Calibri" w:cs="Times New Roman"/>
          <w:color w:val="000000"/>
        </w:rPr>
      </w:pPr>
      <w:r>
        <w:rPr>
          <w:rFonts w:ascii="Calibri" w:eastAsia="Times New Roman" w:hAnsi="Calibri" w:cs="Times New Roman"/>
          <w:color w:val="000000"/>
        </w:rPr>
        <w:t>Om aan te geven hoe groot het aandeel van iedere sector is in regio Veenendaal ten opzichte van provincie Utrecht en Nederland zijn wederom Locatie Quotiënten gebruikt. Deze zijn weergegeven in afbeelding 5.4.</w:t>
      </w:r>
    </w:p>
    <w:p w14:paraId="6034F8AC" w14:textId="77777777" w:rsidR="00812DEE" w:rsidRPr="00302170" w:rsidRDefault="00812DEE" w:rsidP="00812DEE">
      <w:pPr>
        <w:outlineLvl w:val="0"/>
        <w:rPr>
          <w:rFonts w:ascii="Calibri" w:eastAsia="Times New Roman" w:hAnsi="Calibri" w:cs="Times New Roman"/>
          <w:b/>
        </w:rPr>
      </w:pPr>
      <w:r w:rsidRPr="00302170">
        <w:rPr>
          <w:rFonts w:ascii="Calibri" w:eastAsia="Times New Roman" w:hAnsi="Calibri" w:cs="Times New Roman"/>
          <w:b/>
          <w:noProof/>
          <w:color w:val="000000"/>
          <w:sz w:val="20"/>
          <w:lang w:val="en-US" w:eastAsia="en-US"/>
        </w:rPr>
        <w:drawing>
          <wp:inline distT="0" distB="0" distL="0" distR="0" wp14:anchorId="01F06A70" wp14:editId="7F2FFF95">
            <wp:extent cx="5270500" cy="343154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veendaal lq.jpg"/>
                    <pic:cNvPicPr/>
                  </pic:nvPicPr>
                  <pic:blipFill>
                    <a:blip r:embed="rId22">
                      <a:extLst>
                        <a:ext uri="{28A0092B-C50C-407E-A947-70E740481C1C}">
                          <a14:useLocalDpi xmlns:a14="http://schemas.microsoft.com/office/drawing/2010/main" val="0"/>
                        </a:ext>
                      </a:extLst>
                    </a:blip>
                    <a:stretch>
                      <a:fillRect/>
                    </a:stretch>
                  </pic:blipFill>
                  <pic:spPr>
                    <a:xfrm>
                      <a:off x="0" y="0"/>
                      <a:ext cx="5270500" cy="3431540"/>
                    </a:xfrm>
                    <a:prstGeom prst="rect">
                      <a:avLst/>
                    </a:prstGeom>
                  </pic:spPr>
                </pic:pic>
              </a:graphicData>
            </a:graphic>
          </wp:inline>
        </w:drawing>
      </w:r>
    </w:p>
    <w:p w14:paraId="6B34B639" w14:textId="77777777" w:rsidR="00812DEE" w:rsidRDefault="00812DEE" w:rsidP="00812DEE">
      <w:pPr>
        <w:jc w:val="center"/>
        <w:outlineLvl w:val="0"/>
        <w:rPr>
          <w:color w:val="548DD4" w:themeColor="text2" w:themeTint="99"/>
          <w:sz w:val="20"/>
          <w:szCs w:val="20"/>
        </w:rPr>
      </w:pPr>
      <w:r w:rsidRPr="00DD5395">
        <w:rPr>
          <w:b/>
          <w:color w:val="548DD4" w:themeColor="text2" w:themeTint="99"/>
          <w:sz w:val="20"/>
          <w:szCs w:val="20"/>
        </w:rPr>
        <w:t xml:space="preserve">Afbeelding </w:t>
      </w:r>
      <w:r>
        <w:rPr>
          <w:b/>
          <w:color w:val="548DD4" w:themeColor="text2" w:themeTint="99"/>
          <w:sz w:val="20"/>
          <w:szCs w:val="20"/>
        </w:rPr>
        <w:t>5.</w:t>
      </w:r>
      <w:r w:rsidRPr="00DD5395">
        <w:rPr>
          <w:b/>
          <w:color w:val="548DD4" w:themeColor="text2" w:themeTint="99"/>
          <w:sz w:val="20"/>
          <w:szCs w:val="20"/>
        </w:rPr>
        <w:t>4</w:t>
      </w:r>
      <w:r w:rsidRPr="00DD5395">
        <w:rPr>
          <w:color w:val="548DD4" w:themeColor="text2" w:themeTint="99"/>
          <w:sz w:val="20"/>
          <w:szCs w:val="20"/>
        </w:rPr>
        <w:t xml:space="preserve">: Afwijking werkgelegenheid (LQ) per sector in regio Veenendaal ten opzichte van provincie Utrecht en Nederland in 2012. De nullijn representeert het aandeel dat de industrie in de provincie of Nederland heeft, de staven geven aan hoe sterk regio </w:t>
      </w:r>
      <w:r>
        <w:rPr>
          <w:color w:val="548DD4" w:themeColor="text2" w:themeTint="99"/>
          <w:sz w:val="20"/>
          <w:szCs w:val="20"/>
        </w:rPr>
        <w:t>Veenenda</w:t>
      </w:r>
      <w:r w:rsidRPr="00DD5395">
        <w:rPr>
          <w:color w:val="548DD4" w:themeColor="text2" w:themeTint="99"/>
          <w:sz w:val="20"/>
          <w:szCs w:val="20"/>
        </w:rPr>
        <w:t>al hier vanaf wijkt.</w:t>
      </w:r>
    </w:p>
    <w:p w14:paraId="603F9D72" w14:textId="77777777" w:rsidR="00812DEE" w:rsidRDefault="00812DEE" w:rsidP="00812DEE">
      <w:pPr>
        <w:outlineLvl w:val="0"/>
        <w:rPr>
          <w:color w:val="548DD4" w:themeColor="text2" w:themeTint="99"/>
          <w:sz w:val="20"/>
          <w:szCs w:val="20"/>
        </w:rPr>
      </w:pPr>
    </w:p>
    <w:p w14:paraId="0387F842" w14:textId="24DCBBE0" w:rsidR="00812DEE" w:rsidRDefault="00812DEE" w:rsidP="00812DEE">
      <w:pPr>
        <w:outlineLvl w:val="0"/>
        <w:rPr>
          <w:szCs w:val="20"/>
        </w:rPr>
      </w:pPr>
      <w:r>
        <w:rPr>
          <w:szCs w:val="20"/>
        </w:rPr>
        <w:t xml:space="preserve">Landbopuw speelt niet een heel grote rol in de economie van Veenendaal, maar veel groter dan het provinciale gemiddelde. Hetzelfde geldt voor afvalverwerking. Overheid, onroerend goed en handel zijn andere uitschieters in de regio. Financiële dienstverlening, industrie en transport blijven achter bij de </w:t>
      </w:r>
      <w:r w:rsidR="009928C1">
        <w:rPr>
          <w:szCs w:val="20"/>
        </w:rPr>
        <w:t>rest van het land. In paragraaf 5.5</w:t>
      </w:r>
      <w:r>
        <w:rPr>
          <w:szCs w:val="20"/>
        </w:rPr>
        <w:t xml:space="preserve"> worden de sectoren in Veenendaal los besproken.</w:t>
      </w:r>
    </w:p>
    <w:p w14:paraId="124BA74A" w14:textId="77777777" w:rsidR="00812DEE" w:rsidRDefault="00812DEE" w:rsidP="00812DEE">
      <w:pPr>
        <w:outlineLvl w:val="0"/>
        <w:rPr>
          <w:szCs w:val="20"/>
        </w:rPr>
      </w:pPr>
      <w:r>
        <w:rPr>
          <w:szCs w:val="20"/>
        </w:rPr>
        <w:t>Door middel van Krugman’s (1999) methode wordt ook voor regio Veenendaal duidelijk in hoeverre de sectoren overlappen met die van de vergelijkingsregio’s, de provincie en Nederland als geheel.</w:t>
      </w:r>
    </w:p>
    <w:p w14:paraId="7B5D74E8" w14:textId="77777777" w:rsidR="00812DEE" w:rsidRDefault="00812DEE" w:rsidP="00812DEE">
      <w:pPr>
        <w:outlineLvl w:val="0"/>
        <w:rPr>
          <w:szCs w:val="20"/>
        </w:rPr>
      </w:pPr>
    </w:p>
    <w:tbl>
      <w:tblPr>
        <w:tblStyle w:val="ColorfulGrid-Accent1"/>
        <w:tblW w:w="8727" w:type="dxa"/>
        <w:tblLook w:val="04A0" w:firstRow="1" w:lastRow="0" w:firstColumn="1" w:lastColumn="0" w:noHBand="0" w:noVBand="1"/>
      </w:tblPr>
      <w:tblGrid>
        <w:gridCol w:w="2838"/>
        <w:gridCol w:w="1963"/>
        <w:gridCol w:w="1963"/>
        <w:gridCol w:w="1963"/>
      </w:tblGrid>
      <w:tr w:rsidR="00812DEE" w:rsidRPr="0015631F" w14:paraId="2339597B" w14:textId="77777777" w:rsidTr="00812DEE">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838" w:type="dxa"/>
            <w:shd w:val="clear" w:color="auto" w:fill="4F81BD" w:themeFill="accent1"/>
            <w:noWrap/>
            <w:hideMark/>
          </w:tcPr>
          <w:p w14:paraId="4B5ADCDF" w14:textId="77777777" w:rsidR="00812DEE" w:rsidRPr="00C1495E" w:rsidRDefault="00812DEE" w:rsidP="00812DEE">
            <w:pPr>
              <w:rPr>
                <w:rFonts w:ascii="Calibri" w:eastAsia="Times New Roman" w:hAnsi="Calibri" w:cs="Times New Roman"/>
                <w:color w:val="000000"/>
                <w:sz w:val="18"/>
              </w:rPr>
            </w:pPr>
          </w:p>
        </w:tc>
        <w:tc>
          <w:tcPr>
            <w:tcW w:w="1963" w:type="dxa"/>
            <w:shd w:val="clear" w:color="auto" w:fill="4F81BD" w:themeFill="accent1"/>
            <w:noWrap/>
            <w:hideMark/>
          </w:tcPr>
          <w:p w14:paraId="77D822C3" w14:textId="77777777" w:rsidR="00812DEE" w:rsidRPr="00C1495E" w:rsidRDefault="00812DEE" w:rsidP="00812D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8"/>
              </w:rPr>
            </w:pPr>
            <w:r w:rsidRPr="00C1495E">
              <w:rPr>
                <w:rFonts w:ascii="Calibri" w:eastAsia="Times New Roman" w:hAnsi="Calibri" w:cs="Times New Roman"/>
                <w:color w:val="FFFFFF" w:themeColor="background1"/>
                <w:sz w:val="18"/>
              </w:rPr>
              <w:t>Ede-Wageningen</w:t>
            </w:r>
          </w:p>
        </w:tc>
        <w:tc>
          <w:tcPr>
            <w:tcW w:w="1963" w:type="dxa"/>
            <w:shd w:val="clear" w:color="auto" w:fill="4F81BD" w:themeFill="accent1"/>
            <w:noWrap/>
            <w:hideMark/>
          </w:tcPr>
          <w:p w14:paraId="39BA852E" w14:textId="77777777" w:rsidR="00812DEE" w:rsidRPr="00C1495E" w:rsidRDefault="00812DEE" w:rsidP="00812D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8"/>
              </w:rPr>
            </w:pPr>
            <w:r w:rsidRPr="00C1495E">
              <w:rPr>
                <w:rFonts w:ascii="Calibri" w:eastAsia="Times New Roman" w:hAnsi="Calibri" w:cs="Times New Roman"/>
                <w:color w:val="FFFFFF" w:themeColor="background1"/>
                <w:sz w:val="18"/>
              </w:rPr>
              <w:t>Provincie Utrecht</w:t>
            </w:r>
          </w:p>
        </w:tc>
        <w:tc>
          <w:tcPr>
            <w:tcW w:w="1963" w:type="dxa"/>
            <w:shd w:val="clear" w:color="auto" w:fill="4F81BD" w:themeFill="accent1"/>
            <w:noWrap/>
            <w:hideMark/>
          </w:tcPr>
          <w:p w14:paraId="439416BE" w14:textId="77777777" w:rsidR="00812DEE" w:rsidRPr="00C1495E" w:rsidRDefault="00812DEE" w:rsidP="00812DE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8"/>
              </w:rPr>
            </w:pPr>
            <w:r w:rsidRPr="00C1495E">
              <w:rPr>
                <w:rFonts w:ascii="Calibri" w:eastAsia="Times New Roman" w:hAnsi="Calibri" w:cs="Times New Roman"/>
                <w:color w:val="FFFFFF" w:themeColor="background1"/>
                <w:sz w:val="18"/>
              </w:rPr>
              <w:t>Nederland</w:t>
            </w:r>
          </w:p>
        </w:tc>
      </w:tr>
      <w:tr w:rsidR="00812DEE" w:rsidRPr="0015631F" w14:paraId="29F70BB7" w14:textId="77777777" w:rsidTr="00812DE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838" w:type="dxa"/>
            <w:noWrap/>
            <w:hideMark/>
          </w:tcPr>
          <w:p w14:paraId="6A2A9115" w14:textId="77777777" w:rsidR="00812DEE" w:rsidRPr="00C1495E" w:rsidRDefault="00812DEE" w:rsidP="00812DEE">
            <w:pPr>
              <w:rPr>
                <w:rFonts w:ascii="Calibri" w:eastAsia="Times New Roman" w:hAnsi="Calibri" w:cs="Times New Roman"/>
                <w:sz w:val="18"/>
              </w:rPr>
            </w:pPr>
            <w:r w:rsidRPr="00C1495E">
              <w:rPr>
                <w:rFonts w:ascii="Calibri" w:eastAsia="Times New Roman" w:hAnsi="Calibri" w:cs="Times New Roman"/>
                <w:sz w:val="18"/>
              </w:rPr>
              <w:t>Werkgelegenheid</w:t>
            </w:r>
          </w:p>
        </w:tc>
        <w:tc>
          <w:tcPr>
            <w:tcW w:w="1963" w:type="dxa"/>
            <w:noWrap/>
            <w:hideMark/>
          </w:tcPr>
          <w:p w14:paraId="7E0CC4D1" w14:textId="77777777" w:rsidR="00812DEE" w:rsidRPr="00C1495E"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C1495E">
              <w:rPr>
                <w:rFonts w:ascii="Calibri" w:eastAsia="Times New Roman" w:hAnsi="Calibri" w:cs="Times New Roman"/>
                <w:color w:val="000000"/>
                <w:sz w:val="18"/>
              </w:rPr>
              <w:t>0,71</w:t>
            </w:r>
          </w:p>
        </w:tc>
        <w:tc>
          <w:tcPr>
            <w:tcW w:w="1963" w:type="dxa"/>
            <w:noWrap/>
            <w:hideMark/>
          </w:tcPr>
          <w:p w14:paraId="4AE77F3C" w14:textId="77777777" w:rsidR="00812DEE" w:rsidRPr="00C1495E"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C1495E">
              <w:rPr>
                <w:rFonts w:ascii="Calibri" w:eastAsia="Times New Roman" w:hAnsi="Calibri" w:cs="Times New Roman"/>
                <w:color w:val="000000"/>
                <w:sz w:val="18"/>
              </w:rPr>
              <w:t>0,57</w:t>
            </w:r>
          </w:p>
        </w:tc>
        <w:tc>
          <w:tcPr>
            <w:tcW w:w="1963" w:type="dxa"/>
            <w:noWrap/>
            <w:hideMark/>
          </w:tcPr>
          <w:p w14:paraId="2E08FDA2" w14:textId="77777777" w:rsidR="00812DEE" w:rsidRPr="00C1495E" w:rsidRDefault="00812DEE" w:rsidP="00812DE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rPr>
            </w:pPr>
            <w:r w:rsidRPr="00C1495E">
              <w:rPr>
                <w:rFonts w:ascii="Calibri" w:eastAsia="Times New Roman" w:hAnsi="Calibri" w:cs="Times New Roman"/>
                <w:color w:val="000000"/>
                <w:sz w:val="18"/>
              </w:rPr>
              <w:t>0,59</w:t>
            </w:r>
          </w:p>
        </w:tc>
      </w:tr>
      <w:tr w:rsidR="00812DEE" w:rsidRPr="0015631F" w14:paraId="4C47D836" w14:textId="77777777" w:rsidTr="00812DEE">
        <w:trPr>
          <w:trHeight w:val="344"/>
        </w:trPr>
        <w:tc>
          <w:tcPr>
            <w:cnfStyle w:val="001000000000" w:firstRow="0" w:lastRow="0" w:firstColumn="1" w:lastColumn="0" w:oddVBand="0" w:evenVBand="0" w:oddHBand="0" w:evenHBand="0" w:firstRowFirstColumn="0" w:firstRowLastColumn="0" w:lastRowFirstColumn="0" w:lastRowLastColumn="0"/>
            <w:tcW w:w="2838" w:type="dxa"/>
            <w:noWrap/>
            <w:hideMark/>
          </w:tcPr>
          <w:p w14:paraId="0589397C" w14:textId="77777777" w:rsidR="00812DEE" w:rsidRPr="00C1495E" w:rsidRDefault="00812DEE" w:rsidP="00812DEE">
            <w:pPr>
              <w:rPr>
                <w:rFonts w:ascii="Calibri" w:eastAsia="Times New Roman" w:hAnsi="Calibri" w:cs="Times New Roman"/>
                <w:sz w:val="18"/>
              </w:rPr>
            </w:pPr>
            <w:r w:rsidRPr="00C1495E">
              <w:rPr>
                <w:rFonts w:ascii="Calibri" w:eastAsia="Times New Roman" w:hAnsi="Calibri" w:cs="Times New Roman"/>
                <w:sz w:val="18"/>
              </w:rPr>
              <w:t>Bedrijfsvestigingen</w:t>
            </w:r>
          </w:p>
        </w:tc>
        <w:tc>
          <w:tcPr>
            <w:tcW w:w="1963" w:type="dxa"/>
            <w:noWrap/>
            <w:hideMark/>
          </w:tcPr>
          <w:p w14:paraId="7C6F00E4" w14:textId="77777777" w:rsidR="00812DEE" w:rsidRPr="00C1495E"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C1495E">
              <w:rPr>
                <w:rFonts w:ascii="Calibri" w:eastAsia="Times New Roman" w:hAnsi="Calibri" w:cs="Times New Roman"/>
                <w:color w:val="000000"/>
                <w:sz w:val="18"/>
              </w:rPr>
              <w:t>0,28</w:t>
            </w:r>
          </w:p>
        </w:tc>
        <w:tc>
          <w:tcPr>
            <w:tcW w:w="1963" w:type="dxa"/>
            <w:noWrap/>
            <w:hideMark/>
          </w:tcPr>
          <w:p w14:paraId="49822988" w14:textId="77777777" w:rsidR="00812DEE" w:rsidRPr="00C1495E"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C1495E">
              <w:rPr>
                <w:rFonts w:ascii="Calibri" w:eastAsia="Times New Roman" w:hAnsi="Calibri" w:cs="Times New Roman"/>
                <w:color w:val="000000"/>
                <w:sz w:val="18"/>
              </w:rPr>
              <w:t>0,23</w:t>
            </w:r>
          </w:p>
        </w:tc>
        <w:tc>
          <w:tcPr>
            <w:tcW w:w="1963" w:type="dxa"/>
            <w:noWrap/>
            <w:hideMark/>
          </w:tcPr>
          <w:p w14:paraId="2180263E" w14:textId="77777777" w:rsidR="00812DEE" w:rsidRPr="00C1495E" w:rsidRDefault="00812DEE" w:rsidP="00812DE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rPr>
            </w:pPr>
            <w:r w:rsidRPr="00C1495E">
              <w:rPr>
                <w:rFonts w:ascii="Calibri" w:eastAsia="Times New Roman" w:hAnsi="Calibri" w:cs="Times New Roman"/>
                <w:color w:val="000000"/>
                <w:sz w:val="18"/>
              </w:rPr>
              <w:t>0,26</w:t>
            </w:r>
          </w:p>
        </w:tc>
      </w:tr>
    </w:tbl>
    <w:p w14:paraId="7B3E7897" w14:textId="77777777" w:rsidR="00812DEE" w:rsidRPr="00351031" w:rsidRDefault="00812DEE" w:rsidP="00812DEE">
      <w:pPr>
        <w:rPr>
          <w:color w:val="4F81BD" w:themeColor="accent1"/>
          <w:sz w:val="20"/>
        </w:rPr>
      </w:pPr>
      <w:r>
        <w:rPr>
          <w:b/>
          <w:color w:val="4F81BD" w:themeColor="accent1"/>
          <w:sz w:val="20"/>
        </w:rPr>
        <w:t>Tabel 5</w:t>
      </w:r>
      <w:r w:rsidRPr="00351031">
        <w:rPr>
          <w:b/>
          <w:color w:val="4F81BD" w:themeColor="accent1"/>
          <w:sz w:val="20"/>
        </w:rPr>
        <w:t>.4:</w:t>
      </w:r>
      <w:r w:rsidRPr="00351031">
        <w:rPr>
          <w:color w:val="4F81BD" w:themeColor="accent1"/>
          <w:sz w:val="20"/>
        </w:rPr>
        <w:t xml:space="preserve"> De divergentiescores van regio Veenendaal ten opzichte van de vergelijkingsregio’s, provincie Utrecht en Nederland aan de hand van werkgelegenheid en bedrijfsvestigingen. Hoe hoger het cijfer, hoe meer verschil er is met regio Veenendaal.</w:t>
      </w:r>
    </w:p>
    <w:p w14:paraId="26A5250E" w14:textId="77777777" w:rsidR="00812DEE" w:rsidRDefault="00812DEE" w:rsidP="00812DEE">
      <w:pPr>
        <w:rPr>
          <w:sz w:val="20"/>
        </w:rPr>
      </w:pPr>
    </w:p>
    <w:p w14:paraId="288B48A7" w14:textId="77777777" w:rsidR="00812DEE" w:rsidRDefault="00812DEE" w:rsidP="00812DEE">
      <w:r>
        <w:t>Zoals tabel 5.4 laat zien komt de opbouw van de werkgelegenheid per sector van regio Veenendaal sterker overeen met die van Provincie Utrecht en Nederland dan die van regio Woerden. De verdeling over sectoren komt iets sterker overeen met het Nederlands gemiddelde dan met dat van Utrecht. Hier speelt het effect van schaal mee. De provincie Utrecht en Nederland geven een gemiddelde van vele regio’s weer, en lijken hierdoor sterker op regio Veenendaal dan een losse regio met eigen afwijkingen.</w:t>
      </w:r>
    </w:p>
    <w:p w14:paraId="026EFBD9" w14:textId="77777777" w:rsidR="00812DEE" w:rsidRDefault="00812DEE" w:rsidP="00812DEE">
      <w:pPr>
        <w:ind w:firstLine="720"/>
      </w:pPr>
      <w:r>
        <w:t xml:space="preserve">Qua hoeveelheden bedrijven per sector lijkt regio Veenendaal nog redelijk veel op de drie gebieden waar het mee vergeleken wordt, maar de werkgelegenheid toont sterkere afwijkingen. Daar lopen de verschillen op, met name als wordt vergeleken met regio Ede-Wageningen. Regio Veenendaal wijkt ongeveer even sterk af van Ede-Wageningen als dat regio Woerden afwijkt van de regio’s Gouda en Alphen a/d Rijn, maar zit dichter bij het provinciaal en Nederlands gemiddelde. </w:t>
      </w:r>
    </w:p>
    <w:p w14:paraId="76C06AC0" w14:textId="77777777" w:rsidR="00812DEE" w:rsidRPr="00C10AB0" w:rsidRDefault="00812DEE" w:rsidP="00812DEE">
      <w:r>
        <w:tab/>
        <w:t>In tabel 5.5 zijn de tien sectoren te zien die op SBI-4 niveau het kleinst zijn in vergelijking met Nederland en provincie Utrecht. Dit geeft een meer gedetailleerd beeld van de kenmerken die de Veenendaalse economie heeft.</w:t>
      </w:r>
    </w:p>
    <w:p w14:paraId="4ECC4D6D" w14:textId="77777777" w:rsidR="00812DEE" w:rsidRPr="000C6E38" w:rsidRDefault="00812DEE" w:rsidP="00812DEE"/>
    <w:tbl>
      <w:tblPr>
        <w:tblStyle w:val="LightShading-Accent1"/>
        <w:tblW w:w="0" w:type="auto"/>
        <w:tblLook w:val="04A0" w:firstRow="1" w:lastRow="0" w:firstColumn="1" w:lastColumn="0" w:noHBand="0" w:noVBand="1"/>
      </w:tblPr>
      <w:tblGrid>
        <w:gridCol w:w="419"/>
        <w:gridCol w:w="4430"/>
        <w:gridCol w:w="3667"/>
      </w:tblGrid>
      <w:tr w:rsidR="00812DEE" w:rsidRPr="00B40D6E" w14:paraId="5A3C215D" w14:textId="77777777" w:rsidTr="00812DE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14:paraId="0EC31AF4" w14:textId="77777777" w:rsidR="00812DEE" w:rsidRPr="00B40D6E" w:rsidRDefault="00812DEE" w:rsidP="00812DEE">
            <w:pPr>
              <w:rPr>
                <w:rFonts w:eastAsia="Times New Roman" w:cs="Arial"/>
                <w:color w:val="FFFFFF" w:themeColor="background1"/>
                <w:sz w:val="20"/>
                <w:szCs w:val="20"/>
                <w:lang w:eastAsia="en-US"/>
              </w:rPr>
            </w:pPr>
            <w:r>
              <w:rPr>
                <w:rFonts w:eastAsia="Times New Roman" w:cs="Arial"/>
                <w:color w:val="FFFFFF" w:themeColor="background1"/>
                <w:sz w:val="20"/>
                <w:szCs w:val="20"/>
                <w:lang w:eastAsia="en-US"/>
              </w:rPr>
              <w:t>#</w:t>
            </w:r>
          </w:p>
        </w:tc>
        <w:tc>
          <w:tcPr>
            <w:tcW w:w="0" w:type="auto"/>
            <w:shd w:val="clear" w:color="auto" w:fill="4F81BD" w:themeFill="accent1"/>
            <w:hideMark/>
          </w:tcPr>
          <w:p w14:paraId="6DEDB9A3" w14:textId="77777777" w:rsidR="00812DEE" w:rsidRPr="00B40D6E"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n-US"/>
              </w:rPr>
            </w:pPr>
            <w:r w:rsidRPr="00B40D6E">
              <w:rPr>
                <w:rFonts w:eastAsia="Times New Roman" w:cs="Arial"/>
                <w:color w:val="FFFFFF" w:themeColor="background1"/>
                <w:sz w:val="20"/>
                <w:szCs w:val="20"/>
                <w:lang w:eastAsia="en-US"/>
              </w:rPr>
              <w:t>Provincie Utrecht</w:t>
            </w:r>
          </w:p>
        </w:tc>
        <w:tc>
          <w:tcPr>
            <w:tcW w:w="0" w:type="auto"/>
            <w:shd w:val="clear" w:color="auto" w:fill="4F81BD" w:themeFill="accent1"/>
            <w:hideMark/>
          </w:tcPr>
          <w:p w14:paraId="53F7887E" w14:textId="77777777" w:rsidR="00812DEE" w:rsidRPr="00B40D6E"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n-US"/>
              </w:rPr>
            </w:pPr>
            <w:r w:rsidRPr="00B40D6E">
              <w:rPr>
                <w:rFonts w:eastAsia="Times New Roman" w:cs="Arial"/>
                <w:color w:val="FFFFFF" w:themeColor="background1"/>
                <w:sz w:val="20"/>
                <w:szCs w:val="20"/>
                <w:lang w:eastAsia="en-US"/>
              </w:rPr>
              <w:t>Nederland</w:t>
            </w:r>
          </w:p>
        </w:tc>
      </w:tr>
      <w:tr w:rsidR="00812DEE" w:rsidRPr="00B40D6E" w14:paraId="31084FCE"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4FD8D396"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1</w:t>
            </w:r>
          </w:p>
        </w:tc>
        <w:tc>
          <w:tcPr>
            <w:tcW w:w="0" w:type="auto"/>
            <w:hideMark/>
          </w:tcPr>
          <w:p w14:paraId="4C3A036C"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Ziekenhuizen en geestelijke gezondheidszorg met overnachting</w:t>
            </w:r>
          </w:p>
        </w:tc>
        <w:tc>
          <w:tcPr>
            <w:tcW w:w="0" w:type="auto"/>
            <w:hideMark/>
          </w:tcPr>
          <w:p w14:paraId="68A22F95" w14:textId="77777777" w:rsidR="00812DEE" w:rsidRPr="0066550A"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550A">
              <w:rPr>
                <w:rFonts w:eastAsia="Times New Roman" w:cs="Arial"/>
                <w:color w:val="auto"/>
                <w:sz w:val="20"/>
                <w:szCs w:val="20"/>
                <w:lang w:eastAsia="en-US"/>
              </w:rPr>
              <w:t>Ziekenhuizen en geestelijke gezondheidszorg met overnachting</w:t>
            </w:r>
          </w:p>
        </w:tc>
      </w:tr>
      <w:tr w:rsidR="00812DEE" w:rsidRPr="00B40D6E" w14:paraId="759BB43A"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26EA6229"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2</w:t>
            </w:r>
          </w:p>
        </w:tc>
        <w:tc>
          <w:tcPr>
            <w:tcW w:w="0" w:type="auto"/>
            <w:hideMark/>
          </w:tcPr>
          <w:p w14:paraId="08C48DF3"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Overige geldscheppende financiële instellingen</w:t>
            </w:r>
          </w:p>
        </w:tc>
        <w:tc>
          <w:tcPr>
            <w:tcW w:w="0" w:type="auto"/>
            <w:hideMark/>
          </w:tcPr>
          <w:p w14:paraId="77864897" w14:textId="77777777" w:rsidR="00812DEE" w:rsidRPr="00B40D6E"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Algemeen overheidsbestuur</w:t>
            </w:r>
          </w:p>
        </w:tc>
      </w:tr>
      <w:tr w:rsidR="00812DEE" w:rsidRPr="00B40D6E" w14:paraId="22B43654"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715DFA25"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3</w:t>
            </w:r>
          </w:p>
        </w:tc>
        <w:tc>
          <w:tcPr>
            <w:tcW w:w="0" w:type="auto"/>
            <w:hideMark/>
          </w:tcPr>
          <w:p w14:paraId="3D525EFE"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Advisering op het gebied van informatietechnologie</w:t>
            </w:r>
          </w:p>
        </w:tc>
        <w:tc>
          <w:tcPr>
            <w:tcW w:w="0" w:type="auto"/>
            <w:hideMark/>
          </w:tcPr>
          <w:p w14:paraId="1C13125D" w14:textId="77777777" w:rsidR="00812DEE" w:rsidRPr="0066550A"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550A">
              <w:rPr>
                <w:rFonts w:eastAsia="Times New Roman" w:cs="Arial"/>
                <w:color w:val="auto"/>
                <w:sz w:val="20"/>
                <w:szCs w:val="20"/>
                <w:lang w:eastAsia="en-US"/>
              </w:rPr>
              <w:t>Overige geldscheppende financiële instellingen</w:t>
            </w:r>
          </w:p>
        </w:tc>
      </w:tr>
      <w:tr w:rsidR="00812DEE" w:rsidRPr="00B40D6E" w14:paraId="278EC2CA"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7695055C"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4</w:t>
            </w:r>
          </w:p>
        </w:tc>
        <w:tc>
          <w:tcPr>
            <w:tcW w:w="0" w:type="auto"/>
            <w:hideMark/>
          </w:tcPr>
          <w:p w14:paraId="4DFB9A40"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Universitair hoger onderwijs</w:t>
            </w:r>
          </w:p>
        </w:tc>
        <w:tc>
          <w:tcPr>
            <w:tcW w:w="0" w:type="auto"/>
            <w:hideMark/>
          </w:tcPr>
          <w:p w14:paraId="48595E98" w14:textId="77777777" w:rsidR="00812DEE" w:rsidRPr="00B40D6E"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Niet-universitair hoger onderwijs</w:t>
            </w:r>
          </w:p>
        </w:tc>
      </w:tr>
      <w:tr w:rsidR="00812DEE" w:rsidRPr="00B40D6E" w14:paraId="358BE6EA"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2AD3837F"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5</w:t>
            </w:r>
          </w:p>
        </w:tc>
        <w:tc>
          <w:tcPr>
            <w:tcW w:w="0" w:type="auto"/>
            <w:hideMark/>
          </w:tcPr>
          <w:p w14:paraId="0F6856E3"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Schadeverzekeringen</w:t>
            </w:r>
          </w:p>
        </w:tc>
        <w:tc>
          <w:tcPr>
            <w:tcW w:w="0" w:type="auto"/>
            <w:hideMark/>
          </w:tcPr>
          <w:p w14:paraId="30D9FB56" w14:textId="77777777" w:rsidR="00812DEE" w:rsidRPr="00B40D6E"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Interieurreiniging van gebouwen</w:t>
            </w:r>
          </w:p>
        </w:tc>
      </w:tr>
      <w:tr w:rsidR="00812DEE" w:rsidRPr="00B40D6E" w14:paraId="5F527262"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53265C39"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6</w:t>
            </w:r>
          </w:p>
        </w:tc>
        <w:tc>
          <w:tcPr>
            <w:tcW w:w="0" w:type="auto"/>
            <w:hideMark/>
          </w:tcPr>
          <w:p w14:paraId="01ACDFE9"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Ingenieurs en overig technisch ontwerp</w:t>
            </w:r>
          </w:p>
        </w:tc>
        <w:tc>
          <w:tcPr>
            <w:tcW w:w="0" w:type="auto"/>
            <w:hideMark/>
          </w:tcPr>
          <w:p w14:paraId="6016A205" w14:textId="77777777" w:rsidR="00812DEE" w:rsidRPr="0002023C"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02023C">
              <w:rPr>
                <w:rFonts w:eastAsia="Times New Roman" w:cs="Arial"/>
                <w:color w:val="auto"/>
                <w:sz w:val="20"/>
                <w:szCs w:val="20"/>
                <w:lang w:eastAsia="en-US"/>
              </w:rPr>
              <w:t>Overige aanbieders gezondheidszorg</w:t>
            </w:r>
          </w:p>
        </w:tc>
      </w:tr>
      <w:tr w:rsidR="00812DEE" w:rsidRPr="00B40D6E" w14:paraId="2C0613B4"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78FAFEE7"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7</w:t>
            </w:r>
          </w:p>
        </w:tc>
        <w:tc>
          <w:tcPr>
            <w:tcW w:w="0" w:type="auto"/>
            <w:hideMark/>
          </w:tcPr>
          <w:p w14:paraId="5011D3EF"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Openbaar bestuur op het gebied van gezondheidszorg</w:t>
            </w:r>
          </w:p>
        </w:tc>
        <w:tc>
          <w:tcPr>
            <w:tcW w:w="0" w:type="auto"/>
            <w:hideMark/>
          </w:tcPr>
          <w:p w14:paraId="56FC66F1" w14:textId="77777777" w:rsidR="00812DEE" w:rsidRPr="00B40D6E"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Jeugdzorg en maatschappelijke opvang met overnachting</w:t>
            </w:r>
          </w:p>
        </w:tc>
      </w:tr>
      <w:tr w:rsidR="00812DEE" w:rsidRPr="00B40D6E" w14:paraId="2DEAAF30"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002EA64E"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8</w:t>
            </w:r>
          </w:p>
        </w:tc>
        <w:tc>
          <w:tcPr>
            <w:tcW w:w="0" w:type="auto"/>
            <w:hideMark/>
          </w:tcPr>
          <w:p w14:paraId="18AE9D82"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Overige aanbieders gezondheidszorg</w:t>
            </w:r>
          </w:p>
        </w:tc>
        <w:tc>
          <w:tcPr>
            <w:tcW w:w="0" w:type="auto"/>
            <w:hideMark/>
          </w:tcPr>
          <w:p w14:paraId="7DDD4D48" w14:textId="77777777" w:rsidR="00812DEE" w:rsidRPr="00B40D6E"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Schadeverzekeringen</w:t>
            </w:r>
          </w:p>
        </w:tc>
      </w:tr>
      <w:tr w:rsidR="00812DEE" w:rsidRPr="00B40D6E" w14:paraId="368CB0F6"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1F4F7D03"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9</w:t>
            </w:r>
          </w:p>
        </w:tc>
        <w:tc>
          <w:tcPr>
            <w:tcW w:w="0" w:type="auto"/>
            <w:hideMark/>
          </w:tcPr>
          <w:p w14:paraId="477B94E3"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Overig natuurwetenschappelijk speur- en ontwikkelingswerk</w:t>
            </w:r>
          </w:p>
        </w:tc>
        <w:tc>
          <w:tcPr>
            <w:tcW w:w="0" w:type="auto"/>
            <w:hideMark/>
          </w:tcPr>
          <w:p w14:paraId="6B0B962A" w14:textId="77777777" w:rsidR="00812DEE" w:rsidRPr="00B40D6E"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Justitie</w:t>
            </w:r>
          </w:p>
        </w:tc>
      </w:tr>
      <w:tr w:rsidR="00812DEE" w:rsidRPr="00B40D6E" w14:paraId="50A0285F"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4E6D8FD4" w14:textId="77777777" w:rsidR="00812DEE" w:rsidRDefault="00812DEE" w:rsidP="00E47779">
            <w:pPr>
              <w:jc w:val="left"/>
              <w:rPr>
                <w:rFonts w:eastAsia="Times New Roman" w:cs="Arial"/>
                <w:b w:val="0"/>
                <w:sz w:val="20"/>
                <w:szCs w:val="20"/>
                <w:lang w:eastAsia="en-US"/>
              </w:rPr>
            </w:pPr>
            <w:r>
              <w:rPr>
                <w:rFonts w:eastAsia="Times New Roman" w:cs="Arial"/>
                <w:b w:val="0"/>
                <w:sz w:val="20"/>
                <w:szCs w:val="20"/>
                <w:lang w:eastAsia="en-US"/>
              </w:rPr>
              <w:t>10</w:t>
            </w:r>
          </w:p>
        </w:tc>
        <w:tc>
          <w:tcPr>
            <w:tcW w:w="0" w:type="auto"/>
            <w:hideMark/>
          </w:tcPr>
          <w:p w14:paraId="5C339646"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Overige dienstverlenende activiteiten op het gebied van informatietechnologie</w:t>
            </w:r>
          </w:p>
        </w:tc>
        <w:tc>
          <w:tcPr>
            <w:tcW w:w="0" w:type="auto"/>
            <w:hideMark/>
          </w:tcPr>
          <w:p w14:paraId="4218E89A" w14:textId="77777777" w:rsidR="00812DEE" w:rsidRPr="00B40D6E"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Goederenvervoer over de weg</w:t>
            </w:r>
          </w:p>
        </w:tc>
      </w:tr>
    </w:tbl>
    <w:p w14:paraId="2B39A8D8" w14:textId="77777777" w:rsidR="00812DEE" w:rsidRPr="00351031" w:rsidRDefault="00812DEE" w:rsidP="00812DEE">
      <w:pPr>
        <w:rPr>
          <w:color w:val="4F81BD" w:themeColor="accent1"/>
          <w:sz w:val="20"/>
        </w:rPr>
      </w:pPr>
      <w:r>
        <w:rPr>
          <w:b/>
          <w:color w:val="4F81BD" w:themeColor="accent1"/>
          <w:sz w:val="20"/>
        </w:rPr>
        <w:t>Tabel 5</w:t>
      </w:r>
      <w:r w:rsidRPr="00351031">
        <w:rPr>
          <w:b/>
          <w:color w:val="4F81BD" w:themeColor="accent1"/>
          <w:sz w:val="20"/>
        </w:rPr>
        <w:t>.5:</w:t>
      </w:r>
      <w:r w:rsidRPr="00351031">
        <w:rPr>
          <w:color w:val="4F81BD" w:themeColor="accent1"/>
          <w:sz w:val="20"/>
        </w:rPr>
        <w:t xml:space="preserve"> De 10 sectoren waarvan het aandeel in de Veenendaalse werkgelegenheid het kleinst is ten opzicht van het aandeel dat deze sectoren in de werkgelegenheid van provincie Utrecht en Nederland hebben.</w:t>
      </w:r>
    </w:p>
    <w:p w14:paraId="5E0F2243" w14:textId="77777777" w:rsidR="00812DEE" w:rsidRDefault="00812DEE" w:rsidP="00812DEE">
      <w:pPr>
        <w:rPr>
          <w:sz w:val="20"/>
        </w:rPr>
      </w:pPr>
    </w:p>
    <w:p w14:paraId="05A23C3C" w14:textId="77777777" w:rsidR="00812DEE" w:rsidRDefault="00812DEE" w:rsidP="00812DEE">
      <w:r>
        <w:t>De sector Ingenieurswerk blijft als sector achter bij de rest van provincie Utrecht, maar uit onderzoek naar de websites van Veenendaalse bedrijven veel bouw en metaalbouw bedrijven in regio Veenendaal bieden ingenieurswerk aan zonder dit als hoofdtaak te hebben. Dat bedrijven maar onder één sbi-klasse vallen werkt dus misleidend in dit geval.</w:t>
      </w:r>
    </w:p>
    <w:p w14:paraId="214A93D6" w14:textId="16A5ADFF" w:rsidR="001C5EAD" w:rsidRDefault="00812DEE" w:rsidP="00812DEE">
      <w:r>
        <w:t>Enkele sectoren die zwak zijn ten opzichte van provincie Utrecht wijzen juist op sterke punten van de provincie, die vrijwel volledig in de stad Utrecht geconcentreerd zijn. Natuurkundig onderzoek en Universitair onderwijs zijn hier voorbeelden van.</w:t>
      </w:r>
    </w:p>
    <w:p w14:paraId="389065FF" w14:textId="77777777" w:rsidR="00812DEE" w:rsidRPr="001C5EAD" w:rsidRDefault="001C5EAD" w:rsidP="00812DEE">
      <w:r>
        <w:br w:type="column"/>
      </w:r>
    </w:p>
    <w:tbl>
      <w:tblPr>
        <w:tblStyle w:val="LightShading-Accent1"/>
        <w:tblW w:w="0" w:type="auto"/>
        <w:tblLook w:val="04A0" w:firstRow="1" w:lastRow="0" w:firstColumn="1" w:lastColumn="0" w:noHBand="0" w:noVBand="1"/>
      </w:tblPr>
      <w:tblGrid>
        <w:gridCol w:w="419"/>
        <w:gridCol w:w="4059"/>
        <w:gridCol w:w="4038"/>
      </w:tblGrid>
      <w:tr w:rsidR="00812DEE" w:rsidRPr="000C6E38" w14:paraId="00FAF6BA" w14:textId="77777777" w:rsidTr="00812DE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14:paraId="45163D3A" w14:textId="77777777" w:rsidR="00812DEE" w:rsidRPr="000C6E38" w:rsidRDefault="00812DEE" w:rsidP="00812DEE">
            <w:pPr>
              <w:rPr>
                <w:rFonts w:eastAsia="Times New Roman" w:cs="Arial"/>
                <w:color w:val="FFFFFF" w:themeColor="background1"/>
                <w:sz w:val="20"/>
                <w:szCs w:val="20"/>
                <w:lang w:eastAsia="en-US"/>
              </w:rPr>
            </w:pPr>
            <w:r>
              <w:rPr>
                <w:rFonts w:eastAsia="Times New Roman" w:cs="Arial"/>
                <w:color w:val="FFFFFF" w:themeColor="background1"/>
                <w:sz w:val="20"/>
                <w:szCs w:val="20"/>
                <w:lang w:eastAsia="en-US"/>
              </w:rPr>
              <w:t>#</w:t>
            </w:r>
          </w:p>
        </w:tc>
        <w:tc>
          <w:tcPr>
            <w:tcW w:w="0" w:type="auto"/>
            <w:shd w:val="clear" w:color="auto" w:fill="4F81BD" w:themeFill="accent1"/>
            <w:hideMark/>
          </w:tcPr>
          <w:p w14:paraId="0137B4AA" w14:textId="77777777" w:rsidR="00812DEE" w:rsidRPr="000C6E38"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n-US"/>
              </w:rPr>
            </w:pPr>
            <w:r w:rsidRPr="000C6E38">
              <w:rPr>
                <w:rFonts w:eastAsia="Times New Roman" w:cs="Arial"/>
                <w:color w:val="FFFFFF" w:themeColor="background1"/>
                <w:sz w:val="20"/>
                <w:szCs w:val="20"/>
                <w:lang w:eastAsia="en-US"/>
              </w:rPr>
              <w:t>Provincie Utrecht</w:t>
            </w:r>
          </w:p>
        </w:tc>
        <w:tc>
          <w:tcPr>
            <w:tcW w:w="0" w:type="auto"/>
            <w:shd w:val="clear" w:color="auto" w:fill="4F81BD" w:themeFill="accent1"/>
            <w:hideMark/>
          </w:tcPr>
          <w:p w14:paraId="511A8206" w14:textId="77777777" w:rsidR="00812DEE" w:rsidRPr="000C6E38"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0"/>
                <w:szCs w:val="20"/>
                <w:lang w:eastAsia="en-US"/>
              </w:rPr>
            </w:pPr>
            <w:r w:rsidRPr="000C6E38">
              <w:rPr>
                <w:rFonts w:eastAsia="Times New Roman" w:cs="Arial"/>
                <w:color w:val="FFFFFF" w:themeColor="background1"/>
                <w:sz w:val="20"/>
                <w:szCs w:val="20"/>
                <w:lang w:eastAsia="en-US"/>
              </w:rPr>
              <w:t>Nederland</w:t>
            </w:r>
          </w:p>
        </w:tc>
      </w:tr>
      <w:tr w:rsidR="00812DEE" w:rsidRPr="000C6E38" w14:paraId="79A126C7"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36D7F4A5"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1</w:t>
            </w:r>
          </w:p>
        </w:tc>
        <w:tc>
          <w:tcPr>
            <w:tcW w:w="0" w:type="auto"/>
            <w:hideMark/>
          </w:tcPr>
          <w:p w14:paraId="15D124D4"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Politie</w:t>
            </w:r>
          </w:p>
        </w:tc>
        <w:tc>
          <w:tcPr>
            <w:tcW w:w="0" w:type="auto"/>
            <w:hideMark/>
          </w:tcPr>
          <w:p w14:paraId="137E9184" w14:textId="77777777" w:rsidR="00812DEE" w:rsidRPr="00A34F02"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A34F02">
              <w:rPr>
                <w:rFonts w:eastAsia="Times New Roman" w:cs="Arial"/>
                <w:color w:val="auto"/>
                <w:sz w:val="20"/>
                <w:szCs w:val="20"/>
                <w:lang w:eastAsia="en-US"/>
              </w:rPr>
              <w:t>Politie</w:t>
            </w:r>
          </w:p>
        </w:tc>
      </w:tr>
      <w:tr w:rsidR="00812DEE" w:rsidRPr="000C6E38" w14:paraId="47181062"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3659987B"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2</w:t>
            </w:r>
          </w:p>
        </w:tc>
        <w:tc>
          <w:tcPr>
            <w:tcW w:w="0" w:type="auto"/>
            <w:hideMark/>
          </w:tcPr>
          <w:p w14:paraId="263B67A6"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Defensie</w:t>
            </w:r>
          </w:p>
        </w:tc>
        <w:tc>
          <w:tcPr>
            <w:tcW w:w="0" w:type="auto"/>
            <w:hideMark/>
          </w:tcPr>
          <w:p w14:paraId="50041149" w14:textId="77777777" w:rsidR="00812DEE" w:rsidRPr="00A34F02"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A34F02">
              <w:rPr>
                <w:rFonts w:eastAsia="Times New Roman" w:cs="Arial"/>
                <w:color w:val="auto"/>
                <w:sz w:val="20"/>
                <w:szCs w:val="20"/>
                <w:lang w:eastAsia="en-US"/>
              </w:rPr>
              <w:t>Defensie</w:t>
            </w:r>
          </w:p>
        </w:tc>
      </w:tr>
      <w:tr w:rsidR="00812DEE" w:rsidRPr="000C6E38" w14:paraId="2EC44D8E"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01396AE7"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3</w:t>
            </w:r>
          </w:p>
        </w:tc>
        <w:tc>
          <w:tcPr>
            <w:tcW w:w="0" w:type="auto"/>
            <w:hideMark/>
          </w:tcPr>
          <w:p w14:paraId="12C6D798"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Huizen en dagverblijven voor verstandelijke gehandicapten</w:t>
            </w:r>
          </w:p>
        </w:tc>
        <w:tc>
          <w:tcPr>
            <w:tcW w:w="0" w:type="auto"/>
            <w:hideMark/>
          </w:tcPr>
          <w:p w14:paraId="7149941F" w14:textId="77777777" w:rsidR="00812DEE" w:rsidRPr="00A34F02"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A34F02">
              <w:rPr>
                <w:rFonts w:eastAsia="Times New Roman" w:cs="Arial"/>
                <w:color w:val="auto"/>
                <w:sz w:val="20"/>
                <w:szCs w:val="20"/>
                <w:lang w:eastAsia="en-US"/>
              </w:rPr>
              <w:t>Huizen en dagverblijven voor verstandelijke gehandicapten</w:t>
            </w:r>
          </w:p>
        </w:tc>
      </w:tr>
      <w:tr w:rsidR="00812DEE" w:rsidRPr="000C6E38" w14:paraId="07666135"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3BE00C30"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4</w:t>
            </w:r>
          </w:p>
        </w:tc>
        <w:tc>
          <w:tcPr>
            <w:tcW w:w="0" w:type="auto"/>
            <w:hideMark/>
          </w:tcPr>
          <w:p w14:paraId="1D4071D8"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Huizen en dagverblijven voor niet-verstandelijke gehandicapten</w:t>
            </w:r>
          </w:p>
        </w:tc>
        <w:tc>
          <w:tcPr>
            <w:tcW w:w="0" w:type="auto"/>
            <w:hideMark/>
          </w:tcPr>
          <w:p w14:paraId="4C5C2E3B" w14:textId="77777777" w:rsidR="00812DEE" w:rsidRPr="000C6E38"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Advisering op het gebied van managementadvies</w:t>
            </w:r>
          </w:p>
        </w:tc>
      </w:tr>
      <w:tr w:rsidR="00812DEE" w:rsidRPr="000C6E38" w14:paraId="6157A3F5"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7DABE493"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5</w:t>
            </w:r>
          </w:p>
        </w:tc>
        <w:tc>
          <w:tcPr>
            <w:tcW w:w="0" w:type="auto"/>
            <w:hideMark/>
          </w:tcPr>
          <w:p w14:paraId="466CCFB1"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Vervaardiging van metalen constructiewerken</w:t>
            </w:r>
          </w:p>
        </w:tc>
        <w:tc>
          <w:tcPr>
            <w:tcW w:w="0" w:type="auto"/>
            <w:hideMark/>
          </w:tcPr>
          <w:p w14:paraId="57688F8B" w14:textId="77777777" w:rsidR="00812DEE" w:rsidRPr="0099484F"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99484F">
              <w:rPr>
                <w:rFonts w:eastAsia="Times New Roman" w:cs="Arial"/>
                <w:color w:val="auto"/>
                <w:sz w:val="20"/>
                <w:szCs w:val="20"/>
                <w:lang w:eastAsia="en-US"/>
              </w:rPr>
              <w:t>Vervaardiging van metalen constructiewerken</w:t>
            </w:r>
          </w:p>
        </w:tc>
      </w:tr>
      <w:tr w:rsidR="00812DEE" w:rsidRPr="000C6E38" w14:paraId="288611D3"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7A39CD62"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6</w:t>
            </w:r>
          </w:p>
        </w:tc>
        <w:tc>
          <w:tcPr>
            <w:tcW w:w="0" w:type="auto"/>
            <w:hideMark/>
          </w:tcPr>
          <w:p w14:paraId="16893193"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Uitzendbureaus, uitleenbureaus en banenpools</w:t>
            </w:r>
          </w:p>
        </w:tc>
        <w:tc>
          <w:tcPr>
            <w:tcW w:w="0" w:type="auto"/>
            <w:hideMark/>
          </w:tcPr>
          <w:p w14:paraId="283F8961" w14:textId="77777777" w:rsidR="00812DEE" w:rsidRPr="000C6E38"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Ontwikkelen, produceren en uitgeven van software</w:t>
            </w:r>
          </w:p>
        </w:tc>
      </w:tr>
      <w:tr w:rsidR="00812DEE" w:rsidRPr="000C6E38" w14:paraId="6BE1366F"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3A669F59"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7</w:t>
            </w:r>
          </w:p>
        </w:tc>
        <w:tc>
          <w:tcPr>
            <w:tcW w:w="0" w:type="auto"/>
            <w:hideMark/>
          </w:tcPr>
          <w:p w14:paraId="0DFBEF0E"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Groothandel in voedings- en genotsmiddelen algemeen assortiment</w:t>
            </w:r>
          </w:p>
        </w:tc>
        <w:tc>
          <w:tcPr>
            <w:tcW w:w="0" w:type="auto"/>
            <w:hideMark/>
          </w:tcPr>
          <w:p w14:paraId="150E97C6" w14:textId="77777777" w:rsidR="00812DEE" w:rsidRPr="000C6E38"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Huizen en dagverblijven voor niet-verstandelijke gehandicapten</w:t>
            </w:r>
          </w:p>
        </w:tc>
      </w:tr>
      <w:tr w:rsidR="00812DEE" w:rsidRPr="000C6E38" w14:paraId="21AEA8F1"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39F2204F"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8</w:t>
            </w:r>
          </w:p>
        </w:tc>
        <w:tc>
          <w:tcPr>
            <w:tcW w:w="0" w:type="auto"/>
            <w:hideMark/>
          </w:tcPr>
          <w:p w14:paraId="18CE4467"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Primair speciaal onderwijs</w:t>
            </w:r>
          </w:p>
        </w:tc>
        <w:tc>
          <w:tcPr>
            <w:tcW w:w="0" w:type="auto"/>
            <w:hideMark/>
          </w:tcPr>
          <w:p w14:paraId="3C22E4C2" w14:textId="77777777" w:rsidR="00812DEE" w:rsidRPr="000C6E38"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Groothandel in computers, randapparatuur en software</w:t>
            </w:r>
          </w:p>
        </w:tc>
      </w:tr>
      <w:tr w:rsidR="00812DEE" w:rsidRPr="000C6E38" w14:paraId="25F96CB4" w14:textId="77777777" w:rsidTr="00812DE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14:paraId="4493DD73"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9</w:t>
            </w:r>
          </w:p>
        </w:tc>
        <w:tc>
          <w:tcPr>
            <w:tcW w:w="0" w:type="auto"/>
            <w:hideMark/>
          </w:tcPr>
          <w:p w14:paraId="77A34B95" w14:textId="77777777" w:rsidR="00812DEE" w:rsidRPr="006674C4"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Praktijken van verloskundigen en paramedici</w:t>
            </w:r>
          </w:p>
        </w:tc>
        <w:tc>
          <w:tcPr>
            <w:tcW w:w="0" w:type="auto"/>
            <w:hideMark/>
          </w:tcPr>
          <w:p w14:paraId="4E9785EB" w14:textId="77777777" w:rsidR="00812DEE" w:rsidRPr="0099484F" w:rsidRDefault="00812DEE" w:rsidP="00E4777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US"/>
              </w:rPr>
            </w:pPr>
            <w:r w:rsidRPr="0099484F">
              <w:rPr>
                <w:rFonts w:eastAsia="Times New Roman" w:cs="Arial"/>
                <w:color w:val="auto"/>
                <w:sz w:val="20"/>
                <w:szCs w:val="20"/>
                <w:lang w:eastAsia="en-US"/>
              </w:rPr>
              <w:t>Groothandel in voedings- en genotsmiddelen algemeen assortiment</w:t>
            </w:r>
          </w:p>
        </w:tc>
      </w:tr>
      <w:tr w:rsidR="00812DEE" w:rsidRPr="000C6E38" w14:paraId="0929DE51" w14:textId="77777777" w:rsidTr="00812DEE">
        <w:trPr>
          <w:trHeight w:val="315"/>
        </w:trPr>
        <w:tc>
          <w:tcPr>
            <w:cnfStyle w:val="001000000000" w:firstRow="0" w:lastRow="0" w:firstColumn="1" w:lastColumn="0" w:oddVBand="0" w:evenVBand="0" w:oddHBand="0" w:evenHBand="0" w:firstRowFirstColumn="0" w:firstRowLastColumn="0" w:lastRowFirstColumn="0" w:lastRowLastColumn="0"/>
            <w:tcW w:w="0" w:type="auto"/>
          </w:tcPr>
          <w:p w14:paraId="6CCBF12E" w14:textId="77777777" w:rsidR="00812DEE" w:rsidRPr="006674C4" w:rsidRDefault="00812DEE" w:rsidP="00E47779">
            <w:pPr>
              <w:jc w:val="left"/>
              <w:rPr>
                <w:rFonts w:eastAsia="Times New Roman" w:cs="Arial"/>
                <w:b w:val="0"/>
                <w:sz w:val="20"/>
                <w:szCs w:val="20"/>
                <w:lang w:eastAsia="en-US"/>
              </w:rPr>
            </w:pPr>
            <w:r>
              <w:rPr>
                <w:rFonts w:eastAsia="Times New Roman" w:cs="Arial"/>
                <w:b w:val="0"/>
                <w:sz w:val="20"/>
                <w:szCs w:val="20"/>
                <w:lang w:eastAsia="en-US"/>
              </w:rPr>
              <w:t>10</w:t>
            </w:r>
          </w:p>
        </w:tc>
        <w:tc>
          <w:tcPr>
            <w:tcW w:w="0" w:type="auto"/>
            <w:hideMark/>
          </w:tcPr>
          <w:p w14:paraId="66F06FF7" w14:textId="77777777" w:rsidR="00812DEE" w:rsidRPr="006674C4"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sidRPr="006674C4">
              <w:rPr>
                <w:rFonts w:eastAsia="Times New Roman" w:cs="Arial"/>
                <w:color w:val="auto"/>
                <w:sz w:val="20"/>
                <w:szCs w:val="20"/>
                <w:lang w:eastAsia="en-US"/>
              </w:rPr>
              <w:t>Groothandel en handelsbemiddeling in auto-onderdelen</w:t>
            </w:r>
          </w:p>
        </w:tc>
        <w:tc>
          <w:tcPr>
            <w:tcW w:w="0" w:type="auto"/>
            <w:hideMark/>
          </w:tcPr>
          <w:p w14:paraId="3104331E" w14:textId="77777777" w:rsidR="00812DEE" w:rsidRPr="000C6E38" w:rsidRDefault="00812DEE" w:rsidP="00E47779">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lang w:eastAsia="en-US"/>
              </w:rPr>
            </w:pPr>
            <w:r>
              <w:rPr>
                <w:rFonts w:eastAsia="Times New Roman" w:cs="Arial"/>
                <w:color w:val="auto"/>
                <w:sz w:val="20"/>
                <w:szCs w:val="20"/>
                <w:lang w:eastAsia="en-US"/>
              </w:rPr>
              <w:t>Loodgieters- en fitterswerk</w:t>
            </w:r>
          </w:p>
        </w:tc>
      </w:tr>
    </w:tbl>
    <w:p w14:paraId="264289CB" w14:textId="77777777" w:rsidR="00812DEE" w:rsidRPr="00351031" w:rsidRDefault="00812DEE" w:rsidP="00812DEE">
      <w:pPr>
        <w:rPr>
          <w:color w:val="4F81BD" w:themeColor="accent1"/>
          <w:sz w:val="20"/>
        </w:rPr>
      </w:pPr>
      <w:r>
        <w:rPr>
          <w:b/>
          <w:color w:val="4F81BD" w:themeColor="accent1"/>
          <w:sz w:val="20"/>
        </w:rPr>
        <w:t>Tabel 5</w:t>
      </w:r>
      <w:r w:rsidRPr="00351031">
        <w:rPr>
          <w:b/>
          <w:color w:val="4F81BD" w:themeColor="accent1"/>
          <w:sz w:val="20"/>
        </w:rPr>
        <w:t>.6:</w:t>
      </w:r>
      <w:r w:rsidRPr="00351031">
        <w:rPr>
          <w:color w:val="4F81BD" w:themeColor="accent1"/>
          <w:sz w:val="20"/>
        </w:rPr>
        <w:t xml:space="preserve"> De 10 sectoren waarvan het aandeel in de Woerdense werkgelegenheid het grootst is ten opzicht van het aandeel dat deze sectoren in de werkgelegenheid van provincie Utrecht en Nederland hebben.</w:t>
      </w:r>
    </w:p>
    <w:p w14:paraId="61ACE558" w14:textId="77777777" w:rsidR="00812DEE" w:rsidRDefault="00812DEE" w:rsidP="00812DEE"/>
    <w:p w14:paraId="40E74E70" w14:textId="77777777" w:rsidR="00812DEE" w:rsidRPr="0015631F" w:rsidRDefault="00812DEE" w:rsidP="00812DEE">
      <w:r>
        <w:t xml:space="preserve">De hoofdkantoren van politie en defensie op de Utrechtse Heuvelrug hebben, zoals tabel 5.6 toont, een grote invloed op de verdeling van de werkgelegenheid in regio Veenendaal. Het is opmerkelijk dat regio Veenendaal sterk gespecialiseerd is op sommige vormen van zorg (dagverblijven en verloskundigen en paramedici), terwijl er juist zeer weinig zorg is met overnachting, en de sector “overige aanbieders gezondheidszorg” sterk achterblijft bij de provincie en het nationale gemiddelde.  Vergelijkbaar is de sterke positie van speciaal onderwijs in regio Veenendaal, terwijl hoger onderwijs sterk achterblijft. </w:t>
      </w:r>
    </w:p>
    <w:p w14:paraId="04B906FE" w14:textId="77777777" w:rsidR="00812DEE" w:rsidRPr="00C1495E" w:rsidRDefault="00812DEE" w:rsidP="00812DEE">
      <w:pPr>
        <w:outlineLvl w:val="0"/>
        <w:rPr>
          <w:szCs w:val="20"/>
        </w:rPr>
      </w:pPr>
    </w:p>
    <w:p w14:paraId="494DEBC1" w14:textId="77777777" w:rsidR="00812DEE" w:rsidRDefault="00812DEE" w:rsidP="00812DEE">
      <w:pPr>
        <w:jc w:val="center"/>
        <w:outlineLvl w:val="0"/>
        <w:rPr>
          <w:color w:val="548DD4" w:themeColor="text2" w:themeTint="99"/>
          <w:sz w:val="20"/>
          <w:szCs w:val="20"/>
        </w:rPr>
      </w:pPr>
    </w:p>
    <w:p w14:paraId="4D5A2EC4" w14:textId="77777777" w:rsidR="00812DEE" w:rsidRPr="00302170" w:rsidRDefault="00812DEE" w:rsidP="00812DEE">
      <w:pPr>
        <w:rPr>
          <w:rFonts w:ascii="Calibri" w:eastAsia="Times New Roman" w:hAnsi="Calibri" w:cs="Times New Roman"/>
          <w:b/>
          <w:color w:val="000000"/>
          <w:sz w:val="20"/>
        </w:rPr>
      </w:pPr>
      <w:r w:rsidRPr="00302170">
        <w:rPr>
          <w:rFonts w:ascii="Calibri" w:eastAsia="Times New Roman" w:hAnsi="Calibri" w:cs="Times New Roman"/>
          <w:b/>
          <w:noProof/>
          <w:color w:val="000000"/>
          <w:sz w:val="20"/>
          <w:lang w:val="en-US" w:eastAsia="en-US"/>
        </w:rPr>
        <w:drawing>
          <wp:inline distT="0" distB="0" distL="0" distR="0" wp14:anchorId="6F6D0079" wp14:editId="43B810C7">
            <wp:extent cx="5270500" cy="2602865"/>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vdaal secties met ede.png"/>
                    <pic:cNvPicPr/>
                  </pic:nvPicPr>
                  <pic:blipFill>
                    <a:blip r:embed="rId23">
                      <a:extLst>
                        <a:ext uri="{28A0092B-C50C-407E-A947-70E740481C1C}">
                          <a14:useLocalDpi xmlns:a14="http://schemas.microsoft.com/office/drawing/2010/main" val="0"/>
                        </a:ext>
                      </a:extLst>
                    </a:blip>
                    <a:stretch>
                      <a:fillRect/>
                    </a:stretch>
                  </pic:blipFill>
                  <pic:spPr>
                    <a:xfrm>
                      <a:off x="0" y="0"/>
                      <a:ext cx="5270500" cy="2602865"/>
                    </a:xfrm>
                    <a:prstGeom prst="rect">
                      <a:avLst/>
                    </a:prstGeom>
                  </pic:spPr>
                </pic:pic>
              </a:graphicData>
            </a:graphic>
          </wp:inline>
        </w:drawing>
      </w:r>
    </w:p>
    <w:p w14:paraId="17C10560" w14:textId="77777777" w:rsidR="00812DEE" w:rsidRPr="00965595" w:rsidRDefault="00812DEE" w:rsidP="00812DEE">
      <w:pPr>
        <w:jc w:val="center"/>
        <w:rPr>
          <w:rFonts w:ascii="Calibri" w:eastAsia="Times New Roman" w:hAnsi="Calibri" w:cs="Times New Roman"/>
          <w:color w:val="548DD4" w:themeColor="text2" w:themeTint="99"/>
          <w:sz w:val="20"/>
        </w:rPr>
      </w:pPr>
      <w:r>
        <w:rPr>
          <w:rFonts w:ascii="Calibri" w:eastAsia="Times New Roman" w:hAnsi="Calibri" w:cs="Times New Roman"/>
          <w:b/>
          <w:color w:val="548DD4" w:themeColor="text2" w:themeTint="99"/>
          <w:sz w:val="20"/>
        </w:rPr>
        <w:t>Afbeelding 5.5</w:t>
      </w:r>
      <w:r w:rsidRPr="00302170">
        <w:rPr>
          <w:rFonts w:ascii="Calibri" w:eastAsia="Times New Roman" w:hAnsi="Calibri" w:cs="Times New Roman"/>
          <w:b/>
          <w:color w:val="548DD4" w:themeColor="text2" w:themeTint="99"/>
          <w:sz w:val="20"/>
        </w:rPr>
        <w:t>:</w:t>
      </w:r>
      <w:r w:rsidRPr="00302170">
        <w:rPr>
          <w:rFonts w:ascii="Calibri" w:eastAsia="Times New Roman" w:hAnsi="Calibri" w:cs="Times New Roman"/>
          <w:color w:val="548DD4" w:themeColor="text2" w:themeTint="99"/>
          <w:sz w:val="20"/>
        </w:rPr>
        <w:t xml:space="preserve"> Percentages werkgelegenheid per SBI-sectie in regio Veenendaal en Ede-Wageningen</w:t>
      </w:r>
      <w:r>
        <w:rPr>
          <w:rFonts w:ascii="Calibri" w:eastAsia="Times New Roman" w:hAnsi="Calibri" w:cs="Times New Roman"/>
          <w:color w:val="548DD4" w:themeColor="text2" w:themeTint="99"/>
          <w:sz w:val="20"/>
        </w:rPr>
        <w:t>.</w:t>
      </w:r>
    </w:p>
    <w:p w14:paraId="62F7E421" w14:textId="77777777" w:rsidR="00812DEE" w:rsidRPr="00302170" w:rsidRDefault="00812DEE" w:rsidP="00812DEE">
      <w:pPr>
        <w:outlineLvl w:val="0"/>
        <w:rPr>
          <w:rFonts w:ascii="Calibri" w:eastAsia="Times New Roman" w:hAnsi="Calibri" w:cs="Times New Roman"/>
          <w:b/>
          <w:color w:val="000000"/>
        </w:rPr>
      </w:pPr>
    </w:p>
    <w:p w14:paraId="5AF79EED" w14:textId="77777777" w:rsidR="00812DEE" w:rsidRDefault="00812DEE" w:rsidP="00812DEE">
      <w:pPr>
        <w:rPr>
          <w:rFonts w:ascii="Calibri" w:eastAsia="Times New Roman" w:hAnsi="Calibri" w:cs="Times New Roman"/>
        </w:rPr>
      </w:pPr>
      <w:r>
        <w:rPr>
          <w:rFonts w:ascii="Calibri" w:eastAsia="Times New Roman" w:hAnsi="Calibri" w:cs="Times New Roman"/>
        </w:rPr>
        <w:t>Afbeelding 5.5 geeft een verder beeld van hoe regio Veenendaal van regio Ede-Wageningen afwijkt qua sectorale opbouw op het niveau van de SBI-klassen. Voornamelijk de sectoren handel, specialistische dienstverlening en zorg spelen een grotere rol in Veenendaal dan zij in Ede-Wageningen doen. Ook de sterke aanwezigheid van politie en defensie zijn terug te zien in deze grafiek. De meeste andere sectoren zijn relatief juist weer iets in groter in Ede-Wageningen, met voornamelijk onderwijs (met dank aan Wageningen UR) als uitschieter. In tabel 5.7 is het formaat van iedere sector in regio Veenendaal vergeleken met regio Utrecht en Nederland, zowel als percentage als in absolute cijfers.</w:t>
      </w:r>
    </w:p>
    <w:p w14:paraId="6898DB3D" w14:textId="77777777" w:rsidR="00812DEE" w:rsidRDefault="00812DEE" w:rsidP="00812DEE">
      <w:pPr>
        <w:rPr>
          <w:rFonts w:ascii="Calibri" w:eastAsia="Times New Roman" w:hAnsi="Calibri" w:cs="Times New Roman"/>
        </w:rPr>
      </w:pPr>
    </w:p>
    <w:tbl>
      <w:tblPr>
        <w:tblStyle w:val="ColorfulGrid-Accent1"/>
        <w:tblW w:w="0" w:type="auto"/>
        <w:tblLook w:val="04A0" w:firstRow="1" w:lastRow="0" w:firstColumn="1" w:lastColumn="0" w:noHBand="0" w:noVBand="1"/>
      </w:tblPr>
      <w:tblGrid>
        <w:gridCol w:w="2908"/>
        <w:gridCol w:w="655"/>
        <w:gridCol w:w="921"/>
        <w:gridCol w:w="722"/>
        <w:gridCol w:w="776"/>
        <w:gridCol w:w="916"/>
        <w:gridCol w:w="938"/>
      </w:tblGrid>
      <w:tr w:rsidR="00812DEE" w:rsidRPr="00302170" w14:paraId="078A16E9" w14:textId="77777777" w:rsidTr="00812DE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hemeFill="accent1" w:themeFillShade="BF"/>
            <w:noWrap/>
            <w:hideMark/>
          </w:tcPr>
          <w:p w14:paraId="4B1F97A3" w14:textId="77777777" w:rsidR="00812DEE" w:rsidRPr="00302170" w:rsidRDefault="00812DEE" w:rsidP="00812DEE">
            <w:pPr>
              <w:rPr>
                <w:rFonts w:eastAsia="Times New Roman" w:cs="Times New Roman"/>
                <w:color w:val="000000"/>
                <w:sz w:val="16"/>
                <w:szCs w:val="16"/>
              </w:rPr>
            </w:pPr>
          </w:p>
        </w:tc>
        <w:tc>
          <w:tcPr>
            <w:tcW w:w="1576" w:type="dxa"/>
            <w:gridSpan w:val="2"/>
            <w:shd w:val="clear" w:color="auto" w:fill="365F91" w:themeFill="accent1" w:themeFillShade="BF"/>
            <w:noWrap/>
            <w:hideMark/>
          </w:tcPr>
          <w:p w14:paraId="1609384F"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Regio Veenendaal</w:t>
            </w:r>
          </w:p>
        </w:tc>
        <w:tc>
          <w:tcPr>
            <w:tcW w:w="0" w:type="auto"/>
            <w:shd w:val="clear" w:color="auto" w:fill="365F91" w:themeFill="accent1" w:themeFillShade="BF"/>
            <w:noWrap/>
            <w:hideMark/>
          </w:tcPr>
          <w:p w14:paraId="7AC1FE58"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Utrecht</w:t>
            </w:r>
          </w:p>
        </w:tc>
        <w:tc>
          <w:tcPr>
            <w:tcW w:w="0" w:type="auto"/>
            <w:shd w:val="clear" w:color="auto" w:fill="365F91" w:themeFill="accent1" w:themeFillShade="BF"/>
            <w:noWrap/>
            <w:hideMark/>
          </w:tcPr>
          <w:p w14:paraId="7F477964"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p>
        </w:tc>
        <w:tc>
          <w:tcPr>
            <w:tcW w:w="0" w:type="auto"/>
            <w:shd w:val="clear" w:color="auto" w:fill="365F91" w:themeFill="accent1" w:themeFillShade="BF"/>
            <w:noWrap/>
            <w:hideMark/>
          </w:tcPr>
          <w:p w14:paraId="7408E23E"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Nederland</w:t>
            </w:r>
          </w:p>
        </w:tc>
        <w:tc>
          <w:tcPr>
            <w:tcW w:w="0" w:type="auto"/>
            <w:shd w:val="clear" w:color="auto" w:fill="365F91" w:themeFill="accent1" w:themeFillShade="BF"/>
            <w:noWrap/>
            <w:hideMark/>
          </w:tcPr>
          <w:p w14:paraId="13DC5A8A" w14:textId="77777777" w:rsidR="00812DEE" w:rsidRPr="00302170" w:rsidRDefault="00812DEE" w:rsidP="00812DE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6"/>
                <w:szCs w:val="16"/>
              </w:rPr>
            </w:pPr>
          </w:p>
        </w:tc>
      </w:tr>
      <w:tr w:rsidR="00812DEE" w:rsidRPr="00302170" w14:paraId="11A038A4"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9D93A7" w14:textId="77777777" w:rsidR="00812DEE" w:rsidRPr="00302170" w:rsidRDefault="00812DEE" w:rsidP="00812DEE">
            <w:pPr>
              <w:rPr>
                <w:rFonts w:eastAsia="Times New Roman" w:cs="Times New Roman"/>
                <w:color w:val="000000"/>
                <w:sz w:val="16"/>
                <w:szCs w:val="16"/>
              </w:rPr>
            </w:pPr>
          </w:p>
        </w:tc>
        <w:tc>
          <w:tcPr>
            <w:tcW w:w="0" w:type="auto"/>
            <w:shd w:val="clear" w:color="auto" w:fill="365F91" w:themeFill="accent1" w:themeFillShade="BF"/>
            <w:noWrap/>
            <w:hideMark/>
          </w:tcPr>
          <w:p w14:paraId="5336518C"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 xml:space="preserve">abs </w:t>
            </w:r>
          </w:p>
        </w:tc>
        <w:tc>
          <w:tcPr>
            <w:tcW w:w="875" w:type="dxa"/>
            <w:shd w:val="clear" w:color="auto" w:fill="365F91" w:themeFill="accent1" w:themeFillShade="BF"/>
            <w:noWrap/>
            <w:hideMark/>
          </w:tcPr>
          <w:p w14:paraId="65E34691"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in %</w:t>
            </w:r>
          </w:p>
        </w:tc>
        <w:tc>
          <w:tcPr>
            <w:tcW w:w="0" w:type="auto"/>
            <w:shd w:val="clear" w:color="auto" w:fill="365F91" w:themeFill="accent1" w:themeFillShade="BF"/>
            <w:noWrap/>
            <w:hideMark/>
          </w:tcPr>
          <w:p w14:paraId="5B17194B"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 xml:space="preserve">abs </w:t>
            </w:r>
          </w:p>
        </w:tc>
        <w:tc>
          <w:tcPr>
            <w:tcW w:w="0" w:type="auto"/>
            <w:shd w:val="clear" w:color="auto" w:fill="365F91" w:themeFill="accent1" w:themeFillShade="BF"/>
            <w:noWrap/>
            <w:hideMark/>
          </w:tcPr>
          <w:p w14:paraId="20322C50"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in %</w:t>
            </w:r>
          </w:p>
        </w:tc>
        <w:tc>
          <w:tcPr>
            <w:tcW w:w="0" w:type="auto"/>
            <w:shd w:val="clear" w:color="auto" w:fill="365F91" w:themeFill="accent1" w:themeFillShade="BF"/>
            <w:noWrap/>
            <w:hideMark/>
          </w:tcPr>
          <w:p w14:paraId="3FDAB947"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abs 2012</w:t>
            </w:r>
          </w:p>
        </w:tc>
        <w:tc>
          <w:tcPr>
            <w:tcW w:w="0" w:type="auto"/>
            <w:shd w:val="clear" w:color="auto" w:fill="365F91" w:themeFill="accent1" w:themeFillShade="BF"/>
            <w:noWrap/>
            <w:hideMark/>
          </w:tcPr>
          <w:p w14:paraId="4502A5D2" w14:textId="77777777" w:rsidR="00812DEE" w:rsidRPr="00302170" w:rsidRDefault="00812DEE" w:rsidP="00812DE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6"/>
                <w:szCs w:val="16"/>
              </w:rPr>
            </w:pPr>
            <w:r w:rsidRPr="00302170">
              <w:rPr>
                <w:rFonts w:eastAsia="Times New Roman" w:cs="Times New Roman"/>
                <w:color w:val="FFFFFF" w:themeColor="background1"/>
                <w:sz w:val="16"/>
                <w:szCs w:val="16"/>
              </w:rPr>
              <w:t>in %</w:t>
            </w:r>
          </w:p>
        </w:tc>
      </w:tr>
      <w:tr w:rsidR="00812DEE" w:rsidRPr="00302170" w14:paraId="30B6E2BA"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A9ACC4"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Landbouw, Bosbouw en visserij</w:t>
            </w:r>
          </w:p>
        </w:tc>
        <w:tc>
          <w:tcPr>
            <w:tcW w:w="0" w:type="auto"/>
            <w:noWrap/>
            <w:hideMark/>
          </w:tcPr>
          <w:p w14:paraId="6A55B617"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1177</w:t>
            </w:r>
          </w:p>
        </w:tc>
        <w:tc>
          <w:tcPr>
            <w:tcW w:w="875" w:type="dxa"/>
            <w:noWrap/>
            <w:hideMark/>
          </w:tcPr>
          <w:p w14:paraId="753776D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2,17%</w:t>
            </w:r>
          </w:p>
        </w:tc>
        <w:tc>
          <w:tcPr>
            <w:tcW w:w="0" w:type="auto"/>
            <w:noWrap/>
            <w:hideMark/>
          </w:tcPr>
          <w:p w14:paraId="6BD79BF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6513</w:t>
            </w:r>
          </w:p>
        </w:tc>
        <w:tc>
          <w:tcPr>
            <w:tcW w:w="0" w:type="auto"/>
            <w:noWrap/>
            <w:hideMark/>
          </w:tcPr>
          <w:p w14:paraId="4987BFB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1,12%</w:t>
            </w:r>
          </w:p>
        </w:tc>
        <w:tc>
          <w:tcPr>
            <w:tcW w:w="0" w:type="auto"/>
            <w:noWrap/>
            <w:hideMark/>
          </w:tcPr>
          <w:p w14:paraId="77D330C9"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187201</w:t>
            </w:r>
          </w:p>
        </w:tc>
        <w:tc>
          <w:tcPr>
            <w:tcW w:w="0" w:type="auto"/>
            <w:noWrap/>
            <w:hideMark/>
          </w:tcPr>
          <w:p w14:paraId="7C0396A3"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2,71%</w:t>
            </w:r>
          </w:p>
        </w:tc>
      </w:tr>
      <w:tr w:rsidR="00812DEE" w:rsidRPr="00302170" w14:paraId="06AE2CE9"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24C89E"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Winning delfstoffen</w:t>
            </w:r>
          </w:p>
        </w:tc>
        <w:tc>
          <w:tcPr>
            <w:tcW w:w="0" w:type="auto"/>
            <w:noWrap/>
            <w:hideMark/>
          </w:tcPr>
          <w:p w14:paraId="65314770"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w:t>
            </w:r>
          </w:p>
        </w:tc>
        <w:tc>
          <w:tcPr>
            <w:tcW w:w="875" w:type="dxa"/>
            <w:noWrap/>
            <w:hideMark/>
          </w:tcPr>
          <w:p w14:paraId="2E8E7F36"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0,00%</w:t>
            </w:r>
          </w:p>
        </w:tc>
        <w:tc>
          <w:tcPr>
            <w:tcW w:w="0" w:type="auto"/>
            <w:noWrap/>
            <w:hideMark/>
          </w:tcPr>
          <w:p w14:paraId="2BB30732"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w:t>
            </w:r>
          </w:p>
        </w:tc>
        <w:tc>
          <w:tcPr>
            <w:tcW w:w="0" w:type="auto"/>
            <w:noWrap/>
            <w:hideMark/>
          </w:tcPr>
          <w:p w14:paraId="0E27D512"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0,00%</w:t>
            </w:r>
          </w:p>
        </w:tc>
        <w:tc>
          <w:tcPr>
            <w:tcW w:w="0" w:type="auto"/>
            <w:noWrap/>
            <w:hideMark/>
          </w:tcPr>
          <w:p w14:paraId="2925C71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6664</w:t>
            </w:r>
          </w:p>
        </w:tc>
        <w:tc>
          <w:tcPr>
            <w:tcW w:w="0" w:type="auto"/>
            <w:noWrap/>
            <w:hideMark/>
          </w:tcPr>
          <w:p w14:paraId="295395FF"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0,10%</w:t>
            </w:r>
          </w:p>
        </w:tc>
      </w:tr>
      <w:tr w:rsidR="00812DEE" w:rsidRPr="00302170" w14:paraId="34E47A60"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FD8EE1"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Industrie</w:t>
            </w:r>
          </w:p>
        </w:tc>
        <w:tc>
          <w:tcPr>
            <w:tcW w:w="0" w:type="auto"/>
            <w:noWrap/>
            <w:hideMark/>
          </w:tcPr>
          <w:p w14:paraId="345F3C55"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5864</w:t>
            </w:r>
          </w:p>
        </w:tc>
        <w:tc>
          <w:tcPr>
            <w:tcW w:w="875" w:type="dxa"/>
            <w:noWrap/>
            <w:hideMark/>
          </w:tcPr>
          <w:p w14:paraId="449A669D"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10,79%</w:t>
            </w:r>
          </w:p>
        </w:tc>
        <w:tc>
          <w:tcPr>
            <w:tcW w:w="0" w:type="auto"/>
            <w:noWrap/>
            <w:hideMark/>
          </w:tcPr>
          <w:p w14:paraId="725F77C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35585</w:t>
            </w:r>
          </w:p>
        </w:tc>
        <w:tc>
          <w:tcPr>
            <w:tcW w:w="0" w:type="auto"/>
            <w:noWrap/>
            <w:hideMark/>
          </w:tcPr>
          <w:p w14:paraId="538369A8"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6,14%</w:t>
            </w:r>
          </w:p>
        </w:tc>
        <w:tc>
          <w:tcPr>
            <w:tcW w:w="0" w:type="auto"/>
            <w:noWrap/>
            <w:hideMark/>
          </w:tcPr>
          <w:p w14:paraId="737933CF"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777105</w:t>
            </w:r>
          </w:p>
        </w:tc>
        <w:tc>
          <w:tcPr>
            <w:tcW w:w="0" w:type="auto"/>
            <w:noWrap/>
            <w:hideMark/>
          </w:tcPr>
          <w:p w14:paraId="0BC58DF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11,26%</w:t>
            </w:r>
          </w:p>
        </w:tc>
      </w:tr>
      <w:tr w:rsidR="00812DEE" w:rsidRPr="00302170" w14:paraId="6EA8B0D2"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378473"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Energie</w:t>
            </w:r>
          </w:p>
        </w:tc>
        <w:tc>
          <w:tcPr>
            <w:tcW w:w="0" w:type="auto"/>
            <w:noWrap/>
            <w:hideMark/>
          </w:tcPr>
          <w:p w14:paraId="38E105DF"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8</w:t>
            </w:r>
          </w:p>
        </w:tc>
        <w:tc>
          <w:tcPr>
            <w:tcW w:w="875" w:type="dxa"/>
            <w:noWrap/>
            <w:hideMark/>
          </w:tcPr>
          <w:p w14:paraId="2BAB0A8A"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0,01%</w:t>
            </w:r>
          </w:p>
        </w:tc>
        <w:tc>
          <w:tcPr>
            <w:tcW w:w="0" w:type="auto"/>
            <w:noWrap/>
            <w:hideMark/>
          </w:tcPr>
          <w:p w14:paraId="5BC01165"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454</w:t>
            </w:r>
          </w:p>
        </w:tc>
        <w:tc>
          <w:tcPr>
            <w:tcW w:w="0" w:type="auto"/>
            <w:noWrap/>
            <w:hideMark/>
          </w:tcPr>
          <w:p w14:paraId="7268318C"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0,08%</w:t>
            </w:r>
          </w:p>
        </w:tc>
        <w:tc>
          <w:tcPr>
            <w:tcW w:w="0" w:type="auto"/>
            <w:noWrap/>
            <w:hideMark/>
          </w:tcPr>
          <w:p w14:paraId="2241AA3E"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30768</w:t>
            </w:r>
          </w:p>
        </w:tc>
        <w:tc>
          <w:tcPr>
            <w:tcW w:w="0" w:type="auto"/>
            <w:noWrap/>
            <w:hideMark/>
          </w:tcPr>
          <w:p w14:paraId="4C2CD308"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0,45%</w:t>
            </w:r>
          </w:p>
        </w:tc>
      </w:tr>
      <w:tr w:rsidR="00812DEE" w:rsidRPr="00302170" w14:paraId="4121B596"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945D1A"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Waterbeheer en afvalverwerking</w:t>
            </w:r>
          </w:p>
        </w:tc>
        <w:tc>
          <w:tcPr>
            <w:tcW w:w="0" w:type="auto"/>
            <w:noWrap/>
            <w:hideMark/>
          </w:tcPr>
          <w:p w14:paraId="4EC48F2D"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175</w:t>
            </w:r>
          </w:p>
        </w:tc>
        <w:tc>
          <w:tcPr>
            <w:tcW w:w="875" w:type="dxa"/>
            <w:noWrap/>
            <w:hideMark/>
          </w:tcPr>
          <w:p w14:paraId="65B59E4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0,32%</w:t>
            </w:r>
          </w:p>
        </w:tc>
        <w:tc>
          <w:tcPr>
            <w:tcW w:w="0" w:type="auto"/>
            <w:noWrap/>
            <w:hideMark/>
          </w:tcPr>
          <w:p w14:paraId="03868123"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2068</w:t>
            </w:r>
          </w:p>
        </w:tc>
        <w:tc>
          <w:tcPr>
            <w:tcW w:w="0" w:type="auto"/>
            <w:noWrap/>
            <w:hideMark/>
          </w:tcPr>
          <w:p w14:paraId="5A14BFAE"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0,36%</w:t>
            </w:r>
          </w:p>
        </w:tc>
        <w:tc>
          <w:tcPr>
            <w:tcW w:w="0" w:type="auto"/>
            <w:noWrap/>
            <w:hideMark/>
          </w:tcPr>
          <w:p w14:paraId="690A573E"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37466</w:t>
            </w:r>
          </w:p>
        </w:tc>
        <w:tc>
          <w:tcPr>
            <w:tcW w:w="0" w:type="auto"/>
            <w:noWrap/>
            <w:hideMark/>
          </w:tcPr>
          <w:p w14:paraId="4CC1C7F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0,54%</w:t>
            </w:r>
          </w:p>
        </w:tc>
      </w:tr>
      <w:tr w:rsidR="00812DEE" w:rsidRPr="00302170" w14:paraId="41D3D7C2"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400752"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Bouwnijverheid</w:t>
            </w:r>
          </w:p>
        </w:tc>
        <w:tc>
          <w:tcPr>
            <w:tcW w:w="0" w:type="auto"/>
            <w:noWrap/>
            <w:hideMark/>
          </w:tcPr>
          <w:p w14:paraId="4465A7BC"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3767</w:t>
            </w:r>
          </w:p>
        </w:tc>
        <w:tc>
          <w:tcPr>
            <w:tcW w:w="875" w:type="dxa"/>
            <w:noWrap/>
            <w:hideMark/>
          </w:tcPr>
          <w:p w14:paraId="0AE0B410"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6,93%</w:t>
            </w:r>
          </w:p>
        </w:tc>
        <w:tc>
          <w:tcPr>
            <w:tcW w:w="0" w:type="auto"/>
            <w:noWrap/>
            <w:hideMark/>
          </w:tcPr>
          <w:p w14:paraId="6968785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39534</w:t>
            </w:r>
          </w:p>
        </w:tc>
        <w:tc>
          <w:tcPr>
            <w:tcW w:w="0" w:type="auto"/>
            <w:noWrap/>
            <w:hideMark/>
          </w:tcPr>
          <w:p w14:paraId="67DD9A1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6,82%</w:t>
            </w:r>
          </w:p>
        </w:tc>
        <w:tc>
          <w:tcPr>
            <w:tcW w:w="0" w:type="auto"/>
            <w:noWrap/>
            <w:hideMark/>
          </w:tcPr>
          <w:p w14:paraId="3B6D4131"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456992</w:t>
            </w:r>
          </w:p>
        </w:tc>
        <w:tc>
          <w:tcPr>
            <w:tcW w:w="0" w:type="auto"/>
            <w:noWrap/>
            <w:hideMark/>
          </w:tcPr>
          <w:p w14:paraId="696AD0A9"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6,62%</w:t>
            </w:r>
          </w:p>
        </w:tc>
      </w:tr>
      <w:tr w:rsidR="00812DEE" w:rsidRPr="00302170" w14:paraId="02976E93"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090AAF"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Handel</w:t>
            </w:r>
          </w:p>
        </w:tc>
        <w:tc>
          <w:tcPr>
            <w:tcW w:w="0" w:type="auto"/>
            <w:noWrap/>
            <w:hideMark/>
          </w:tcPr>
          <w:p w14:paraId="30EBDA47"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10581</w:t>
            </w:r>
          </w:p>
        </w:tc>
        <w:tc>
          <w:tcPr>
            <w:tcW w:w="875" w:type="dxa"/>
            <w:noWrap/>
            <w:hideMark/>
          </w:tcPr>
          <w:p w14:paraId="6321B5A0"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19,48%</w:t>
            </w:r>
          </w:p>
        </w:tc>
        <w:tc>
          <w:tcPr>
            <w:tcW w:w="0" w:type="auto"/>
            <w:noWrap/>
            <w:hideMark/>
          </w:tcPr>
          <w:p w14:paraId="1F41A12E"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94534</w:t>
            </w:r>
          </w:p>
        </w:tc>
        <w:tc>
          <w:tcPr>
            <w:tcW w:w="0" w:type="auto"/>
            <w:noWrap/>
            <w:hideMark/>
          </w:tcPr>
          <w:p w14:paraId="33D12453"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16,31%</w:t>
            </w:r>
          </w:p>
        </w:tc>
        <w:tc>
          <w:tcPr>
            <w:tcW w:w="0" w:type="auto"/>
            <w:noWrap/>
            <w:hideMark/>
          </w:tcPr>
          <w:p w14:paraId="796B49F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1091432</w:t>
            </w:r>
          </w:p>
        </w:tc>
        <w:tc>
          <w:tcPr>
            <w:tcW w:w="0" w:type="auto"/>
            <w:noWrap/>
            <w:hideMark/>
          </w:tcPr>
          <w:p w14:paraId="24022D7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15,81%</w:t>
            </w:r>
          </w:p>
        </w:tc>
      </w:tr>
      <w:tr w:rsidR="00812DEE" w:rsidRPr="00302170" w14:paraId="47F01C7D"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79BB4C"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Vervoer en opslag</w:t>
            </w:r>
          </w:p>
        </w:tc>
        <w:tc>
          <w:tcPr>
            <w:tcW w:w="0" w:type="auto"/>
            <w:noWrap/>
            <w:hideMark/>
          </w:tcPr>
          <w:p w14:paraId="07130771"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1555</w:t>
            </w:r>
          </w:p>
        </w:tc>
        <w:tc>
          <w:tcPr>
            <w:tcW w:w="875" w:type="dxa"/>
            <w:noWrap/>
            <w:hideMark/>
          </w:tcPr>
          <w:p w14:paraId="00112056"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2,86%</w:t>
            </w:r>
          </w:p>
        </w:tc>
        <w:tc>
          <w:tcPr>
            <w:tcW w:w="0" w:type="auto"/>
            <w:noWrap/>
            <w:hideMark/>
          </w:tcPr>
          <w:p w14:paraId="2C12207E"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21566</w:t>
            </w:r>
          </w:p>
        </w:tc>
        <w:tc>
          <w:tcPr>
            <w:tcW w:w="0" w:type="auto"/>
            <w:noWrap/>
            <w:hideMark/>
          </w:tcPr>
          <w:p w14:paraId="4E755CE1"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3,72%</w:t>
            </w:r>
          </w:p>
        </w:tc>
        <w:tc>
          <w:tcPr>
            <w:tcW w:w="0" w:type="auto"/>
            <w:noWrap/>
            <w:hideMark/>
          </w:tcPr>
          <w:p w14:paraId="0778F72D"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359608</w:t>
            </w:r>
          </w:p>
        </w:tc>
        <w:tc>
          <w:tcPr>
            <w:tcW w:w="0" w:type="auto"/>
            <w:noWrap/>
            <w:hideMark/>
          </w:tcPr>
          <w:p w14:paraId="46AF2375"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5,21%</w:t>
            </w:r>
          </w:p>
        </w:tc>
      </w:tr>
      <w:tr w:rsidR="00812DEE" w:rsidRPr="00302170" w14:paraId="3842A847"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81D135"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Horeca</w:t>
            </w:r>
          </w:p>
        </w:tc>
        <w:tc>
          <w:tcPr>
            <w:tcW w:w="0" w:type="auto"/>
            <w:noWrap/>
            <w:hideMark/>
          </w:tcPr>
          <w:p w14:paraId="4C43CA60"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1603</w:t>
            </w:r>
          </w:p>
        </w:tc>
        <w:tc>
          <w:tcPr>
            <w:tcW w:w="875" w:type="dxa"/>
            <w:noWrap/>
            <w:hideMark/>
          </w:tcPr>
          <w:p w14:paraId="5FB7A2D5"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2,95%</w:t>
            </w:r>
          </w:p>
        </w:tc>
        <w:tc>
          <w:tcPr>
            <w:tcW w:w="0" w:type="auto"/>
            <w:noWrap/>
            <w:hideMark/>
          </w:tcPr>
          <w:p w14:paraId="22EEBD0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15176</w:t>
            </w:r>
          </w:p>
        </w:tc>
        <w:tc>
          <w:tcPr>
            <w:tcW w:w="0" w:type="auto"/>
            <w:noWrap/>
            <w:hideMark/>
          </w:tcPr>
          <w:p w14:paraId="3BD7058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2,62%</w:t>
            </w:r>
          </w:p>
        </w:tc>
        <w:tc>
          <w:tcPr>
            <w:tcW w:w="0" w:type="auto"/>
            <w:noWrap/>
            <w:hideMark/>
          </w:tcPr>
          <w:p w14:paraId="42FC8854"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215800</w:t>
            </w:r>
          </w:p>
        </w:tc>
        <w:tc>
          <w:tcPr>
            <w:tcW w:w="0" w:type="auto"/>
            <w:noWrap/>
            <w:hideMark/>
          </w:tcPr>
          <w:p w14:paraId="6D06C864"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3,13%</w:t>
            </w:r>
          </w:p>
        </w:tc>
      </w:tr>
      <w:tr w:rsidR="00812DEE" w:rsidRPr="00302170" w14:paraId="43438CD8"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3E80AF"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Informatie en Communicatie</w:t>
            </w:r>
          </w:p>
        </w:tc>
        <w:tc>
          <w:tcPr>
            <w:tcW w:w="0" w:type="auto"/>
            <w:noWrap/>
            <w:hideMark/>
          </w:tcPr>
          <w:p w14:paraId="28DBB210"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2146</w:t>
            </w:r>
          </w:p>
        </w:tc>
        <w:tc>
          <w:tcPr>
            <w:tcW w:w="875" w:type="dxa"/>
            <w:noWrap/>
            <w:hideMark/>
          </w:tcPr>
          <w:p w14:paraId="0F4AC64A"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3,95%</w:t>
            </w:r>
          </w:p>
        </w:tc>
        <w:tc>
          <w:tcPr>
            <w:tcW w:w="0" w:type="auto"/>
            <w:noWrap/>
            <w:hideMark/>
          </w:tcPr>
          <w:p w14:paraId="42A5BA62"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42768</w:t>
            </w:r>
          </w:p>
        </w:tc>
        <w:tc>
          <w:tcPr>
            <w:tcW w:w="0" w:type="auto"/>
            <w:noWrap/>
            <w:hideMark/>
          </w:tcPr>
          <w:p w14:paraId="6AEC0F9A"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7,38%</w:t>
            </w:r>
          </w:p>
        </w:tc>
        <w:tc>
          <w:tcPr>
            <w:tcW w:w="0" w:type="auto"/>
            <w:noWrap/>
            <w:hideMark/>
          </w:tcPr>
          <w:p w14:paraId="7D1F642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240228</w:t>
            </w:r>
          </w:p>
        </w:tc>
        <w:tc>
          <w:tcPr>
            <w:tcW w:w="0" w:type="auto"/>
            <w:noWrap/>
            <w:hideMark/>
          </w:tcPr>
          <w:p w14:paraId="38522ADF"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3,48%</w:t>
            </w:r>
          </w:p>
        </w:tc>
      </w:tr>
      <w:tr w:rsidR="00812DEE" w:rsidRPr="00302170" w14:paraId="1C443A86"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7F2086"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Financiële instellingen</w:t>
            </w:r>
          </w:p>
        </w:tc>
        <w:tc>
          <w:tcPr>
            <w:tcW w:w="0" w:type="auto"/>
            <w:noWrap/>
            <w:hideMark/>
          </w:tcPr>
          <w:p w14:paraId="550F774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415</w:t>
            </w:r>
          </w:p>
        </w:tc>
        <w:tc>
          <w:tcPr>
            <w:tcW w:w="875" w:type="dxa"/>
            <w:noWrap/>
            <w:hideMark/>
          </w:tcPr>
          <w:p w14:paraId="4D603E14"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0,76%</w:t>
            </w:r>
          </w:p>
        </w:tc>
        <w:tc>
          <w:tcPr>
            <w:tcW w:w="0" w:type="auto"/>
            <w:noWrap/>
            <w:hideMark/>
          </w:tcPr>
          <w:p w14:paraId="003A6A33"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30488</w:t>
            </w:r>
          </w:p>
        </w:tc>
        <w:tc>
          <w:tcPr>
            <w:tcW w:w="0" w:type="auto"/>
            <w:noWrap/>
            <w:hideMark/>
          </w:tcPr>
          <w:p w14:paraId="5C08CD57"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5,26%</w:t>
            </w:r>
          </w:p>
        </w:tc>
        <w:tc>
          <w:tcPr>
            <w:tcW w:w="0" w:type="auto"/>
            <w:noWrap/>
            <w:hideMark/>
          </w:tcPr>
          <w:p w14:paraId="58BA5FE4"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224764</w:t>
            </w:r>
          </w:p>
        </w:tc>
        <w:tc>
          <w:tcPr>
            <w:tcW w:w="0" w:type="auto"/>
            <w:noWrap/>
            <w:hideMark/>
          </w:tcPr>
          <w:p w14:paraId="00FD9B87"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3,26%</w:t>
            </w:r>
          </w:p>
        </w:tc>
      </w:tr>
      <w:tr w:rsidR="00812DEE" w:rsidRPr="00302170" w14:paraId="3EF92002"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85EE2B"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Onroerend Goed</w:t>
            </w:r>
          </w:p>
        </w:tc>
        <w:tc>
          <w:tcPr>
            <w:tcW w:w="0" w:type="auto"/>
            <w:noWrap/>
            <w:hideMark/>
          </w:tcPr>
          <w:p w14:paraId="2D0E8B2D"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616</w:t>
            </w:r>
          </w:p>
        </w:tc>
        <w:tc>
          <w:tcPr>
            <w:tcW w:w="875" w:type="dxa"/>
            <w:noWrap/>
            <w:hideMark/>
          </w:tcPr>
          <w:p w14:paraId="21FE0B3D"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1,13%</w:t>
            </w:r>
          </w:p>
        </w:tc>
        <w:tc>
          <w:tcPr>
            <w:tcW w:w="0" w:type="auto"/>
            <w:noWrap/>
            <w:hideMark/>
          </w:tcPr>
          <w:p w14:paraId="2A01EE3D"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4839</w:t>
            </w:r>
          </w:p>
        </w:tc>
        <w:tc>
          <w:tcPr>
            <w:tcW w:w="0" w:type="auto"/>
            <w:noWrap/>
            <w:hideMark/>
          </w:tcPr>
          <w:p w14:paraId="271D742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0,83%</w:t>
            </w:r>
          </w:p>
        </w:tc>
        <w:tc>
          <w:tcPr>
            <w:tcW w:w="0" w:type="auto"/>
            <w:noWrap/>
            <w:hideMark/>
          </w:tcPr>
          <w:p w14:paraId="2FFDB56A"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64280</w:t>
            </w:r>
          </w:p>
        </w:tc>
        <w:tc>
          <w:tcPr>
            <w:tcW w:w="0" w:type="auto"/>
            <w:noWrap/>
            <w:hideMark/>
          </w:tcPr>
          <w:p w14:paraId="332574A8"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0,93%</w:t>
            </w:r>
          </w:p>
        </w:tc>
      </w:tr>
      <w:tr w:rsidR="00812DEE" w:rsidRPr="00302170" w14:paraId="60D3B9FC"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4DB16F"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Specialistische zakelijke dienstverlening</w:t>
            </w:r>
          </w:p>
        </w:tc>
        <w:tc>
          <w:tcPr>
            <w:tcW w:w="0" w:type="auto"/>
            <w:noWrap/>
            <w:hideMark/>
          </w:tcPr>
          <w:p w14:paraId="1D9CDED2"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5260</w:t>
            </w:r>
          </w:p>
        </w:tc>
        <w:tc>
          <w:tcPr>
            <w:tcW w:w="875" w:type="dxa"/>
            <w:noWrap/>
            <w:hideMark/>
          </w:tcPr>
          <w:p w14:paraId="261CDC8E"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9,68%</w:t>
            </w:r>
          </w:p>
        </w:tc>
        <w:tc>
          <w:tcPr>
            <w:tcW w:w="0" w:type="auto"/>
            <w:noWrap/>
            <w:hideMark/>
          </w:tcPr>
          <w:p w14:paraId="3C460B41"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67981</w:t>
            </w:r>
          </w:p>
        </w:tc>
        <w:tc>
          <w:tcPr>
            <w:tcW w:w="0" w:type="auto"/>
            <w:noWrap/>
            <w:hideMark/>
          </w:tcPr>
          <w:p w14:paraId="662A8405"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11,73%</w:t>
            </w:r>
          </w:p>
        </w:tc>
        <w:tc>
          <w:tcPr>
            <w:tcW w:w="0" w:type="auto"/>
            <w:noWrap/>
            <w:hideMark/>
          </w:tcPr>
          <w:p w14:paraId="081791A1"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632707</w:t>
            </w:r>
          </w:p>
        </w:tc>
        <w:tc>
          <w:tcPr>
            <w:tcW w:w="0" w:type="auto"/>
            <w:noWrap/>
            <w:hideMark/>
          </w:tcPr>
          <w:p w14:paraId="0B3A90D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9,17%</w:t>
            </w:r>
          </w:p>
        </w:tc>
      </w:tr>
      <w:tr w:rsidR="00812DEE" w:rsidRPr="00302170" w14:paraId="5B244A11"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92DAA1"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Verhuur,overige zakelijke dienstverlening</w:t>
            </w:r>
          </w:p>
        </w:tc>
        <w:tc>
          <w:tcPr>
            <w:tcW w:w="0" w:type="auto"/>
            <w:noWrap/>
            <w:hideMark/>
          </w:tcPr>
          <w:p w14:paraId="5DDA2369"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2051</w:t>
            </w:r>
          </w:p>
        </w:tc>
        <w:tc>
          <w:tcPr>
            <w:tcW w:w="875" w:type="dxa"/>
            <w:noWrap/>
            <w:hideMark/>
          </w:tcPr>
          <w:p w14:paraId="148D5395"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3,78%</w:t>
            </w:r>
          </w:p>
        </w:tc>
        <w:tc>
          <w:tcPr>
            <w:tcW w:w="0" w:type="auto"/>
            <w:noWrap/>
            <w:hideMark/>
          </w:tcPr>
          <w:p w14:paraId="0CCC25D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21265</w:t>
            </w:r>
          </w:p>
        </w:tc>
        <w:tc>
          <w:tcPr>
            <w:tcW w:w="0" w:type="auto"/>
            <w:noWrap/>
            <w:hideMark/>
          </w:tcPr>
          <w:p w14:paraId="0ED4711D"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3,67%</w:t>
            </w:r>
          </w:p>
        </w:tc>
        <w:tc>
          <w:tcPr>
            <w:tcW w:w="0" w:type="auto"/>
            <w:noWrap/>
            <w:hideMark/>
          </w:tcPr>
          <w:p w14:paraId="07042E5F"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312683</w:t>
            </w:r>
          </w:p>
        </w:tc>
        <w:tc>
          <w:tcPr>
            <w:tcW w:w="0" w:type="auto"/>
            <w:noWrap/>
            <w:hideMark/>
          </w:tcPr>
          <w:p w14:paraId="467394E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4,53%</w:t>
            </w:r>
          </w:p>
        </w:tc>
      </w:tr>
      <w:tr w:rsidR="00812DEE" w:rsidRPr="00302170" w14:paraId="44017CE4"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3A5A73"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Overheidsdiensten</w:t>
            </w:r>
          </w:p>
        </w:tc>
        <w:tc>
          <w:tcPr>
            <w:tcW w:w="0" w:type="auto"/>
            <w:noWrap/>
            <w:hideMark/>
          </w:tcPr>
          <w:p w14:paraId="4BACB34F"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5289</w:t>
            </w:r>
          </w:p>
        </w:tc>
        <w:tc>
          <w:tcPr>
            <w:tcW w:w="875" w:type="dxa"/>
            <w:noWrap/>
            <w:hideMark/>
          </w:tcPr>
          <w:p w14:paraId="3B67CD1E"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9,74%</w:t>
            </w:r>
          </w:p>
        </w:tc>
        <w:tc>
          <w:tcPr>
            <w:tcW w:w="0" w:type="auto"/>
            <w:noWrap/>
            <w:hideMark/>
          </w:tcPr>
          <w:p w14:paraId="1834D590"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37576</w:t>
            </w:r>
          </w:p>
        </w:tc>
        <w:tc>
          <w:tcPr>
            <w:tcW w:w="0" w:type="auto"/>
            <w:noWrap/>
            <w:hideMark/>
          </w:tcPr>
          <w:p w14:paraId="3DF1AABD"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6,48%</w:t>
            </w:r>
          </w:p>
        </w:tc>
        <w:tc>
          <w:tcPr>
            <w:tcW w:w="0" w:type="auto"/>
            <w:noWrap/>
            <w:hideMark/>
          </w:tcPr>
          <w:p w14:paraId="7B2FDBB0"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427729</w:t>
            </w:r>
          </w:p>
        </w:tc>
        <w:tc>
          <w:tcPr>
            <w:tcW w:w="0" w:type="auto"/>
            <w:noWrap/>
            <w:hideMark/>
          </w:tcPr>
          <w:p w14:paraId="760BF6A1"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6,20%</w:t>
            </w:r>
          </w:p>
        </w:tc>
      </w:tr>
      <w:tr w:rsidR="00812DEE" w:rsidRPr="00302170" w14:paraId="7964C2E2"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212128"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Onderwijs</w:t>
            </w:r>
          </w:p>
        </w:tc>
        <w:tc>
          <w:tcPr>
            <w:tcW w:w="0" w:type="auto"/>
            <w:noWrap/>
            <w:hideMark/>
          </w:tcPr>
          <w:p w14:paraId="7A01A55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3704</w:t>
            </w:r>
          </w:p>
        </w:tc>
        <w:tc>
          <w:tcPr>
            <w:tcW w:w="875" w:type="dxa"/>
            <w:noWrap/>
            <w:hideMark/>
          </w:tcPr>
          <w:p w14:paraId="2C30E215"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6,82%</w:t>
            </w:r>
          </w:p>
        </w:tc>
        <w:tc>
          <w:tcPr>
            <w:tcW w:w="0" w:type="auto"/>
            <w:noWrap/>
            <w:hideMark/>
          </w:tcPr>
          <w:p w14:paraId="6A5E139F"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45365</w:t>
            </w:r>
          </w:p>
        </w:tc>
        <w:tc>
          <w:tcPr>
            <w:tcW w:w="0" w:type="auto"/>
            <w:noWrap/>
            <w:hideMark/>
          </w:tcPr>
          <w:p w14:paraId="3623AC5B"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7,83%</w:t>
            </w:r>
          </w:p>
        </w:tc>
        <w:tc>
          <w:tcPr>
            <w:tcW w:w="0" w:type="auto"/>
            <w:noWrap/>
            <w:hideMark/>
          </w:tcPr>
          <w:p w14:paraId="1197E0A0"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485445</w:t>
            </w:r>
          </w:p>
        </w:tc>
        <w:tc>
          <w:tcPr>
            <w:tcW w:w="0" w:type="auto"/>
            <w:noWrap/>
            <w:hideMark/>
          </w:tcPr>
          <w:p w14:paraId="0A910B22"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7,03%</w:t>
            </w:r>
          </w:p>
        </w:tc>
      </w:tr>
      <w:tr w:rsidR="00812DEE" w:rsidRPr="00302170" w14:paraId="6AD0ED0D"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954666"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Zorg</w:t>
            </w:r>
          </w:p>
        </w:tc>
        <w:tc>
          <w:tcPr>
            <w:tcW w:w="0" w:type="auto"/>
            <w:noWrap/>
            <w:hideMark/>
          </w:tcPr>
          <w:p w14:paraId="5EBA78E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7646</w:t>
            </w:r>
          </w:p>
        </w:tc>
        <w:tc>
          <w:tcPr>
            <w:tcW w:w="875" w:type="dxa"/>
            <w:noWrap/>
            <w:hideMark/>
          </w:tcPr>
          <w:p w14:paraId="32BD9C40"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14,08%</w:t>
            </w:r>
          </w:p>
        </w:tc>
        <w:tc>
          <w:tcPr>
            <w:tcW w:w="0" w:type="auto"/>
            <w:noWrap/>
            <w:hideMark/>
          </w:tcPr>
          <w:p w14:paraId="2F2004AA"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85588</w:t>
            </w:r>
          </w:p>
        </w:tc>
        <w:tc>
          <w:tcPr>
            <w:tcW w:w="0" w:type="auto"/>
            <w:noWrap/>
            <w:hideMark/>
          </w:tcPr>
          <w:p w14:paraId="7A5FB72F"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14,77%</w:t>
            </w:r>
          </w:p>
        </w:tc>
        <w:tc>
          <w:tcPr>
            <w:tcW w:w="0" w:type="auto"/>
            <w:noWrap/>
            <w:hideMark/>
          </w:tcPr>
          <w:p w14:paraId="45038694"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1073322</w:t>
            </w:r>
          </w:p>
        </w:tc>
        <w:tc>
          <w:tcPr>
            <w:tcW w:w="0" w:type="auto"/>
            <w:noWrap/>
            <w:hideMark/>
          </w:tcPr>
          <w:p w14:paraId="334EA306"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15,55%</w:t>
            </w:r>
          </w:p>
        </w:tc>
      </w:tr>
      <w:tr w:rsidR="00812DEE" w:rsidRPr="00302170" w14:paraId="02D6F686"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22FDB0"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Cultuur, sport en recreatie</w:t>
            </w:r>
          </w:p>
        </w:tc>
        <w:tc>
          <w:tcPr>
            <w:tcW w:w="0" w:type="auto"/>
            <w:noWrap/>
            <w:hideMark/>
          </w:tcPr>
          <w:p w14:paraId="156B2D6B"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1030</w:t>
            </w:r>
          </w:p>
        </w:tc>
        <w:tc>
          <w:tcPr>
            <w:tcW w:w="875" w:type="dxa"/>
            <w:noWrap/>
            <w:hideMark/>
          </w:tcPr>
          <w:p w14:paraId="4BBA2BAD"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1,90%</w:t>
            </w:r>
          </w:p>
        </w:tc>
        <w:tc>
          <w:tcPr>
            <w:tcW w:w="0" w:type="auto"/>
            <w:noWrap/>
            <w:hideMark/>
          </w:tcPr>
          <w:p w14:paraId="402A6277"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11789</w:t>
            </w:r>
          </w:p>
        </w:tc>
        <w:tc>
          <w:tcPr>
            <w:tcW w:w="0" w:type="auto"/>
            <w:noWrap/>
            <w:hideMark/>
          </w:tcPr>
          <w:p w14:paraId="3510482C"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2,03%</w:t>
            </w:r>
          </w:p>
        </w:tc>
        <w:tc>
          <w:tcPr>
            <w:tcW w:w="0" w:type="auto"/>
            <w:noWrap/>
            <w:hideMark/>
          </w:tcPr>
          <w:p w14:paraId="4CAD8AC3"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135096</w:t>
            </w:r>
          </w:p>
        </w:tc>
        <w:tc>
          <w:tcPr>
            <w:tcW w:w="0" w:type="auto"/>
            <w:noWrap/>
            <w:hideMark/>
          </w:tcPr>
          <w:p w14:paraId="38B13F52"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1,96%</w:t>
            </w:r>
          </w:p>
        </w:tc>
      </w:tr>
      <w:tr w:rsidR="00812DEE" w:rsidRPr="00302170" w14:paraId="02EAEC4D" w14:textId="77777777" w:rsidTr="00812DEE">
        <w:trPr>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BC1BF8"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Overige dienstverlening</w:t>
            </w:r>
          </w:p>
        </w:tc>
        <w:tc>
          <w:tcPr>
            <w:tcW w:w="0" w:type="auto"/>
            <w:noWrap/>
            <w:hideMark/>
          </w:tcPr>
          <w:p w14:paraId="4A89AFC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1435</w:t>
            </w:r>
          </w:p>
        </w:tc>
        <w:tc>
          <w:tcPr>
            <w:tcW w:w="875" w:type="dxa"/>
            <w:noWrap/>
            <w:hideMark/>
          </w:tcPr>
          <w:p w14:paraId="1F29E025"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2,64%</w:t>
            </w:r>
          </w:p>
        </w:tc>
        <w:tc>
          <w:tcPr>
            <w:tcW w:w="0" w:type="auto"/>
            <w:noWrap/>
            <w:hideMark/>
          </w:tcPr>
          <w:p w14:paraId="2488BB18"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16472</w:t>
            </w:r>
          </w:p>
        </w:tc>
        <w:tc>
          <w:tcPr>
            <w:tcW w:w="0" w:type="auto"/>
            <w:noWrap/>
            <w:hideMark/>
          </w:tcPr>
          <w:p w14:paraId="2C7E3E6B"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2,84%</w:t>
            </w:r>
          </w:p>
        </w:tc>
        <w:tc>
          <w:tcPr>
            <w:tcW w:w="0" w:type="auto"/>
            <w:noWrap/>
            <w:hideMark/>
          </w:tcPr>
          <w:p w14:paraId="022D5947"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143098</w:t>
            </w:r>
          </w:p>
        </w:tc>
        <w:tc>
          <w:tcPr>
            <w:tcW w:w="0" w:type="auto"/>
            <w:noWrap/>
            <w:hideMark/>
          </w:tcPr>
          <w:p w14:paraId="20C6BA6F" w14:textId="77777777" w:rsidR="00812DEE" w:rsidRPr="00302170" w:rsidRDefault="00812DEE" w:rsidP="00812DE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2,07%</w:t>
            </w:r>
          </w:p>
        </w:tc>
      </w:tr>
      <w:tr w:rsidR="00812DEE" w:rsidRPr="00302170" w14:paraId="214BE2C4" w14:textId="77777777" w:rsidTr="00812DE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780464" w14:textId="77777777" w:rsidR="00812DEE" w:rsidRPr="00302170" w:rsidRDefault="00812DEE" w:rsidP="00E47779">
            <w:pPr>
              <w:jc w:val="left"/>
              <w:rPr>
                <w:rFonts w:eastAsia="Times New Roman" w:cs="Times New Roman"/>
                <w:sz w:val="16"/>
                <w:szCs w:val="16"/>
              </w:rPr>
            </w:pPr>
            <w:r w:rsidRPr="00302170">
              <w:rPr>
                <w:rFonts w:eastAsia="Times New Roman" w:cs="Times New Roman"/>
                <w:sz w:val="16"/>
                <w:szCs w:val="16"/>
              </w:rPr>
              <w:t>Totaal</w:t>
            </w:r>
          </w:p>
        </w:tc>
        <w:tc>
          <w:tcPr>
            <w:tcW w:w="0" w:type="auto"/>
            <w:noWrap/>
            <w:hideMark/>
          </w:tcPr>
          <w:p w14:paraId="5C4D2F92"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54322</w:t>
            </w:r>
          </w:p>
        </w:tc>
        <w:tc>
          <w:tcPr>
            <w:tcW w:w="875" w:type="dxa"/>
            <w:noWrap/>
            <w:hideMark/>
          </w:tcPr>
          <w:p w14:paraId="1826CA33"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100,00%</w:t>
            </w:r>
          </w:p>
        </w:tc>
        <w:tc>
          <w:tcPr>
            <w:tcW w:w="0" w:type="auto"/>
            <w:noWrap/>
            <w:hideMark/>
          </w:tcPr>
          <w:p w14:paraId="2327CCBD"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579562</w:t>
            </w:r>
          </w:p>
        </w:tc>
        <w:tc>
          <w:tcPr>
            <w:tcW w:w="0" w:type="auto"/>
            <w:noWrap/>
            <w:hideMark/>
          </w:tcPr>
          <w:p w14:paraId="48E629B4"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100,00%</w:t>
            </w:r>
          </w:p>
        </w:tc>
        <w:tc>
          <w:tcPr>
            <w:tcW w:w="0" w:type="auto"/>
            <w:noWrap/>
            <w:hideMark/>
          </w:tcPr>
          <w:p w14:paraId="40DABD53"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6902388</w:t>
            </w:r>
          </w:p>
        </w:tc>
        <w:tc>
          <w:tcPr>
            <w:tcW w:w="0" w:type="auto"/>
            <w:noWrap/>
            <w:hideMark/>
          </w:tcPr>
          <w:p w14:paraId="229DF850" w14:textId="77777777" w:rsidR="00812DEE" w:rsidRPr="00302170" w:rsidRDefault="00812DEE" w:rsidP="00812DE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302170">
              <w:rPr>
                <w:rFonts w:eastAsia="Times New Roman" w:cs="Times New Roman"/>
                <w:color w:val="000000"/>
                <w:sz w:val="16"/>
                <w:szCs w:val="16"/>
              </w:rPr>
              <w:t>10000,00%</w:t>
            </w:r>
          </w:p>
        </w:tc>
      </w:tr>
    </w:tbl>
    <w:p w14:paraId="77473A8A" w14:textId="77777777" w:rsidR="00812DEE" w:rsidRDefault="00812DEE" w:rsidP="00812DEE">
      <w:pPr>
        <w:jc w:val="center"/>
        <w:outlineLvl w:val="0"/>
        <w:rPr>
          <w:rFonts w:ascii="Calibri" w:eastAsia="Times New Roman" w:hAnsi="Calibri" w:cs="Times New Roman"/>
          <w:color w:val="548DD4" w:themeColor="text2" w:themeTint="99"/>
          <w:sz w:val="20"/>
        </w:rPr>
      </w:pPr>
      <w:r>
        <w:rPr>
          <w:rFonts w:ascii="Calibri" w:eastAsia="Times New Roman" w:hAnsi="Calibri" w:cs="Times New Roman"/>
          <w:b/>
          <w:color w:val="548DD4" w:themeColor="text2" w:themeTint="99"/>
          <w:sz w:val="20"/>
        </w:rPr>
        <w:t>Tabel 5.7</w:t>
      </w:r>
      <w:r w:rsidRPr="00302170">
        <w:rPr>
          <w:rFonts w:ascii="Calibri" w:eastAsia="Times New Roman" w:hAnsi="Calibri" w:cs="Times New Roman"/>
          <w:b/>
          <w:color w:val="548DD4" w:themeColor="text2" w:themeTint="99"/>
          <w:sz w:val="20"/>
        </w:rPr>
        <w:t>:</w:t>
      </w:r>
      <w:r w:rsidRPr="00302170">
        <w:rPr>
          <w:rFonts w:ascii="Calibri" w:eastAsia="Times New Roman" w:hAnsi="Calibri" w:cs="Times New Roman"/>
          <w:color w:val="548DD4" w:themeColor="text2" w:themeTint="99"/>
          <w:sz w:val="20"/>
        </w:rPr>
        <w:t xml:space="preserve"> Werkgelegenheid per SBI-sectie in regio Veenendaal in 2012.</w:t>
      </w:r>
    </w:p>
    <w:p w14:paraId="029DA8F6" w14:textId="77777777" w:rsidR="00812DEE" w:rsidRDefault="00812DEE" w:rsidP="00812DEE">
      <w:pPr>
        <w:rPr>
          <w:rFonts w:ascii="Calibri" w:eastAsia="Times New Roman" w:hAnsi="Calibri" w:cs="Times New Roman"/>
        </w:rPr>
      </w:pPr>
    </w:p>
    <w:p w14:paraId="230BE063" w14:textId="77777777" w:rsidR="00812DEE" w:rsidRDefault="00812DEE" w:rsidP="00812DEE">
      <w:pPr>
        <w:rPr>
          <w:rFonts w:ascii="Calibri" w:eastAsia="Times New Roman" w:hAnsi="Calibri" w:cs="Times New Roman"/>
        </w:rPr>
      </w:pPr>
      <w:r w:rsidRPr="00302170">
        <w:rPr>
          <w:rFonts w:ascii="Calibri" w:eastAsia="Times New Roman" w:hAnsi="Calibri" w:cs="Times New Roman"/>
        </w:rPr>
        <w:t xml:space="preserve">De categorie landbouw, bosbouw en visserij is buiten beschouwing gelaten bij groeicijfers, omdat er geen betrouwbare data beschikbaar is voor deze sector van de jaren </w:t>
      </w:r>
      <w:r>
        <w:rPr>
          <w:rFonts w:ascii="Calibri" w:eastAsia="Times New Roman" w:hAnsi="Calibri" w:cs="Times New Roman"/>
        </w:rPr>
        <w:t>tot</w:t>
      </w:r>
      <w:r w:rsidRPr="00302170">
        <w:rPr>
          <w:rFonts w:ascii="Calibri" w:eastAsia="Times New Roman" w:hAnsi="Calibri" w:cs="Times New Roman"/>
        </w:rPr>
        <w:t xml:space="preserve"> 2012. Het winnen van Delfstoffen is een sector die niet bestaat in regio Veenendaal. De energie sector telt in de regio slechts 8 fulltime banen en wor</w:t>
      </w:r>
      <w:r>
        <w:rPr>
          <w:rFonts w:ascii="Calibri" w:eastAsia="Times New Roman" w:hAnsi="Calibri" w:cs="Times New Roman"/>
        </w:rPr>
        <w:t>dt niet behandeld. In tabel 5.8</w:t>
      </w:r>
      <w:r w:rsidRPr="00302170">
        <w:rPr>
          <w:rFonts w:ascii="Calibri" w:eastAsia="Times New Roman" w:hAnsi="Calibri" w:cs="Times New Roman"/>
        </w:rPr>
        <w:t xml:space="preserve"> zijn de groeicijfers over de laatste vijftien jaar te vinden van regio Veenendaal, provincie Utrecht</w:t>
      </w:r>
      <w:r>
        <w:rPr>
          <w:rFonts w:ascii="Calibri" w:eastAsia="Times New Roman" w:hAnsi="Calibri" w:cs="Times New Roman"/>
        </w:rPr>
        <w:t xml:space="preserve"> en van Nederland.</w:t>
      </w:r>
    </w:p>
    <w:p w14:paraId="19ABEEFD" w14:textId="1F5F50C7" w:rsidR="00812DEE" w:rsidRPr="0066767E" w:rsidRDefault="00812DEE" w:rsidP="00765B83">
      <w:pPr>
        <w:pStyle w:val="Heading2"/>
      </w:pPr>
      <w:r>
        <w:br w:type="column"/>
      </w:r>
      <w:r w:rsidR="00856398">
        <w:rPr>
          <w:noProof/>
          <w:lang w:val="en-US" w:eastAsia="en-US"/>
        </w:rPr>
        <mc:AlternateContent>
          <mc:Choice Requires="wps">
            <w:drawing>
              <wp:anchor distT="0" distB="0" distL="114300" distR="114300" simplePos="0" relativeHeight="251671552" behindDoc="0" locked="0" layoutInCell="1" allowOverlap="1" wp14:anchorId="26AA95FF" wp14:editId="794917D9">
                <wp:simplePos x="0" y="0"/>
                <wp:positionH relativeFrom="column">
                  <wp:posOffset>1422400</wp:posOffset>
                </wp:positionH>
                <wp:positionV relativeFrom="paragraph">
                  <wp:posOffset>3492500</wp:posOffset>
                </wp:positionV>
                <wp:extent cx="5270500" cy="571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rot="5400000">
                          <a:off x="0" y="0"/>
                          <a:ext cx="5270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BEEAF" w14:textId="77777777" w:rsidR="00E01C36" w:rsidRPr="00915716" w:rsidRDefault="00E01C36" w:rsidP="00856398">
                            <w:pPr>
                              <w:jc w:val="center"/>
                              <w:rPr>
                                <w:color w:val="548DD4" w:themeColor="text2" w:themeTint="99"/>
                                <w:sz w:val="20"/>
                                <w:szCs w:val="20"/>
                              </w:rPr>
                            </w:pPr>
                            <w:r w:rsidRPr="00DE3990">
                              <w:rPr>
                                <w:b/>
                                <w:color w:val="548DD4" w:themeColor="text2" w:themeTint="99"/>
                                <w:sz w:val="20"/>
                                <w:szCs w:val="20"/>
                              </w:rPr>
                              <w:t>Tabel 4</w:t>
                            </w:r>
                            <w:r>
                              <w:rPr>
                                <w:b/>
                                <w:color w:val="548DD4" w:themeColor="text2" w:themeTint="99"/>
                                <w:sz w:val="20"/>
                                <w:szCs w:val="20"/>
                              </w:rPr>
                              <w:t>.8</w:t>
                            </w:r>
                            <w:r w:rsidRPr="00DE3990">
                              <w:rPr>
                                <w:b/>
                                <w:color w:val="548DD4" w:themeColor="text2" w:themeTint="99"/>
                                <w:sz w:val="20"/>
                                <w:szCs w:val="20"/>
                              </w:rPr>
                              <w:t>:</w:t>
                            </w:r>
                            <w:r w:rsidRPr="00DE3990">
                              <w:rPr>
                                <w:color w:val="548DD4" w:themeColor="text2" w:themeTint="99"/>
                                <w:sz w:val="20"/>
                                <w:szCs w:val="20"/>
                              </w:rPr>
                              <w:t xml:space="preserve"> Groeicijfers van werkgelegenheid per vijf jaar tussen 1997 en 2012 in regio Veenendaal, provincie Utrecht en Nederland</w:t>
                            </w:r>
                          </w:p>
                          <w:p w14:paraId="3B008E49" w14:textId="77777777" w:rsidR="00E01C36" w:rsidRPr="00AD2C1E" w:rsidRDefault="00E01C36" w:rsidP="00856398">
                            <w:pPr>
                              <w:rPr>
                                <w:color w:val="4F81BD" w:themeColor="accent1"/>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left:0;text-align:left;margin-left:112pt;margin-top:275pt;width:415pt;height:45pt;rotation:90;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" filled="f" stroked="f">
                <v:textbox>
                  <w:txbxContent>
                    <w:p w14:paraId="6BFBEEAF" w14:textId="77777777" w:rsidR="00835DBC" w:rsidRPr="00915716" w:rsidRDefault="00835DBC" w:rsidP="00856398">
                      <w:pPr>
                        <w:jc w:val="center"/>
                        <w:rPr>
                          <w:color w:val="548DD4" w:themeColor="text2" w:themeTint="99"/>
                          <w:sz w:val="20"/>
                          <w:szCs w:val="20"/>
                        </w:rPr>
                      </w:pPr>
                      <w:r w:rsidRPr="00DE3990">
                        <w:rPr>
                          <w:b/>
                          <w:color w:val="548DD4" w:themeColor="text2" w:themeTint="99"/>
                          <w:sz w:val="20"/>
                          <w:szCs w:val="20"/>
                        </w:rPr>
                        <w:t>Tabel 4</w:t>
                      </w:r>
                      <w:r>
                        <w:rPr>
                          <w:b/>
                          <w:color w:val="548DD4" w:themeColor="text2" w:themeTint="99"/>
                          <w:sz w:val="20"/>
                          <w:szCs w:val="20"/>
                        </w:rPr>
                        <w:t>.8</w:t>
                      </w:r>
                      <w:r w:rsidRPr="00DE3990">
                        <w:rPr>
                          <w:b/>
                          <w:color w:val="548DD4" w:themeColor="text2" w:themeTint="99"/>
                          <w:sz w:val="20"/>
                          <w:szCs w:val="20"/>
                        </w:rPr>
                        <w:t>:</w:t>
                      </w:r>
                      <w:r w:rsidRPr="00DE3990">
                        <w:rPr>
                          <w:color w:val="548DD4" w:themeColor="text2" w:themeTint="99"/>
                          <w:sz w:val="20"/>
                          <w:szCs w:val="20"/>
                        </w:rPr>
                        <w:t xml:space="preserve"> Groeicijfers van werkgelegenheid per vijf jaar tussen 1997 en 2012 in regio Veenendaal, provincie Utrecht en Nederland</w:t>
                      </w:r>
                    </w:p>
                    <w:p w14:paraId="3B008E49" w14:textId="77777777" w:rsidR="00835DBC" w:rsidRPr="00AD2C1E" w:rsidRDefault="00835DBC" w:rsidP="00856398">
                      <w:pPr>
                        <w:rPr>
                          <w:color w:val="4F81BD" w:themeColor="accent1"/>
                          <w:sz w:val="20"/>
                          <w:szCs w:val="20"/>
                        </w:rPr>
                      </w:pPr>
                    </w:p>
                  </w:txbxContent>
                </v:textbox>
                <w10:wrap type="square"/>
              </v:shape>
            </w:pict>
          </mc:Fallback>
        </mc:AlternateContent>
      </w:r>
      <w:r>
        <w:rPr>
          <w:noProof/>
          <w:lang w:val="en-US" w:eastAsia="en-US"/>
        </w:rPr>
        <w:drawing>
          <wp:anchor distT="0" distB="0" distL="114300" distR="114300" simplePos="0" relativeHeight="251669504" behindDoc="0" locked="0" layoutInCell="1" allowOverlap="1" wp14:anchorId="085EA941" wp14:editId="1A272D27">
            <wp:simplePos x="0" y="0"/>
            <wp:positionH relativeFrom="column">
              <wp:posOffset>-2762250</wp:posOffset>
            </wp:positionH>
            <wp:positionV relativeFrom="paragraph">
              <wp:posOffset>2533650</wp:posOffset>
            </wp:positionV>
            <wp:extent cx="9060180" cy="3078480"/>
            <wp:effectExtent l="0" t="6350" r="1270" b="127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9060180" cy="307848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Pr="00302170">
        <w:t>Landbouw, bosbouw en visserij</w:t>
      </w:r>
    </w:p>
    <w:p w14:paraId="29D0DF82" w14:textId="70AD3AA2"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In regio Veenendaal wordt er voornamelijk landbouw gepleegd aan de randen van de Utrechtse Heuvelrug en in het gebied ten Noorden van de Lek. De sector heeft een vrijwel even groot aandeel in de werkgelegenheid als in de rest van het land. Als er vergeleken wordt met provincie Utrecht, is de sector echter 76% groter dan in de rest van de provincie. Dit komt voornamelijk doordat de rest van de provincie sterk verstedelijkt is en er daarom veel banen in diensteneconomie zijn. In Ede-Wageningen zijn relatief meer mensen werkzaam in deze sector. Een zeer groot deel van gemeente Ede bestaat uit het nationaal park de Hoge Veluwe, waar</w:t>
      </w:r>
      <w:r w:rsidR="00765B83">
        <w:rPr>
          <w:rFonts w:ascii="Calibri" w:eastAsia="Times New Roman" w:hAnsi="Calibri" w:cs="Times New Roman"/>
        </w:rPr>
        <w:t xml:space="preserve"> veel aan bosbouw wordt gedaan.</w:t>
      </w:r>
    </w:p>
    <w:p w14:paraId="4D1B41E3" w14:textId="77777777" w:rsidR="00812DEE" w:rsidRPr="00302170" w:rsidRDefault="00812DEE" w:rsidP="00765B83">
      <w:pPr>
        <w:pStyle w:val="Heading2"/>
      </w:pPr>
      <w:r w:rsidRPr="00302170">
        <w:t>Industrie</w:t>
      </w:r>
    </w:p>
    <w:p w14:paraId="29BB7C21"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Ondanks de industriële historie, is er relatief weinig industrie te vinden in regio Veenendaal. De sector is 41% kleiner dan in de provincie, en 46% kleiner dan in Nederland. In Ede-Wageningen is de industriesector nog iets kleiner dan in regio Veenendaal.</w:t>
      </w:r>
    </w:p>
    <w:p w14:paraId="1895CF97"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ab/>
        <w:t>Hoewel de industrie over het algemeen in Nederland en provincie Utrecht al tussen 1997 en 2002 te maken had met krimp, groeide de sector in deze periode nog met 4% in Veenendaal. In de vijf jaar daarna kromp de industrie in Veenendaal echter met 12%, om vervolgens nog een periode met 12% te krimpen. Dit is in totaal een snellere afname van het aantal arbeidsplaatsen in de industrie dan in Utrecht en Nederland. Zo komt Veenendaal uit op 20% krimp over vijftien jaar, tegenover 19% in provincie Utrecht en 17% in Nederland. De kleine hoeveelheid industrie die in Ede-Wageningen gevestigd is, is daarentegen qua omvang in werkgelegenheid vrijwel gelijk gebleven over de laatste vijftien jaar.</w:t>
      </w:r>
    </w:p>
    <w:p w14:paraId="0CBD065C" w14:textId="40AF474C" w:rsidR="00812DEE" w:rsidRPr="00302170" w:rsidRDefault="00812DEE" w:rsidP="00765B83">
      <w:pPr>
        <w:ind w:firstLine="720"/>
        <w:rPr>
          <w:rFonts w:ascii="Calibri" w:eastAsia="Times New Roman" w:hAnsi="Calibri" w:cs="Times New Roman"/>
        </w:rPr>
      </w:pPr>
      <w:r w:rsidRPr="00302170">
        <w:rPr>
          <w:rFonts w:ascii="Calibri" w:eastAsia="Times New Roman" w:hAnsi="Calibri" w:cs="Times New Roman"/>
        </w:rPr>
        <w:t>De industrie die in 1997 in Veenendaal aanwezig was, was over het algemeen zeer specialistisch en hoogwaardig. In de regio waren bedrijven in farmaceutica, precisiemetaalbewerking en het bouwen van meetinstrumenten aanwezig. Toch verdwenen veel van deze bedrijven door faillissementen en verhuizingen. De metaalbewerking is nu verantwoordelijk voor de meeste banen in de industrie in de regio, maar veel van deze bedrijven krimpen.</w:t>
      </w:r>
    </w:p>
    <w:p w14:paraId="4AA99C70" w14:textId="77777777" w:rsidR="00812DEE" w:rsidRPr="00302170" w:rsidRDefault="00812DEE" w:rsidP="00765B83">
      <w:pPr>
        <w:pStyle w:val="Heading2"/>
      </w:pPr>
      <w:r w:rsidRPr="00302170">
        <w:t>Waterbeheer &amp; Afvalverwerking</w:t>
      </w:r>
    </w:p>
    <w:p w14:paraId="14BBB491" w14:textId="1F4EFE8F" w:rsidR="00812DEE" w:rsidRPr="00765B83" w:rsidRDefault="00812DEE" w:rsidP="00765B83">
      <w:pPr>
        <w:outlineLvl w:val="0"/>
        <w:rPr>
          <w:rFonts w:ascii="Calibri" w:eastAsia="Times New Roman" w:hAnsi="Calibri" w:cs="Times New Roman"/>
          <w:color w:val="000000"/>
        </w:rPr>
      </w:pPr>
      <w:r w:rsidRPr="00302170">
        <w:rPr>
          <w:rFonts w:ascii="Calibri" w:eastAsia="Times New Roman" w:hAnsi="Calibri" w:cs="Times New Roman"/>
          <w:color w:val="000000"/>
        </w:rPr>
        <w:t>Waterbeheer en afvalverwerking is maar zeer kleine sector, goed voor maar 170 banen over de hele regio. Waterbeheer en afvalverwerking is door het grote aantal gemeentewerven in de regio (met name op de heuvelrug) een zeer grote sector in vergelijking met provincie Utrecht, maar van gemiddelde grootte in vergelijking met Nederland. Van de 230 banen in 1997 zijn er 50 verdwenen</w:t>
      </w:r>
      <w:r>
        <w:rPr>
          <w:rFonts w:ascii="Calibri" w:eastAsia="Times New Roman" w:hAnsi="Calibri" w:cs="Times New Roman"/>
          <w:color w:val="000000"/>
        </w:rPr>
        <w:t xml:space="preserve"> over de laatste vijftien jaar.</w:t>
      </w:r>
    </w:p>
    <w:p w14:paraId="000ACAF6" w14:textId="77777777" w:rsidR="00812DEE" w:rsidRPr="00302170" w:rsidRDefault="00812DEE" w:rsidP="00765B83">
      <w:pPr>
        <w:pStyle w:val="Heading2"/>
      </w:pPr>
      <w:r w:rsidRPr="00302170">
        <w:t>Bouw</w:t>
      </w:r>
    </w:p>
    <w:p w14:paraId="39190041"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De grootte van de bouwsector wijkt nauwelijks af van de relatieve grootte die de sector in provincie Utrecht en Nederland heeft. Ook in vergelijking met Ede-Wageningen is er weinig verschil.</w:t>
      </w:r>
    </w:p>
    <w:p w14:paraId="1818C889" w14:textId="749D7C99"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ab/>
        <w:t>In provincie Utrecht, Nederland en Ede-Wageningen is te zien hoe de banengroei in de bouwsector langzaam afneemt, en tussen 2007 en 2012 omzet in krimp. In Veenendaal kromp de werkgelegenheid al tussen 2002 en 2007, maar stabiliseerde daarna weer. Over de periode van vijftien jaar was er sprake van 5% groei, ongeveer vergelijkbaar met de groei die de sector in Nederland mee maakte, maar minder sterk dan de groei in provincie Utrecht en Ede-Wageningen. Het zijn voornamelijk utiliteits- en wegenbouw die krompen in de regio. De metaalbouw en enkele gespecialiseerde bouwdiensten bleven stabiel in de regio, terwijl het aantal banen bij timmermansbedrijven met 721% steeg doo</w:t>
      </w:r>
      <w:r w:rsidR="00765B83">
        <w:rPr>
          <w:rFonts w:ascii="Calibri" w:eastAsia="Times New Roman" w:hAnsi="Calibri" w:cs="Times New Roman"/>
        </w:rPr>
        <w:t>r een toestroom van ZZP’ers.</w:t>
      </w:r>
    </w:p>
    <w:p w14:paraId="09D1F695" w14:textId="77777777" w:rsidR="00812DEE" w:rsidRPr="00302170" w:rsidRDefault="00812DEE" w:rsidP="00765B83">
      <w:pPr>
        <w:pStyle w:val="Heading2"/>
      </w:pPr>
      <w:r w:rsidRPr="00302170">
        <w:t>Handel</w:t>
      </w:r>
    </w:p>
    <w:p w14:paraId="56ED5831" w14:textId="68870EAA"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 xml:space="preserve">Er zijn relatief veel banen in de handel in Veenendaal. De stad Veenendaal zelf heeft altijd een belangrijke rol gespeeld als winkelgebied voor de omgeving, zowel in provincie Utrecht als in omliggende gebieden in Gelderland. Doordat Ede, na het dorpscentrum opgeknapt te hebben, steeds meer winkels kreeg in de afgelopen jaren, is deze positie enigszins aangetast. Door ook het centrum van de Veenendaal in 2008 te vernieuwen hoopt de stad de </w:t>
      </w:r>
      <w:r w:rsidR="00B5236B">
        <w:rPr>
          <w:rFonts w:ascii="Calibri" w:eastAsia="Times New Roman" w:hAnsi="Calibri" w:cs="Times New Roman"/>
        </w:rPr>
        <w:t>w</w:t>
      </w:r>
      <w:r w:rsidRPr="00302170">
        <w:rPr>
          <w:rFonts w:ascii="Calibri" w:eastAsia="Times New Roman" w:hAnsi="Calibri" w:cs="Times New Roman"/>
        </w:rPr>
        <w:t>inkelfunctie te behouden. Ook is Veenendaal in 2012 begonnen met een pilot voor “het nieuwe winkelen”. Tijdens het winkelen kunnen mensen via hun smartphone of tablet per productcategorie en per merk zien bij welke winkels in de stad zij terecht kunnen. Ook kunnen winkels hun aanbiedingen aangeven op de site, zodat alle aanbiedingen in de sta</w:t>
      </w:r>
      <w:r>
        <w:rPr>
          <w:rFonts w:ascii="Calibri" w:eastAsia="Times New Roman" w:hAnsi="Calibri" w:cs="Times New Roman"/>
        </w:rPr>
        <w:t>d in één oogopslag te zien zijn</w:t>
      </w:r>
      <w:r w:rsidRPr="00302170">
        <w:rPr>
          <w:rFonts w:ascii="Calibri" w:eastAsia="Times New Roman" w:hAnsi="Calibri" w:cs="Times New Roman"/>
        </w:rPr>
        <w:t>. In de toekomst zullen ook webwinkels bij het project betrokken worden, en gaan winkels in het winkelgebied dienen als afleverpunten voor webshops, die extra expertise bieden over de geleverde producten (veenendaaldoet.nl, 2014). Er zijn nog geen resultaten bekend over het succes van het initiatief. In het centrum van Ede en in drie andere steden is een vergeli</w:t>
      </w:r>
      <w:r>
        <w:rPr>
          <w:rFonts w:ascii="Calibri" w:eastAsia="Times New Roman" w:hAnsi="Calibri" w:cs="Times New Roman"/>
        </w:rPr>
        <w:t>jkbaar initiatief bezig (Beleef het Nieuwe Winkelen</w:t>
      </w:r>
      <w:r w:rsidRPr="00302170">
        <w:rPr>
          <w:rFonts w:ascii="Calibri" w:eastAsia="Times New Roman" w:hAnsi="Calibri" w:cs="Times New Roman"/>
        </w:rPr>
        <w:t>, 2014).</w:t>
      </w:r>
    </w:p>
    <w:p w14:paraId="6A5D3421" w14:textId="77777777" w:rsidR="00812DEE" w:rsidRPr="00302170" w:rsidRDefault="00812DEE" w:rsidP="00812DEE">
      <w:pPr>
        <w:ind w:firstLine="720"/>
        <w:rPr>
          <w:rFonts w:ascii="Calibri" w:eastAsia="Times New Roman" w:hAnsi="Calibri" w:cs="Times New Roman"/>
        </w:rPr>
      </w:pPr>
      <w:r w:rsidRPr="00302170">
        <w:rPr>
          <w:rFonts w:ascii="Calibri" w:eastAsia="Times New Roman" w:hAnsi="Calibri" w:cs="Times New Roman"/>
        </w:rPr>
        <w:t>De handel neemt in regio Veenendaal nog altijd een veel belangrijkere positie in dat in Ede-Wageningen, 19,5% van de banen in Veenendaal is afhankelijk van de handel tegenover 14% in Ede-Wageningen. Naast detailhandel bevat gemeente Veenendaal ook een aantal bedrijven in de groothandel met veel werknemers. Het zijn enkele hoofdkantoren van grote bedrijven (Halfords, A.C. Watson) die het aantal banen in de sector op pijl hebben gehouden door te groeien, terwijl de kleinere, gespecialiseerde groothandel kromp.</w:t>
      </w:r>
    </w:p>
    <w:p w14:paraId="34963B55" w14:textId="293CC23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ab/>
        <w:t>Ondanks het nieuwe winkelcentrum nam het aantal banen in de handel in regio Veenendaal toch met 2% af tussen 2007 en 2012, terwijl er in Ede-Wageningen nog sprake was van 3% groei. De groei in Ede-Wageningen is echter voornamelijk aan groothandel te danken. Ook tussen 1997 en 2007 maakte handel in Ede een veel sterkere groei door dan Veenendaal</w:t>
      </w:r>
      <w:r>
        <w:rPr>
          <w:rFonts w:ascii="Calibri" w:eastAsia="Times New Roman" w:hAnsi="Calibri" w:cs="Times New Roman"/>
        </w:rPr>
        <w:t>. In deze periode is er dan ook een nieuw industrie terrein ontwikkeld bij Ede</w:t>
      </w:r>
      <w:r w:rsidRPr="00302170">
        <w:rPr>
          <w:rFonts w:ascii="Calibri" w:eastAsia="Times New Roman" w:hAnsi="Calibri" w:cs="Times New Roman"/>
        </w:rPr>
        <w:t>. Als Veenendaal niet met de Gelderse WERV-gemeenten, maar met provincie Utrecht wordt vergeleken, is de groei in handel vrijwel gelijk. In Nederland groeide de Handel tussen 1997 en 2002 over het algemeen twee keer zo hard als in regio Veenendaal, om vervolgens tien jaar door te groeien op een tempo verg</w:t>
      </w:r>
      <w:r w:rsidR="00002889">
        <w:rPr>
          <w:rFonts w:ascii="Calibri" w:eastAsia="Times New Roman" w:hAnsi="Calibri" w:cs="Times New Roman"/>
        </w:rPr>
        <w:t>elijkbaar met regio Veenendaal.</w:t>
      </w:r>
    </w:p>
    <w:p w14:paraId="026F0832" w14:textId="77777777" w:rsidR="00812DEE" w:rsidRPr="00302170" w:rsidRDefault="00812DEE" w:rsidP="00002889">
      <w:pPr>
        <w:pStyle w:val="Heading2"/>
      </w:pPr>
      <w:r w:rsidRPr="00302170">
        <w:t>Vervoer en opslag</w:t>
      </w:r>
    </w:p>
    <w:p w14:paraId="789A113F"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Vervoer en opslag heeft als sector de afgelopen jaren veel grote klappen gekregen in regio Veenendaal en ten opzichte van de totale werkgelegenheid in de regio bevat de sector nu 23% minder banen dan provincie Utrecht en 45% minder banen dan Nederland. In Ede-Wageningen is een groter deel van de werkgelegenheid actief in de sector, voornamelijk op het nieuwgebouwde industrieterrein langs de A12.</w:t>
      </w:r>
    </w:p>
    <w:p w14:paraId="79761D42" w14:textId="748DBEA8" w:rsidR="00812DEE" w:rsidRPr="00302170" w:rsidRDefault="00812DEE" w:rsidP="00002889">
      <w:pPr>
        <w:rPr>
          <w:rFonts w:ascii="Calibri" w:eastAsia="Times New Roman" w:hAnsi="Calibri" w:cs="Times New Roman"/>
        </w:rPr>
      </w:pPr>
      <w:r w:rsidRPr="00302170">
        <w:rPr>
          <w:rFonts w:ascii="Calibri" w:eastAsia="Times New Roman" w:hAnsi="Calibri" w:cs="Times New Roman"/>
        </w:rPr>
        <w:tab/>
        <w:t>Tussen 1997 en 2007 steeg het aantal vervoer gerelateerde banen in regio Veenendaal explosief, met 33%. In de vijf jaar daarna werd het grootste deel van deze groei echter weer ongedaan gemaakt, en ook in de vijf jaar daarna kreeg de regio te maken met zeer sterke krimp. De drie grootste trasportbedrijven in 1997 zijn nu allemaal verhuisd naar vestigingen buiten de regio en namen 342 banen mee. De sector bevat nu een kwart minder banen dan vijftien jaar geleden. Ook in provincie Utrecht is een groei te zien in de eerste vijf jaar, die daarna veranderd in een blijvende krimp. In Nederland krimpt de sector over het algemeen  ook, maar is de trend minder sterk. In Ede-Wageningen is het aantal banen in transport juist gegroeid door de aanleg van het nieuwe industrieterrein. De laatste vijf jaar is de groei van de transportsector ook hier gestopt.</w:t>
      </w:r>
    </w:p>
    <w:p w14:paraId="434D6696" w14:textId="77777777" w:rsidR="00812DEE" w:rsidRPr="00302170" w:rsidRDefault="00812DEE" w:rsidP="00002889">
      <w:pPr>
        <w:pStyle w:val="Heading2"/>
      </w:pPr>
      <w:r w:rsidRPr="00302170">
        <w:t>Horeca</w:t>
      </w:r>
    </w:p>
    <w:p w14:paraId="0B655AD8"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De Horeca bevat in regio Veenendaal ongeveer net zo’n groot deel van de totale werkgelegenheid als in Nederland. Ten opzichte van provincie Utrecht en regio Ede-Wageningen zelfs iets groter.</w:t>
      </w:r>
    </w:p>
    <w:p w14:paraId="14F1258C" w14:textId="0E2C6B5F"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ab/>
        <w:t>De groei van de Horeca in Veenendaal begon met een stijging van 28% tussen 2997 en 2002, die langzaam afzwakte naar 8% tussen 2007 en 2012. Dit komt vrijwel overeen met de ontwikkeling in Horeca in Ede-Wageningen. In provincie Utrecht is eenzelfde patroon te zien, hoewel de groei hier in totaal iets hoger uitkomt. Ook Nederland volgt dezelfde lijn als Veenendaal en de provincie, maar de groei was hier ruim tien pr</w:t>
      </w:r>
      <w:r w:rsidR="00002889">
        <w:rPr>
          <w:rFonts w:ascii="Calibri" w:eastAsia="Times New Roman" w:hAnsi="Calibri" w:cs="Times New Roman"/>
        </w:rPr>
        <w:t>ocent lager over vijftien jaar.</w:t>
      </w:r>
    </w:p>
    <w:p w14:paraId="023A3AFD" w14:textId="77777777" w:rsidR="00812DEE" w:rsidRPr="00302170" w:rsidRDefault="00812DEE" w:rsidP="00002889">
      <w:pPr>
        <w:pStyle w:val="Heading2"/>
      </w:pPr>
      <w:r w:rsidRPr="00302170">
        <w:t>Informatie en communicatie</w:t>
      </w:r>
    </w:p>
    <w:p w14:paraId="0EF5A832" w14:textId="74601861"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 xml:space="preserve">De gemeente van Veenendaal zet met het economische beleid tot 2020 sterk in op ICT bedrijven. In de rest van de regio zijn echter nauwelijks banen in de ICT te vinden. De regio scoort </w:t>
      </w:r>
      <w:r w:rsidR="003A2828">
        <w:rPr>
          <w:rFonts w:ascii="Calibri" w:eastAsia="Times New Roman" w:hAnsi="Calibri" w:cs="Times New Roman"/>
        </w:rPr>
        <w:t>een locatiequotiënt v</w:t>
      </w:r>
      <w:r w:rsidR="00AB4F11">
        <w:rPr>
          <w:rFonts w:ascii="Calibri" w:eastAsia="Times New Roman" w:hAnsi="Calibri" w:cs="Times New Roman"/>
        </w:rPr>
        <w:t>an</w:t>
      </w:r>
      <w:r w:rsidRPr="00302170">
        <w:rPr>
          <w:rFonts w:ascii="Calibri" w:eastAsia="Times New Roman" w:hAnsi="Calibri" w:cs="Times New Roman"/>
        </w:rPr>
        <w:t xml:space="preserve"> 0,46 in vergelijking met provincie Utrecht, en 1,14 in vergelijking met Nederland. Als alleen naar gemeente Veenendaal wordt gekeken, en niet naar de regio, komt het LQ neer op 1,87 in vergelijking met Nederland, en 0,88 in vergelijking met provincie Utrecht. De lage score in vergelijking met Utrecht komt voornamelijk doordat gemeente Utrecht en Amersfoort zeer veel ICT-banen hebben. Voor een Nederlandse gemeente heeft Veenendaal zeer veel banen in communicatie en informatie. Veenendaal hoopt het voedselcluster rond universiteit Wageningen aan te vullen met ICT voor de voedselindustrie. Het aandeel van deze sector in het totale werkgelegenheid is in regio Veenendaal dan ook anderhalf keer groter dan in Food Valley regio Ede-Wageningen zelf. In gemeente Veenendaal is het aandeel van de sector zelfs bijna drie keer zo groot als in Ede-Wageningen. Bovendien zijn veel ICT-gerelateerde adviesbureaus en verkooppunten van specialistische software te vinden in de sectoren groothandel en specialistische zakelijke dienstverlening.</w:t>
      </w:r>
    </w:p>
    <w:p w14:paraId="0142470F"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ab/>
        <w:t xml:space="preserve">Veenendaal was al relatief vroeg een cluster van ICT-bedrijven, de afgelopen vijftien jaar groeide de sector in Veenendaal minder hard dan de algemene ontwikkelingen in Nederland. Tussen 1997 en 2012 groeide de sector nog zeer hard, met 35%. Toen de </w:t>
      </w:r>
      <w:r w:rsidRPr="00302170">
        <w:rPr>
          <w:rFonts w:ascii="Calibri" w:eastAsia="Times New Roman" w:hAnsi="Calibri" w:cs="Times New Roman"/>
          <w:i/>
        </w:rPr>
        <w:t>dotcom</w:t>
      </w:r>
      <w:r w:rsidRPr="00302170">
        <w:rPr>
          <w:rFonts w:ascii="Calibri" w:eastAsia="Times New Roman" w:hAnsi="Calibri" w:cs="Times New Roman"/>
        </w:rPr>
        <w:t xml:space="preserve"> bubbel barste, kromp de sector echter weer met 7%, om ook tussen 2007 en 2012 met 2% te krimpen. De totale groei van de sector tussen 1997 en 2012 bedroeg in regio Veenendaal slechts 21%, terwijl er in Nederland gemiddeld sprake van 50% groei was, in provincie Utrecht 55% en in Ede-Wageningen 58%. De sterke positie die informatie en communicatie had in de jaren negentig maakt de sector echter nog steeds een van de sterkste punten in de regio en met de nieuwe focus op Food-Valley en een HBO opleiding voor de ICT-branche kan de sector wellicht weer groeien in de toekomst.</w:t>
      </w:r>
    </w:p>
    <w:p w14:paraId="0B6C655F" w14:textId="591FCF49"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ab/>
        <w:t xml:space="preserve">Hoewel in Veenendaal het aantal werknemers in de software productie daalde en het voornamelijk de adviessector die hier aan vast zat was die sterk groeide, was in de rest van Nederland het omgekeerde te zien. Een verklaring hiervoor is dat veel bedrijven in Veenendaal zowel ontwikkelen als adviseren, en maar in één branche ingeschreven kunnen staan. Er is dus weinig </w:t>
      </w:r>
      <w:r>
        <w:rPr>
          <w:rFonts w:ascii="Calibri" w:eastAsia="Times New Roman" w:hAnsi="Calibri" w:cs="Times New Roman"/>
        </w:rPr>
        <w:t>onderscheid tussen de branches.</w:t>
      </w:r>
    </w:p>
    <w:p w14:paraId="587997FF" w14:textId="77777777" w:rsidR="00812DEE" w:rsidRPr="00302170" w:rsidRDefault="00812DEE" w:rsidP="00002889">
      <w:pPr>
        <w:pStyle w:val="Heading2"/>
      </w:pPr>
      <w:r w:rsidRPr="00302170">
        <w:t>Financiële dienstverlening</w:t>
      </w:r>
    </w:p>
    <w:p w14:paraId="4BC8EB1A"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De financiële dienstverlening schept nauwelijks werkgelegenheid in regio Veenendaal. Omdat er alleen enkele front offices voor klanten in de regio zijn, en andere bankenactiviteiten missen, is deze sector qua LQ de grootste uitschieter naar beneden in de regio. In Ede-Wageningen ligt de omvang van de sector dichter bij het Nederlandse gemiddelde, maar ook hier blijft de financiële dienstverlening achter.</w:t>
      </w:r>
    </w:p>
    <w:p w14:paraId="17147036" w14:textId="34601111" w:rsidR="00812DEE" w:rsidRPr="00002889" w:rsidRDefault="00812DEE" w:rsidP="00812DEE">
      <w:pPr>
        <w:rPr>
          <w:rFonts w:ascii="Calibri" w:eastAsia="Times New Roman" w:hAnsi="Calibri" w:cs="Times New Roman"/>
          <w:u w:val="single"/>
        </w:rPr>
      </w:pPr>
      <w:r w:rsidRPr="00302170">
        <w:rPr>
          <w:rFonts w:ascii="Calibri" w:eastAsia="Times New Roman" w:hAnsi="Calibri" w:cs="Times New Roman"/>
        </w:rPr>
        <w:tab/>
        <w:t xml:space="preserve">De financiële dienstverlening groeide in regio Veenendaal tussen 1997 en 2002 met 32%, maar kromp in de tien jaar daarna weer met 70%. Ook in </w:t>
      </w:r>
      <w:r>
        <w:rPr>
          <w:rFonts w:ascii="Calibri" w:eastAsia="Times New Roman" w:hAnsi="Calibri" w:cs="Times New Roman"/>
        </w:rPr>
        <w:t xml:space="preserve">de rest van </w:t>
      </w:r>
      <w:r w:rsidRPr="00302170">
        <w:rPr>
          <w:rFonts w:ascii="Calibri" w:eastAsia="Times New Roman" w:hAnsi="Calibri" w:cs="Times New Roman"/>
        </w:rPr>
        <w:t>Nederland ondervond de sector over het algemeen groei aan het eind van de jaren negentig, gevolgd door krimp, maar de fluctuatie is hier veel gematigder. In provincie Utrecht, waar gemeente Utrecht en Zeist hoofdkantoren van banken en accountants hebben</w:t>
      </w:r>
      <w:r>
        <w:rPr>
          <w:rFonts w:ascii="Calibri" w:eastAsia="Times New Roman" w:hAnsi="Calibri" w:cs="Times New Roman"/>
        </w:rPr>
        <w:t>,</w:t>
      </w:r>
      <w:r w:rsidRPr="00302170">
        <w:rPr>
          <w:rFonts w:ascii="Calibri" w:eastAsia="Times New Roman" w:hAnsi="Calibri" w:cs="Times New Roman"/>
        </w:rPr>
        <w:t xml:space="preserve"> en van interne schaalvergroting van banken kunnen profiteren, groeide de sector harder. Ook hier zorgde de financiële crisis echter voor een lichte krimp (12%) tussen 2007 en 2012. In Ede nam de omvang van de financiële sector iedere vijf jaar weer af. Nu is daar nog 32% van de werkgelegenheid die de sector vijftien jaar gelden had over. De financiële sector centraliseert zich steeds meer in grote steden in Nederland en trekt weg uit kleinere plaatsen. De kans dat de sector weer zal groeien in Veenendaal lijkt klein.</w:t>
      </w:r>
    </w:p>
    <w:p w14:paraId="062193F9" w14:textId="77777777" w:rsidR="00812DEE" w:rsidRPr="00302170" w:rsidRDefault="00812DEE" w:rsidP="00002889">
      <w:pPr>
        <w:pStyle w:val="Heading2"/>
      </w:pPr>
      <w:r w:rsidRPr="00302170">
        <w:t>Onroerend goed</w:t>
      </w:r>
    </w:p>
    <w:p w14:paraId="51366E74"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Er zijn daarentegen wel relatief veel mensen werkzaam met onroerend goed in Veenendaal. Naast kleinschalige makelaars, zijn er ook twee woningcorporaties gevestigd in de regio zodat er in vergelijking met de provincie en het land veel banen in de sector aanwezig zijn. In Ede-Wageningen missen deze corporaties en is de sector kleiner.</w:t>
      </w:r>
    </w:p>
    <w:p w14:paraId="78BF6662" w14:textId="713A2F5A"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ab/>
        <w:t>Doordat woningcorporaties Portaal en Patrimonium</w:t>
      </w:r>
      <w:r>
        <w:rPr>
          <w:rFonts w:ascii="Calibri" w:eastAsia="Times New Roman" w:hAnsi="Calibri" w:cs="Times New Roman"/>
        </w:rPr>
        <w:t xml:space="preserve"> hun hoofdkantoren</w:t>
      </w:r>
      <w:r w:rsidRPr="00302170">
        <w:rPr>
          <w:rFonts w:ascii="Calibri" w:eastAsia="Times New Roman" w:hAnsi="Calibri" w:cs="Times New Roman"/>
        </w:rPr>
        <w:t xml:space="preserve"> naar Veenendaal verhuisden, is de sector tussen 1997 en 2002 ruim anderhalf keer zo groot geworden. Vervolgens groeide de sector in de vijf jaar daarna nogmaals met 56%. Na deze groei kromp de sector met 8% in de laatste vijf jaar. Over vijftien jaar werd de sector 2,2 keer zo groot. In de provincie en Nederland groeide de sector met ongeveer 35% in dezelfde periode. Door een sterke groei van de sector tussen 1997 en 2002 bedroeg de groei in Ede-Wageningen 45%. De sterke positie en groei van de sector in Veenendaal is vrijwel volledig te denken aan de corporaties Portaal en Patrimonium. Het aantrekken van de Nederlandse woningmarkt biedt nieuwe groeiperspectieven voor de sector in Veenen</w:t>
      </w:r>
      <w:r w:rsidR="00002889">
        <w:rPr>
          <w:rFonts w:ascii="Calibri" w:eastAsia="Times New Roman" w:hAnsi="Calibri" w:cs="Times New Roman"/>
        </w:rPr>
        <w:t>daal.</w:t>
      </w:r>
    </w:p>
    <w:p w14:paraId="61C7C3CC" w14:textId="77777777" w:rsidR="00812DEE" w:rsidRPr="00302170" w:rsidRDefault="00812DEE" w:rsidP="00002889">
      <w:pPr>
        <w:pStyle w:val="Heading2"/>
      </w:pPr>
      <w:r w:rsidRPr="00302170">
        <w:t>Specialistische zakelijke dienstverlening</w:t>
      </w:r>
    </w:p>
    <w:p w14:paraId="47AF4F3D"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Er is net iets meer specialistische dienstverlening per werkende inwoner in Veenendaal dan in Nederland, in vergelijking met de sterk verstedelijkte provincie Utrecht is dit daarentegen vrij weinig. Het aandeel dat de sector heeft in de werkgelegenheid is anderhalf keer zo hoog in Ede-Wageningen. Dit komt voornamelijk door de kennisindustrie die rond food-valley ontstaan is.</w:t>
      </w:r>
    </w:p>
    <w:p w14:paraId="2B7FA0BE"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 xml:space="preserve">De specialistische zakelijke dienstverlening groeide wel spectaculair in regio Veenendaal. Tussen 1997 en 2012 is het aantal banen in deze sector 2,13 keer zo groot geworden. Ook in de provincie en het land steeg de werkgelegenheid in de specialistische zakelijke dienstverlening sterk, met 74%. In Ede-Wageningen groeide de sector 65%, hoewel de sector in deze regio in 1997 een sterkere uitgangsbasis had dan Veenendaal. Vooral tussen 1997 en 2002 kwamen er veel banen bij in regio Veenendaal, maar de sector bleef ook de jaren daarna groeien. Er zijn nauwelijks grote bedrijven in Veenendaal die zich bezighouden met specialistische zakelijke dienstverlening, maar vele bedrijfjes met vijftig of minder werknemers richten zich op </w:t>
      </w:r>
      <w:r>
        <w:rPr>
          <w:rFonts w:ascii="Calibri" w:eastAsia="Times New Roman" w:hAnsi="Calibri" w:cs="Times New Roman"/>
          <w:color w:val="000000"/>
        </w:rPr>
        <w:t>juridisch, technisch of bestuurs</w:t>
      </w:r>
      <w:r w:rsidRPr="00302170">
        <w:rPr>
          <w:rFonts w:ascii="Calibri" w:eastAsia="Times New Roman" w:hAnsi="Calibri" w:cs="Times New Roman"/>
          <w:color w:val="000000"/>
        </w:rPr>
        <w:t>advies. De sector geeft zeer veel advies op het gebied van ICT-oplossingen.</w:t>
      </w:r>
    </w:p>
    <w:p w14:paraId="5813C399" w14:textId="6D6D959D" w:rsidR="00812DEE" w:rsidRPr="00002889"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ICT-advies en technisch advies zijn de enige takken van de gespecialiseerde zakelijke dienstverlening waar de vraag naar nieuwe werknemers nog stijgt (ABN-AMRO, 2014). In beide branches zijn al bedrijven aanwezig in Veenendaal die kunnen doorgroeien. De vraag naar management advies stagneert, terwijl ook management advies een groot deel van de specialistische zakelijke dienstverlening inneemt. De groei van de sector als geheel zal dus verder afnemen, maar door ICT- en ingenieurs</w:t>
      </w:r>
      <w:r w:rsidR="001D7DBD">
        <w:rPr>
          <w:rFonts w:ascii="Calibri" w:eastAsia="Times New Roman" w:hAnsi="Calibri" w:cs="Times New Roman"/>
          <w:color w:val="000000"/>
        </w:rPr>
        <w:t>kennis</w:t>
      </w:r>
      <w:r w:rsidRPr="00302170">
        <w:rPr>
          <w:rFonts w:ascii="Calibri" w:eastAsia="Times New Roman" w:hAnsi="Calibri" w:cs="Times New Roman"/>
          <w:color w:val="000000"/>
        </w:rPr>
        <w:t xml:space="preserve"> in de regio niet volledig afvlakken.</w:t>
      </w:r>
    </w:p>
    <w:p w14:paraId="0943B49A" w14:textId="77777777" w:rsidR="00812DEE" w:rsidRPr="00302170" w:rsidRDefault="00812DEE" w:rsidP="00002889">
      <w:pPr>
        <w:pStyle w:val="Heading2"/>
      </w:pPr>
      <w:r w:rsidRPr="00302170">
        <w:t>Verhuur en overige zakelijke dienstverlening</w:t>
      </w:r>
    </w:p>
    <w:p w14:paraId="057440A1"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Verhuur en overige dienstverlening is in regio Veenendaal qua aandeel in de werkgelegenheid vrijwel gelijk met provincie Utrecht. Dit is echter weinig in vergelijking met Nederland. Het belang van deze sector is net iets minder in Ede-Wageningen.</w:t>
      </w:r>
    </w:p>
    <w:p w14:paraId="57E01B4E"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Verhuur en overige dienstverlening groeide in regio Veenendaal van 1997 tot 2002 iets minder had dan dat de rest van Nederland en provincie Utrecht gemiddeld deden, maar bleef wel harder groeien in de vijf jaar hierna. In Nederland nam de groei snel af, en in de provincie kromp de sector zelfs over het algemeen. Uiteindelijk presteerde de regio iets beter dan in de rest van Nederland, maar was de banengroei bijna het dubbele dan dat van provincie Utrecht. In Ede-Wageningen is de sector nog harder dan in Veenendaal gegroeid, en is het aantal banen meer dan verdubbeld tussen 1997 en 2002. In de laatste vijf jaar groeide de sector echter niet meer in Ede-Wageningen.</w:t>
      </w:r>
    </w:p>
    <w:p w14:paraId="32BF1E18" w14:textId="4A5F6CED"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 xml:space="preserve">Omdat de sector zo divers is, is het lastig te voorspellen wat de ontwikkelingen zullen zijn. De afgelopen jaren groeide de sector sterk door enkele bedrijven en vele ZZP’ers die aan </w:t>
      </w:r>
      <w:r>
        <w:rPr>
          <w:rFonts w:ascii="Calibri" w:eastAsia="Times New Roman" w:hAnsi="Calibri" w:cs="Times New Roman"/>
          <w:color w:val="000000"/>
        </w:rPr>
        <w:t>landschapsbeheer doen.</w:t>
      </w:r>
    </w:p>
    <w:p w14:paraId="68F24B4B" w14:textId="77777777" w:rsidR="00812DEE" w:rsidRPr="00302170" w:rsidRDefault="00812DEE" w:rsidP="00002889">
      <w:pPr>
        <w:pStyle w:val="Heading2"/>
      </w:pPr>
      <w:r w:rsidRPr="00302170">
        <w:t>Overheid</w:t>
      </w:r>
    </w:p>
    <w:p w14:paraId="323F6E83"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Het aantal mensen dat voor de overheid werkt is ten opzichte van de totale werkgelegenheid, anderhalf keer hoger in regio Veenendaal, dan in de provincie of het land. Dit is volledig te danken aan de gemeente Utrechtse Heuvelrug. Hier zijn alle landelijke politiediensten te vinden, waaronder de ICT-afdeling te vinden. Ook werken er 1867 mensen bij Defensie in Doorn, meer dan bij dan de rest van de top vier grootste bedrijven in de regio bij elkaar opgeteld. In Ede-Wageningen is de overheid maar een kleine werkgever, ook vergeleken met de rest van het land.</w:t>
      </w:r>
    </w:p>
    <w:p w14:paraId="467F7181"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 xml:space="preserve">In de provincie is de overheidssector echter veel harder gegroeid dan in regio Veenendaal. Ondanks extra werknemers bij defensie, politie en enkele gemeentekantoren, groeide de overheid in de stad Utrecht veel sterker. Ook in Utrecht groeide de gemeente, </w:t>
      </w:r>
      <w:r>
        <w:rPr>
          <w:rFonts w:ascii="Calibri" w:eastAsia="Times New Roman" w:hAnsi="Calibri" w:cs="Times New Roman"/>
          <w:color w:val="000000"/>
        </w:rPr>
        <w:t>en</w:t>
      </w:r>
      <w:r w:rsidRPr="00302170">
        <w:rPr>
          <w:rFonts w:ascii="Calibri" w:eastAsia="Times New Roman" w:hAnsi="Calibri" w:cs="Times New Roman"/>
          <w:color w:val="000000"/>
        </w:rPr>
        <w:t xml:space="preserve"> het verhuizen van nationale functies van de belastingdienst en de centralisatie van de administratie van defensie in de Utrechtse Kromhout kazerne zorgden hier voor een sterke groei. Toch groeide de overheid in regio Veenendaal harder dan het Nederlands gemiddelde, en kon de overheid de groei die tussen 1997 en 2002 werd ingezet nog vijf jaar volhouden, terwijl de groei in Nederland en in de provincie afnam. In Ede-Wageningen zijn buiten de gemeente geen overheidsdiensten aanwezig, en bedraagt de groei van de sector 15% over vijftien jaar. Ondanks een harde groei van gemeente Ede is dit minder dan de helft van de groei die regio Veenendaal doormaakte.</w:t>
      </w:r>
    </w:p>
    <w:p w14:paraId="7BFB3C21" w14:textId="49E2AF71" w:rsidR="00812DEE" w:rsidRPr="00002889"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Tot nu toe is de werkgelegenheid bij de van Braam Houckgeestkazerne in Doorn niet geschaad door bezuinigingsrondes binnen defensie. Op de korte termijn lijken er ook geen nieuwe bezuinigingen aan te komen. Toenemend belang van ICT bij politie en extra zorgtaken bij gemeentes zullen de werkgelegenheid in de overheidssector in de regio waarschijnlijk doen toenemen.</w:t>
      </w:r>
    </w:p>
    <w:p w14:paraId="703EB2F3" w14:textId="77777777" w:rsidR="00812DEE" w:rsidRPr="00302170" w:rsidRDefault="00812DEE" w:rsidP="00002889">
      <w:pPr>
        <w:pStyle w:val="Heading2"/>
      </w:pPr>
      <w:r w:rsidRPr="00302170">
        <w:t>Onderwijs</w:t>
      </w:r>
    </w:p>
    <w:p w14:paraId="306402F3"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Het onderwijs in Veenendaal is een iets kleinere werkgever dan in de rest van Nederland, voornamelijk omdat er buiten een MBO en de private opleidingen van de IVA in Driebergen geen beroepsonderwijs te vinden is in de regio. In vergelijking met provincie Utrecht loopt de regio nog iets verder achter. Door de universiteit in Wageningen, en de twee hoge scholen in Ede en Wageningen is onderwijs in Ede-Wageningen wel een belangrijke sector, ruim 10% van de werkende bevolking werkt hier in het onderwijs.</w:t>
      </w:r>
    </w:p>
    <w:p w14:paraId="19F285E8" w14:textId="187158BF" w:rsidR="00812DEE" w:rsidRPr="00002889"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Zowel in regio Veenendaal als in Ede-Wageningen is de werkgelegenheid in het onderwijs met 1000 banen toegenomen. Voor regio Veenendaal betekent dit een toename van 38%, voor Ede-Wageningen een toename van 15%. In Ede-Wageningen is de groei voornamelijk toe te schrijven aan middelbare scholen, de Universiteit en de hoge scholen. In regio Veenendaal is de groei voornamelijk afkomstig van middelbare scholen. Er zijn in regio Veenendaal ook veel bedrijven die zich richten op bedrijfstrainingen en cursussen bijgekomen. Deze bedrijven zijn maar voor een zeer klein deel van de groei van het onderwijs verantwoordelijk. De bedrijfstrainingen hangen vaak samen met het ICT-adviescluster in Veenendaal. Ook is er sterke banengroei bij een landgoed in Driebergen-Rijsenburg, waar be</w:t>
      </w:r>
      <w:r>
        <w:rPr>
          <w:rFonts w:ascii="Calibri" w:eastAsia="Times New Roman" w:hAnsi="Calibri" w:cs="Times New Roman"/>
          <w:color w:val="000000"/>
        </w:rPr>
        <w:t>drijfscursussen worden gegeven. Daarnaast is er in 2015 een nieuwe ICT opleiding van start gegaan in Veenendaal.</w:t>
      </w:r>
    </w:p>
    <w:p w14:paraId="0807D473" w14:textId="77777777" w:rsidR="00812DEE" w:rsidRPr="00302170" w:rsidRDefault="00812DEE" w:rsidP="00002889">
      <w:pPr>
        <w:pStyle w:val="Heading2"/>
      </w:pPr>
      <w:r w:rsidRPr="00302170">
        <w:t>Zorg</w:t>
      </w:r>
    </w:p>
    <w:p w14:paraId="2F6DF7FA"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De zorg bevat een iets kleiner percentage aan werkgelegenheid in regio Veenendaal dan in de provincie of het land. Specifieke vormen van zorg, zoals ouderenzorg en zorg voor mensen met een handicap zijn wel sterk geconcentreerd rond Driebergen-Rijsenburg en Doorn. De zorg is procentueel net iets groter in Ede-Wageningen.</w:t>
      </w:r>
    </w:p>
    <w:p w14:paraId="28CEEE24" w14:textId="77777777" w:rsidR="00812DEE" w:rsidRPr="00302170" w:rsidRDefault="00812DEE" w:rsidP="00812DEE">
      <w:pPr>
        <w:rPr>
          <w:rFonts w:ascii="Calibri" w:eastAsia="Times New Roman" w:hAnsi="Calibri" w:cs="Times New Roman"/>
        </w:rPr>
      </w:pPr>
      <w:r w:rsidRPr="00302170">
        <w:rPr>
          <w:rFonts w:ascii="Calibri" w:eastAsia="Times New Roman" w:hAnsi="Calibri" w:cs="Times New Roman"/>
        </w:rPr>
        <w:tab/>
        <w:t>Ondanks de relatief kleine omvang die zorg heeft in Veenendaal, is de sector wel harder gegroeid in de regio dan in Nederland of provincie Utrecht over de afgelopen vijftien jaar. In Ede-Wageningen kon de sector wel harder groeien dan in Veenendaal. In alle onderzochte gebieden vond de meeste groei plaats tussen 1997 en 2002, waarna de groei iedere vijf jaar iets afnam.</w:t>
      </w:r>
    </w:p>
    <w:p w14:paraId="03B880A6" w14:textId="4F6650EE" w:rsidR="00812DEE" w:rsidRPr="00002889" w:rsidRDefault="00812DEE" w:rsidP="00812DEE">
      <w:pPr>
        <w:rPr>
          <w:rFonts w:ascii="Calibri" w:eastAsia="Times New Roman" w:hAnsi="Calibri" w:cs="Times New Roman"/>
        </w:rPr>
      </w:pPr>
      <w:r w:rsidRPr="00302170">
        <w:rPr>
          <w:rFonts w:ascii="Calibri" w:eastAsia="Times New Roman" w:hAnsi="Calibri" w:cs="Times New Roman"/>
        </w:rPr>
        <w:tab/>
        <w:t>De trend in zorg is dat er steeds meer thuiszorg komt, en minder inwonende zorg. De grote zorgcomplexen op de Heuvelrug zullen zich hieraan aan moeten passen. Mensen die naar een complex in Doorn verhuisden voor zorg zullen vaker thuisblijven, en daar hun zorg ontvangen. Dat gaat ten kostte van banen in regio Veenendaal. Ouderenzorg zal wel blijven groeien in omvang (ABN-AMRO, 2014</w:t>
      </w:r>
      <w:r>
        <w:rPr>
          <w:rFonts w:ascii="Calibri" w:eastAsia="Times New Roman" w:hAnsi="Calibri" w:cs="Times New Roman"/>
        </w:rPr>
        <w:t>; ING, 2014</w:t>
      </w:r>
      <w:r w:rsidRPr="00302170">
        <w:rPr>
          <w:rFonts w:ascii="Calibri" w:eastAsia="Times New Roman" w:hAnsi="Calibri" w:cs="Times New Roman"/>
        </w:rPr>
        <w:t>). Ondanks de inzet van steeds meer elektronische middelen in de zorg, is het nog altijd een</w:t>
      </w:r>
      <w:r>
        <w:rPr>
          <w:rFonts w:ascii="Calibri" w:eastAsia="Times New Roman" w:hAnsi="Calibri" w:cs="Times New Roman"/>
        </w:rPr>
        <w:t xml:space="preserve"> zeer arbeidsintensieve sector.</w:t>
      </w:r>
    </w:p>
    <w:p w14:paraId="582C0E03" w14:textId="77777777" w:rsidR="00812DEE" w:rsidRPr="00302170" w:rsidRDefault="00812DEE" w:rsidP="00002889">
      <w:pPr>
        <w:pStyle w:val="Heading2"/>
      </w:pPr>
      <w:r w:rsidRPr="00302170">
        <w:t>Cultuur, sport en recreatie</w:t>
      </w:r>
    </w:p>
    <w:p w14:paraId="2D225B4A"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Ook cultuur, sport en recreatie biedt in regio Veenendaal een iets lager percentage van het totaal aantal banen dan dat het in Nederland en de provincie doet. In Ede-Wageningen is de sector nog iets kleiner dan in Veenendaal.</w:t>
      </w:r>
    </w:p>
    <w:p w14:paraId="2E61BEE5" w14:textId="233BA77C" w:rsidR="00812DEE" w:rsidRPr="00002889"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ab/>
        <w:t>De groei van de sector komt in Veenendaal overeen met de groei die de sector in Nederland doormaakte; 40% groei tussen 1997 en 2002, gevolgd door 10% groei in de jaren daarna, en 20% groei tussen 2007 en 2012. De sector biedt nu bijna twee keer zoveel banen als in 1997. Door de kleine omvang van de sector vertaalt dit zich in 380 nieuwe banen. In provincie Utrecht wist de sector iedere periode van vijf jaar een paar procent meer te groeien dan in regio Veenendaal en kwam de totale groei op 128% uit. De grootste werkgevers in deze sector zijn Staatsbosbeheer en het Ouwehands dierenpark in Rhenen.</w:t>
      </w:r>
    </w:p>
    <w:p w14:paraId="76E52590" w14:textId="77777777" w:rsidR="00812DEE" w:rsidRPr="00302170" w:rsidRDefault="00812DEE" w:rsidP="00002889">
      <w:pPr>
        <w:pStyle w:val="Heading2"/>
      </w:pPr>
      <w:r w:rsidRPr="00302170">
        <w:t>Overige dienstverlening</w:t>
      </w:r>
    </w:p>
    <w:p w14:paraId="39DDAAF6" w14:textId="4294FE8A" w:rsidR="00812DEE" w:rsidRPr="00002889"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Deze sector is net iets kleiner dan in de rest van de provincie, maar groter dan op de meeste andere plaatsen in Nederland. Door krimp tussen 2002 en 2007 blijft de groei in Ede-Wageningen achter, ondanks een sterke groei in de vijf jaar hierna. In regio Veenendaal begon de sector tussen 1997 en 2002 met een sterke groei, die over vijftien jaar langzaam afnam tot een stabiele sector. In totaal groeide de sector 41%, gelijk aan de groei in provincie Utrecht en meer dan in Nederland. Op deze schaalniveaus vond echter een meer gelijkmatige groei plaats en is geen sprake van de neerwaartse trend in regio Veenendaal. Ruim een kwart van de werkgelegenheid in deze sector is afkomstig van religieuze organisaties op de Heuvelrug en in Veenendaal.</w:t>
      </w:r>
    </w:p>
    <w:p w14:paraId="07F4619C" w14:textId="68F5BA57" w:rsidR="00812DEE" w:rsidRDefault="00002889" w:rsidP="00002889">
      <w:pPr>
        <w:pStyle w:val="Heading1"/>
      </w:pPr>
      <w:bookmarkStart w:id="67" w:name="_Toc316143589"/>
      <w:bookmarkStart w:id="68" w:name="_Toc337655441"/>
      <w:r>
        <w:t xml:space="preserve">5.6 </w:t>
      </w:r>
      <w:r w:rsidR="00812DEE" w:rsidRPr="00302170">
        <w:t>Clusters</w:t>
      </w:r>
      <w:bookmarkEnd w:id="67"/>
      <w:bookmarkEnd w:id="68"/>
    </w:p>
    <w:p w14:paraId="592A8CED" w14:textId="35FA7D03" w:rsidR="00812DEE" w:rsidRPr="00002889" w:rsidRDefault="00812DEE" w:rsidP="00812DEE">
      <w:pPr>
        <w:outlineLvl w:val="0"/>
        <w:rPr>
          <w:rFonts w:ascii="Calibri" w:eastAsia="Times New Roman" w:hAnsi="Calibri" w:cs="Times New Roman"/>
          <w:color w:val="000000"/>
        </w:rPr>
      </w:pPr>
      <w:r>
        <w:rPr>
          <w:rFonts w:ascii="Calibri" w:eastAsia="Times New Roman" w:hAnsi="Calibri" w:cs="Times New Roman"/>
          <w:color w:val="000000"/>
        </w:rPr>
        <w:t xml:space="preserve">Tot nu toe is er per SBI-sectie een beeld geschetst van de omvang in banen in regio Veenendaal. Om een goed beeld de krijgen van de specialisaties die regio Veenendaal echt heeft, zal echter moeten worden ingezoomd op groepen bedrijven binnen een SBI-sectie die met dezelfde producten bezig zijn. Ook zijn er bedrijven die samenwerken over de grenzen van SBI-secties heen, zoals producenten in de maakindustrie die samenwerken met groothandel die dezelfde specialisaties kent. Daarom volgen hieronder enkele clusters van bedrijven die elkaar aanvullen en een grote betekenis hebben voor de arbeidsmarkt in regio Veenendaal. </w:t>
      </w:r>
    </w:p>
    <w:p w14:paraId="506D51C3" w14:textId="77777777" w:rsidR="00812DEE" w:rsidRPr="00302170" w:rsidRDefault="00812DEE" w:rsidP="00002889">
      <w:pPr>
        <w:pStyle w:val="Heading2"/>
      </w:pPr>
      <w:r w:rsidRPr="00302170">
        <w:t>ICT-</w:t>
      </w:r>
      <w:r>
        <w:t>dienstverlening</w:t>
      </w:r>
    </w:p>
    <w:p w14:paraId="0CE694BD" w14:textId="77777777"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De grootste ICT bedrijven in regio Veenendaal hebben geen specialisatie, maar bieden een breed palet aan advies en software. Veenendaalse bedrijven zoals Detron (500 werknemers), Infosupport (280 werknemers), Cegeka (210 werknemers), Unit4 (130 werknemers) en Brain Force (75 werknemers) hebben diensten voor cloud-opslag, mobiele datatoegang, predictive analytics en het integreren van verschillende bestaande software pakketten. Bedrijven krijgen advies van deze ICT-adviseurs over hoe nieuwe techniek voor meer efficiëntie kan zorgen en krijgen de techniek geleverd met de gewenste aanpassingen. Vervolgens worden trainingen gegeven voor de omgang met de software en blijft de ICT-dienstverlener onderhoud doen aan het geleverde softwarepakket. De bedrijven in deze sector groeien nog altijd sterk</w:t>
      </w:r>
      <w:r>
        <w:rPr>
          <w:rFonts w:ascii="Calibri" w:eastAsia="Times New Roman" w:hAnsi="Calibri" w:cs="Times New Roman"/>
          <w:color w:val="000000"/>
        </w:rPr>
        <w:t>. Een gevaar voor deze bedrijven is wel dat de ICT bedrijven die niet op één punt gespecialiseerd zijn, steeds meer aan schaalvergroting doen, en steeds internationaler worden. Voor de internationale markt zijn de bedrijven in regio Veenendaal relatief klein, en het is de vraag of deze bedrijven kunnen blijven concurreren met buitenlandse ICT-bedrijven (ABN-AMRO, 2014). In Veenendaal is ook sprake van schaalvergroting; Detron kocht de afgelopen vijf jaar veel kleinere ICT specialisten in Veenendaal en Noord-Brabant, die in 2012 bij het nieuwe hoofdkantoor in Veenendaal werden gevoegd.</w:t>
      </w:r>
    </w:p>
    <w:p w14:paraId="572E7DC4" w14:textId="659ABB06" w:rsidR="00812DEE" w:rsidRPr="00002889" w:rsidRDefault="00812DEE" w:rsidP="00002889">
      <w:pPr>
        <w:ind w:firstLine="720"/>
        <w:rPr>
          <w:rFonts w:ascii="Calibri" w:eastAsia="Times New Roman" w:hAnsi="Calibri" w:cs="Times New Roman"/>
          <w:color w:val="000000"/>
        </w:rPr>
      </w:pPr>
      <w:r>
        <w:rPr>
          <w:rFonts w:ascii="Calibri" w:eastAsia="Times New Roman" w:hAnsi="Calibri" w:cs="Times New Roman"/>
          <w:color w:val="000000"/>
        </w:rPr>
        <w:t>Cegeka en I</w:t>
      </w:r>
      <w:r w:rsidRPr="00302170">
        <w:rPr>
          <w:rFonts w:ascii="Calibri" w:eastAsia="Times New Roman" w:hAnsi="Calibri" w:cs="Times New Roman"/>
          <w:color w:val="000000"/>
        </w:rPr>
        <w:t xml:space="preserve">nfosupport richten zich op dit moment voornamelijk op overheid, de financiële sector en woningbouwverenigingen, </w:t>
      </w:r>
      <w:r>
        <w:rPr>
          <w:rFonts w:ascii="Calibri" w:eastAsia="Times New Roman" w:hAnsi="Calibri" w:cs="Times New Roman"/>
          <w:color w:val="000000"/>
        </w:rPr>
        <w:t>en</w:t>
      </w:r>
      <w:r w:rsidRPr="00302170">
        <w:rPr>
          <w:rFonts w:ascii="Calibri" w:eastAsia="Times New Roman" w:hAnsi="Calibri" w:cs="Times New Roman"/>
          <w:color w:val="000000"/>
        </w:rPr>
        <w:t xml:space="preserve"> zijn nu de grootste initiatiefnemers in het project ICT-valley. Dit initiatief richt zich op samenwerking tussen alle ICT- en foodbedrijven rondom Veenendaal. In samenwerking met ICT-valley heeft gemeente Veenendaal een vestiging van Novi naar Veenendaal gehaald. Dit is een aanbieder van HBO-opleidingen in ICT en bedrijfskunde en zal tweejarige opleidingen aanbieden vanuit het hoofdkantoor van Detron. Naast deze algemene ICT-dienstverleners kent de regio nog twee ICT-specialisaties: De ICT- en cybercrime teams van de politie, en</w:t>
      </w:r>
      <w:r>
        <w:rPr>
          <w:rFonts w:ascii="Calibri" w:eastAsia="Times New Roman" w:hAnsi="Calibri" w:cs="Times New Roman"/>
          <w:color w:val="000000"/>
        </w:rPr>
        <w:t xml:space="preserve"> advies op het gebied van</w:t>
      </w:r>
      <w:r w:rsidRPr="00302170">
        <w:rPr>
          <w:rFonts w:ascii="Calibri" w:eastAsia="Times New Roman" w:hAnsi="Calibri" w:cs="Times New Roman"/>
          <w:color w:val="000000"/>
        </w:rPr>
        <w:t xml:space="preserve"> supply chain</w:t>
      </w:r>
      <w:r>
        <w:rPr>
          <w:rFonts w:ascii="Calibri" w:eastAsia="Times New Roman" w:hAnsi="Calibri" w:cs="Times New Roman"/>
          <w:color w:val="000000"/>
        </w:rPr>
        <w:t>-software</w:t>
      </w:r>
      <w:r w:rsidRPr="00302170">
        <w:rPr>
          <w:rFonts w:ascii="Calibri" w:eastAsia="Times New Roman" w:hAnsi="Calibri" w:cs="Times New Roman"/>
          <w:color w:val="000000"/>
        </w:rPr>
        <w:t>.</w:t>
      </w:r>
    </w:p>
    <w:p w14:paraId="2D9BB2FA" w14:textId="77777777" w:rsidR="00812DEE" w:rsidRPr="00302170" w:rsidRDefault="00812DEE" w:rsidP="00002889">
      <w:pPr>
        <w:pStyle w:val="Heading2"/>
      </w:pPr>
      <w:r w:rsidRPr="00302170">
        <w:t>Supply Chain advies</w:t>
      </w:r>
    </w:p>
    <w:p w14:paraId="030761CE" w14:textId="7C05B456"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Binnen de ICT-sector zijn in Veenendaal veel bedrijven die zich bezig houden met het optimaliseren van supply chain management. Met behulp van software proberen bedrijven productie, transport en bevoorrading zo efficiënt mogelijk te laten verlopen. Bedrijven die zich bezig houden met supply chains staan ingeschreven als software ontwikkelaars, groothandels voor software, adviesbureaus of opleidingen, en opereren op het punt waar deze sectoren samenkomen. De software wordt aangevuld met professioneel advies en eventuele trainingen voor de klant. Er zijn tientallen bedrijven in regio Veenendaal die zich op dit gebied gespecialiseerd hebben, met vijf tot vijftig werknemers in dienst. ABN-AMRO (2014) wijst supply-chain software als groeimarkt aan voor het komende jaar. Deze branche zal het komende jaar dus waarschijnlijk gestaag door blijven groeien.</w:t>
      </w:r>
      <w:r>
        <w:rPr>
          <w:rFonts w:ascii="Calibri" w:eastAsia="Times New Roman" w:hAnsi="Calibri" w:cs="Times New Roman"/>
          <w:color w:val="000000"/>
        </w:rPr>
        <w:t xml:space="preserve"> Een voor de hand liggende partner voor supply chain advies zijn groothandels. In regio Veenendaal zelf is echter relatief weinig groothandel te vinden.</w:t>
      </w:r>
    </w:p>
    <w:p w14:paraId="4D3FCBA4" w14:textId="77777777" w:rsidR="00812DEE" w:rsidRPr="00302170" w:rsidRDefault="00812DEE" w:rsidP="00002889">
      <w:pPr>
        <w:pStyle w:val="Heading2"/>
      </w:pPr>
      <w:r w:rsidRPr="00302170">
        <w:t>Ingenieurs en metaalbouw</w:t>
      </w:r>
    </w:p>
    <w:p w14:paraId="3A32350C" w14:textId="2BC4071D" w:rsidR="00812DEE" w:rsidRPr="00302170" w:rsidRDefault="00812DEE" w:rsidP="00812DEE">
      <w:pPr>
        <w:rPr>
          <w:rFonts w:ascii="Calibri" w:eastAsia="Times New Roman" w:hAnsi="Calibri" w:cs="Times New Roman"/>
          <w:color w:val="000000"/>
        </w:rPr>
      </w:pPr>
      <w:r w:rsidRPr="00302170">
        <w:rPr>
          <w:rFonts w:ascii="Calibri" w:eastAsia="Times New Roman" w:hAnsi="Calibri" w:cs="Times New Roman"/>
          <w:color w:val="000000"/>
        </w:rPr>
        <w:t>Regio Veenendaal kent ook veel ingenieursbureaus. De meeste hiervan zijn gevestigd in gemeente Veenendaal en</w:t>
      </w:r>
      <w:r>
        <w:rPr>
          <w:rFonts w:ascii="Calibri" w:eastAsia="Times New Roman" w:hAnsi="Calibri" w:cs="Times New Roman"/>
          <w:color w:val="000000"/>
        </w:rPr>
        <w:t xml:space="preserve"> in</w:t>
      </w:r>
      <w:r w:rsidRPr="00302170">
        <w:rPr>
          <w:rFonts w:ascii="Calibri" w:eastAsia="Times New Roman" w:hAnsi="Calibri" w:cs="Times New Roman"/>
          <w:color w:val="000000"/>
        </w:rPr>
        <w:t xml:space="preserve"> Wijk bij Duurstede. De grootste ingenieursbureaus houden zich bezig met de planning van grote infrastructurele projecten, maar er zijn ook kleinere bureaus die zich richten op delen van gebouwen of mechanismen in auto’s. Naast ingenieursbureaus zijn er ook veel bedrijven in de regio te vinden die zich specialiseren in metaalbouw. Deze bedrijven doen ingenieurswerk en hebben zelf ook metaalspecialisten in huis om de plannen uit te voeren. De metaalbewerking in de regio richt zich op grootschalige metalen bouwconstructies, maar ook op precisiewerk. Bijvoorbeeld de twee </w:t>
      </w:r>
      <w:r w:rsidRPr="00302170">
        <w:rPr>
          <w:rFonts w:ascii="Calibri" w:eastAsia="Times New Roman" w:hAnsi="Calibri" w:cs="Times New Roman"/>
          <w:i/>
          <w:color w:val="000000"/>
        </w:rPr>
        <w:t>NN</w:t>
      </w:r>
      <w:r w:rsidRPr="00302170">
        <w:rPr>
          <w:rFonts w:ascii="Calibri" w:eastAsia="Times New Roman" w:hAnsi="Calibri" w:cs="Times New Roman"/>
          <w:color w:val="000000"/>
        </w:rPr>
        <w:t xml:space="preserve"> fabrieken, waar onderdelen voor de auto-industrie of voor in protheses gemaakt worden. De hoeveelheid banen in de metaalbouw is stabiel gebleven de afgelopen 15 jaar, terwijl andere takken van de bouwsector sterk krompen. Het aantal bedrijven dat zich richt op het vervaardigen van metalen onderdelen en apparate</w:t>
      </w:r>
      <w:r w:rsidR="00002889">
        <w:rPr>
          <w:rFonts w:ascii="Calibri" w:eastAsia="Times New Roman" w:hAnsi="Calibri" w:cs="Times New Roman"/>
          <w:color w:val="000000"/>
        </w:rPr>
        <w:t>n is wel afgenomen in de regio.</w:t>
      </w:r>
    </w:p>
    <w:p w14:paraId="3329E686" w14:textId="77777777" w:rsidR="00812DEE" w:rsidRPr="00302170" w:rsidRDefault="00812DEE" w:rsidP="00002889">
      <w:pPr>
        <w:pStyle w:val="Heading2"/>
      </w:pPr>
      <w:r w:rsidRPr="00302170">
        <w:t>Zorg</w:t>
      </w:r>
    </w:p>
    <w:p w14:paraId="75481231" w14:textId="614190E0" w:rsidR="00927B5C" w:rsidRDefault="00812DEE" w:rsidP="00927B5C">
      <w:pPr>
        <w:rPr>
          <w:rFonts w:ascii="Calibri" w:eastAsia="Times New Roman" w:hAnsi="Calibri" w:cs="Times New Roman"/>
          <w:color w:val="000000"/>
        </w:rPr>
      </w:pPr>
      <w:r w:rsidRPr="00302170">
        <w:rPr>
          <w:rFonts w:ascii="Calibri" w:eastAsia="Times New Roman" w:hAnsi="Calibri" w:cs="Times New Roman"/>
          <w:color w:val="000000"/>
        </w:rPr>
        <w:t>In Driebergen-Rijssenburg, Doorn en Veenendaal zijn bijzonder veel opvangtehuizen te vinden voor ouderen en mensen met psychische of fysieke handicaps. Het gaat om 1600 banen in de psychische zorg, het aandeel in de totale werkgelegenheid is 2,3 keer hoger dan</w:t>
      </w:r>
      <w:r>
        <w:rPr>
          <w:rFonts w:ascii="Calibri" w:eastAsia="Times New Roman" w:hAnsi="Calibri" w:cs="Times New Roman"/>
          <w:color w:val="000000"/>
        </w:rPr>
        <w:t xml:space="preserve"> in Nederland over het algemeen.</w:t>
      </w:r>
      <w:r w:rsidRPr="00302170">
        <w:rPr>
          <w:rFonts w:ascii="Calibri" w:eastAsia="Times New Roman" w:hAnsi="Calibri" w:cs="Times New Roman"/>
          <w:color w:val="000000"/>
        </w:rPr>
        <w:t xml:space="preserve"> </w:t>
      </w:r>
      <w:r>
        <w:rPr>
          <w:rFonts w:ascii="Calibri" w:eastAsia="Times New Roman" w:hAnsi="Calibri" w:cs="Times New Roman"/>
          <w:color w:val="000000"/>
        </w:rPr>
        <w:t>Bovendien</w:t>
      </w:r>
      <w:r w:rsidRPr="00302170">
        <w:rPr>
          <w:rFonts w:ascii="Calibri" w:eastAsia="Times New Roman" w:hAnsi="Calibri" w:cs="Times New Roman"/>
          <w:color w:val="000000"/>
        </w:rPr>
        <w:t xml:space="preserve"> groeide </w:t>
      </w:r>
      <w:r>
        <w:rPr>
          <w:rFonts w:ascii="Calibri" w:eastAsia="Times New Roman" w:hAnsi="Calibri" w:cs="Times New Roman"/>
          <w:color w:val="000000"/>
        </w:rPr>
        <w:t xml:space="preserve">de psychische zorg </w:t>
      </w:r>
      <w:r w:rsidRPr="00302170">
        <w:rPr>
          <w:rFonts w:ascii="Calibri" w:eastAsia="Times New Roman" w:hAnsi="Calibri" w:cs="Times New Roman"/>
          <w:color w:val="000000"/>
        </w:rPr>
        <w:t>harder dan in de rest van Nederland over de laatste vijftien jaar. Ook het aandeel van niet-psychiatrische opvang is anderhalf keer hoger dan in Nederland, en telde in 2012 2,5 keer zoveel werknemers als in 1997. Door de rustige en bosrijke omgeving vlak buiten de randstad kiezen veel zorgbedrijven de Utrechtse Heuvelrug als vestigingsplaats.</w:t>
      </w:r>
      <w:r>
        <w:rPr>
          <w:rFonts w:ascii="Calibri" w:eastAsia="Times New Roman" w:hAnsi="Calibri" w:cs="Times New Roman"/>
          <w:color w:val="000000"/>
        </w:rPr>
        <w:t xml:space="preserve"> Het is onbekend wat de gevolgen voor grote concentratie van zorgbedrijven zullen zijn als in 2015 gemeentes verantwoordelijk worden voor de uitvoering van het zorgbeleid.</w:t>
      </w:r>
    </w:p>
    <w:p w14:paraId="68EEE73F" w14:textId="77777777" w:rsidR="00927B5C" w:rsidRDefault="00927B5C" w:rsidP="00927B5C">
      <w:pPr>
        <w:pStyle w:val="Heading1"/>
        <w:rPr>
          <w:rFonts w:ascii="Calibri" w:eastAsia="Times New Roman" w:hAnsi="Calibri" w:cs="Times New Roman"/>
          <w:color w:val="4F81BD" w:themeColor="accent1"/>
        </w:rPr>
      </w:pPr>
      <w:bookmarkStart w:id="69" w:name="_Toc337655442"/>
      <w:r w:rsidRPr="00927B5C">
        <w:rPr>
          <w:rFonts w:ascii="Calibri" w:eastAsia="Times New Roman" w:hAnsi="Calibri" w:cs="Times New Roman"/>
          <w:color w:val="4F81BD" w:themeColor="accent1"/>
        </w:rPr>
        <w:t>5.7 Conclusie</w:t>
      </w:r>
      <w:bookmarkEnd w:id="69"/>
    </w:p>
    <w:p w14:paraId="2B5FC5B5" w14:textId="624567AF" w:rsidR="00927B5C" w:rsidRPr="00927B5C" w:rsidRDefault="00FE2BB5" w:rsidP="00927B5C">
      <w:r>
        <w:t>De grote vestigingen van defensie en de nationale politie maken overheidsdiensten de grootste specialisatie van regio Veenendaal. De aanwezigheid van het ICT-centrum van de politie overlapt met de concentratie ICT-gerichte bedrijven in de regio. Dit zijn voornamelijk grote software-adviesbureaus en kleinere bedrijven die supply chain software integreren</w:t>
      </w:r>
      <w:r w:rsidR="007A42AE">
        <w:t>. Buiten de politie gerekend zi</w:t>
      </w:r>
      <w:r>
        <w:t>t er de afgelopen tien jaar weinig groei in de Veenendaalse ICT, maar met een nieuwe opleiding en een toekomstvisie die lokale ICT-spelers integreert met de succesvolle foodvalley in Wageningen liggen hier wel kansen. Naast ICT is er veel ingenieurskennis aanwezig in regio Veenendaal, verdeeld over metaalindustrie, metaalbouw en specialistische dienstverlening. In gemeente Veenendaal zijn detailhandel en groothandel nog altij</w:t>
      </w:r>
      <w:r w:rsidR="00A472B3">
        <w:t xml:space="preserve">d erg groot, maar de afgelopen </w:t>
      </w:r>
      <w:r>
        <w:t xml:space="preserve">5 jaar </w:t>
      </w:r>
      <w:r w:rsidR="00A472B3">
        <w:t>groeide deze sector minder hard dan in de rest van Nederland. Op de Utrechtse Heuvelrug zijn zorg en landbouw grote sectoren. De zorg specialiseert zich voornamelijk in kleinere praktijken en grootschalige opvang voor mensen met permanente aandoeningen en bejaarden.</w:t>
      </w:r>
    </w:p>
    <w:p w14:paraId="7B662A18" w14:textId="302A490F" w:rsidR="00DC1E1A" w:rsidRPr="00927B5C" w:rsidRDefault="00812DEE" w:rsidP="00461E8A">
      <w:pPr>
        <w:pStyle w:val="Title"/>
        <w:rPr>
          <w:rFonts w:ascii="Calibri" w:eastAsia="Times New Roman" w:hAnsi="Calibri" w:cs="Times New Roman"/>
          <w:color w:val="000000"/>
        </w:rPr>
      </w:pPr>
      <w:r>
        <w:rPr>
          <w:rFonts w:ascii="Calibri" w:eastAsia="Times New Roman" w:hAnsi="Calibri" w:cs="Times New Roman"/>
          <w:color w:val="000000"/>
        </w:rPr>
        <w:br w:type="column"/>
      </w:r>
      <w:bookmarkStart w:id="70" w:name="_Toc316143590"/>
      <w:bookmarkStart w:id="71" w:name="_Toc337655443"/>
      <w:r w:rsidR="003910BE" w:rsidRPr="003910BE">
        <w:t xml:space="preserve">6 </w:t>
      </w:r>
      <w:r w:rsidR="00DC1E1A" w:rsidRPr="003910BE">
        <w:t>Resultaten</w:t>
      </w:r>
      <w:bookmarkEnd w:id="70"/>
      <w:r w:rsidR="00206DC8">
        <w:t xml:space="preserve"> spin-offs</w:t>
      </w:r>
      <w:bookmarkEnd w:id="71"/>
    </w:p>
    <w:p w14:paraId="174DD194" w14:textId="377081C3" w:rsidR="00D02A3A" w:rsidRDefault="009F3BC9" w:rsidP="00DC1E1A">
      <w:r>
        <w:t>Nu bekend</w:t>
      </w:r>
      <w:r w:rsidR="00D372C2">
        <w:t xml:space="preserve"> is in welke sectoren de regio’s Woerden en Veenendaal gespecialiseerd zijn en hoe deze sectoren </w:t>
      </w:r>
      <w:r>
        <w:t>zich recent ontwikkeld hebben, focust dit hoofdstuk op nieuwe bedrijfsoprichtingen in de regio’s. Aan de hand van een enquête en enkele interviews wordt onderzocht in hoeverre nieuwe bedrijven gebruik maken van de kennis en ervaring die in de lokale economie aanwezig is.</w:t>
      </w:r>
      <w:r w:rsidR="00206DC8">
        <w:t xml:space="preserve"> Eerst komt aan bod in hoe verre ondernemers verder bouwen op hun vorige werkervaring, </w:t>
      </w:r>
      <w:r w:rsidR="00057487">
        <w:t>v</w:t>
      </w:r>
      <w:r w:rsidR="008B3161">
        <w:t>ervolgens worden beschrijvende statistieken en statistische toetsen besproken over de locatie van de bedrijven, het jaar van oprichten, het aantal werknemers bij de bedrijven en de groei hiervan. Dan volgt een analyse van de sectoren waarin de bedrijven opereren en tot slot worden de diepte interviews besproken.</w:t>
      </w:r>
    </w:p>
    <w:p w14:paraId="1F6DD6EF" w14:textId="22793CDF" w:rsidR="00D02A3A" w:rsidRDefault="00D02A3A" w:rsidP="00D02A3A">
      <w:pPr>
        <w:pStyle w:val="Heading1"/>
      </w:pPr>
      <w:bookmarkStart w:id="72" w:name="_Toc337655444"/>
      <w:r>
        <w:t>6.1 Regiospecialisatie en starters</w:t>
      </w:r>
      <w:bookmarkEnd w:id="72"/>
    </w:p>
    <w:p w14:paraId="3047A08A" w14:textId="2AE1401E" w:rsidR="00E91ADF" w:rsidRDefault="00D02A3A" w:rsidP="00D02A3A">
      <w:r>
        <w:t xml:space="preserve">Voordat de uitslag van de enquête wordt behandeld, wordt eerst gekeken naar de totale </w:t>
      </w:r>
      <w:r w:rsidR="003F0C62">
        <w:t>onderzoekspopulatie van</w:t>
      </w:r>
      <w:r>
        <w:t xml:space="preserve"> startende bedrijven die zijn gegroeid in de afgelopen tien jaar. In afbeelding 6.1 is te zien in hoeverre het aantal groeiende bedrijven die zijn gestart tussen 1998 en 2003  zich verhouden ten opzichte  van </w:t>
      </w:r>
      <w:r w:rsidR="00E91ADF">
        <w:t xml:space="preserve">de specialisaties van regio Woerden en Veenendaal. Hiervoor is een locatie quotiënt berekend waarin Veenendaal en Woerden een gecombineerde regio zijn die aan de hand van het aantal bedrijfsvestigingen per SBI-sectie wordt vergeleken met het aantal bedrijfsvestigingen in Nederland. </w:t>
      </w:r>
      <w:r w:rsidR="009617FF">
        <w:t>De Woerdense specialisatie in landbouw valt weg wanneer de twee regio’s worden gecombineerd, de overige specialisaties blijven wel overeind.</w:t>
      </w:r>
    </w:p>
    <w:p w14:paraId="0346351E" w14:textId="08FBF0B4" w:rsidR="00D02A3A" w:rsidRDefault="00E91ADF" w:rsidP="00D02A3A">
      <w:r>
        <w:rPr>
          <w:noProof/>
          <w:lang w:val="en-US" w:eastAsia="en-US"/>
        </w:rPr>
        <w:drawing>
          <wp:inline distT="0" distB="0" distL="0" distR="0" wp14:anchorId="444DD1A1" wp14:editId="0482FD9A">
            <wp:extent cx="5270500" cy="4340225"/>
            <wp:effectExtent l="0" t="0" r="1270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Qvs370.jpg"/>
                    <pic:cNvPicPr/>
                  </pic:nvPicPr>
                  <pic:blipFill>
                    <a:blip r:embed="rId25">
                      <a:extLst>
                        <a:ext uri="{28A0092B-C50C-407E-A947-70E740481C1C}">
                          <a14:useLocalDpi xmlns:a14="http://schemas.microsoft.com/office/drawing/2010/main" val="0"/>
                        </a:ext>
                      </a:extLst>
                    </a:blip>
                    <a:stretch>
                      <a:fillRect/>
                    </a:stretch>
                  </pic:blipFill>
                  <pic:spPr>
                    <a:xfrm>
                      <a:off x="0" y="0"/>
                      <a:ext cx="5270500" cy="4340225"/>
                    </a:xfrm>
                    <a:prstGeom prst="rect">
                      <a:avLst/>
                    </a:prstGeom>
                  </pic:spPr>
                </pic:pic>
              </a:graphicData>
            </a:graphic>
          </wp:inline>
        </w:drawing>
      </w:r>
    </w:p>
    <w:p w14:paraId="6D17E20C" w14:textId="3E75E36C" w:rsidR="00E91ADF" w:rsidRDefault="00E91ADF" w:rsidP="00D02A3A">
      <w:pPr>
        <w:rPr>
          <w:color w:val="4F81BD" w:themeColor="accent1"/>
          <w:sz w:val="20"/>
        </w:rPr>
      </w:pPr>
      <w:r w:rsidRPr="00E91ADF">
        <w:rPr>
          <w:b/>
          <w:color w:val="4F81BD" w:themeColor="accent1"/>
          <w:sz w:val="20"/>
        </w:rPr>
        <w:t>Afbeelding 6.1:</w:t>
      </w:r>
      <w:r w:rsidRPr="00E91ADF">
        <w:rPr>
          <w:color w:val="4F81BD" w:themeColor="accent1"/>
          <w:sz w:val="20"/>
        </w:rPr>
        <w:t xml:space="preserve"> Locatie quotiënten</w:t>
      </w:r>
      <w:r w:rsidR="00FA6242">
        <w:rPr>
          <w:color w:val="4F81BD" w:themeColor="accent1"/>
          <w:sz w:val="20"/>
        </w:rPr>
        <w:t xml:space="preserve"> van het jaar 1998</w:t>
      </w:r>
      <w:r w:rsidRPr="00E91ADF">
        <w:rPr>
          <w:color w:val="4F81BD" w:themeColor="accent1"/>
          <w:sz w:val="20"/>
        </w:rPr>
        <w:t xml:space="preserve"> voor een gecombineerde regio van Woerden en Veenendaal, met daaronder het aantal bedrijfsvestigingen die zijn gestart tussen 1998 en 2003 en vervolgens zijn gegroeid.</w:t>
      </w:r>
    </w:p>
    <w:p w14:paraId="6C2D5001" w14:textId="77777777" w:rsidR="003D30D1" w:rsidRDefault="003D30D1" w:rsidP="00D02A3A">
      <w:pPr>
        <w:rPr>
          <w:color w:val="4F81BD" w:themeColor="accent1"/>
          <w:sz w:val="20"/>
        </w:rPr>
      </w:pPr>
    </w:p>
    <w:p w14:paraId="216319CC" w14:textId="2D0AE32B" w:rsidR="003D30D1" w:rsidRDefault="00B26623" w:rsidP="00D02A3A">
      <w:r>
        <w:t xml:space="preserve">De grafieken van de locatie </w:t>
      </w:r>
      <w:r w:rsidR="00855FB9">
        <w:t>quotiënten</w:t>
      </w:r>
      <w:r>
        <w:t xml:space="preserve"> en </w:t>
      </w:r>
      <w:r w:rsidR="00855FB9">
        <w:t>de startende bedrijven vertonen vergelijkbare pieken en dalen. Sectoren die voor grote delen in handen van de overheid zijn (energie, water en afval, overheidsinstellingen) zijn hierop een uitzondering, evenals Delfstoffen, een sector die in absolute aantallen zeer klein is.</w:t>
      </w:r>
      <w:r w:rsidR="00BB24CD">
        <w:t xml:space="preserve"> </w:t>
      </w:r>
      <w:r w:rsidR="00855FB9">
        <w:t xml:space="preserve">De ICT heeft met 1,14 een hoog LQ, maar beslaat toch maar 5,7% uit van de groeiende starters. Ondanks veel ICT-kennis in de regio’s en het relatief kleine startkapitaal dat nodig is om een ICT-bedrijf op te starten zijn er maar weinig nieuwe bedrijven gestart in deze sector die </w:t>
      </w:r>
      <w:r w:rsidR="003F0C62">
        <w:t>zijn gegroeid (het aantal ZZP’ers in de sector nam wel sterk toe).</w:t>
      </w:r>
      <w:r w:rsidR="003D2C98">
        <w:t xml:space="preserve"> Ook de zorgsector kent maar weinig groeiende starters vanuit de periode 1998-2002. Bedrijven in deze sector zijn vaak grootschalige bedrijven die al langer bestaan, of kleinere praktijken met een werknemersbestand dat niet groeit.</w:t>
      </w:r>
    </w:p>
    <w:p w14:paraId="6DC72FF5" w14:textId="3AC1BA0D" w:rsidR="003F0C62" w:rsidRPr="003D30D1" w:rsidRDefault="003F0C62" w:rsidP="00D02A3A">
      <w:r>
        <w:tab/>
        <w:t>De specialisaties op het gebied van bouw, handel en specialistische zakelijke dienstverlening komen wel duidelijk naar voren in de onderzoekspopulatie</w:t>
      </w:r>
      <w:r w:rsidR="001948EF">
        <w:t>. Er zijn relatief weinig nieuwe groeiende landbouwbedrijven, onder andere doordat de beschikbare grond hiervoor zeer beperkt is</w:t>
      </w:r>
      <w:r>
        <w:t>.</w:t>
      </w:r>
      <w:r w:rsidR="00BB24CD">
        <w:t xml:space="preserve"> De overige sectoren behoren zowel qua groeiende starters als qua LQ tot de middenmoot. De specialisaties van bouw, handel en specialistische zakelijke dienstverlening zijn de afgelopen vijftien jaar dus versterkt met nieuwe bedrijven, terwijl </w:t>
      </w:r>
      <w:r w:rsidR="000F4E56">
        <w:t>ICT achterblijft qua succesvolle nieuwe bedrijven.</w:t>
      </w:r>
      <w:r w:rsidR="00416A4B">
        <w:t xml:space="preserve"> In paragrafen 6.9 en 6.10 wordt verder ingegaan op sectoren die spin-offs voortbrengen de sectoren waarin respondenten van de enquête zich vestigden. Eerst wordt echter aandacht besteed aan ander factoren die mogelijk invloed hebben op het verschil tussen spin-offs en ondernemers die geen eerdere kennis uit hun carrière gebruiken.</w:t>
      </w:r>
    </w:p>
    <w:p w14:paraId="624BC6CC" w14:textId="02081C01" w:rsidR="00206DC8" w:rsidRDefault="002511AC" w:rsidP="00206DC8">
      <w:pPr>
        <w:pStyle w:val="Heading1"/>
      </w:pPr>
      <w:bookmarkStart w:id="73" w:name="_Toc337655445"/>
      <w:r>
        <w:t>6.2</w:t>
      </w:r>
      <w:r w:rsidR="00206DC8">
        <w:t xml:space="preserve"> Ervaring</w:t>
      </w:r>
      <w:bookmarkEnd w:id="73"/>
    </w:p>
    <w:p w14:paraId="5D4E574C" w14:textId="61BED1A4" w:rsidR="00DC1E1A" w:rsidRDefault="00000687" w:rsidP="00DC1E1A">
      <w:r>
        <w:t>Het voordeel van een spin-off</w:t>
      </w:r>
      <w:r w:rsidR="00546B99">
        <w:t xml:space="preserve"> t</w:t>
      </w:r>
      <w:r>
        <w:t>egenover een conventionele start-up</w:t>
      </w:r>
      <w:r w:rsidR="00546B99">
        <w:t xml:space="preserve"> is dat een start-up eerdere ervaring kan gebruiken en hiermee een voordeel kan behalen</w:t>
      </w:r>
      <w:r>
        <w:t xml:space="preserve">. </w:t>
      </w:r>
      <w:r w:rsidR="00DC1E1A">
        <w:t>Van de 39 respondenten, gaven 25 oprichters (64,1%) aan dat zij in hun huidige bedrijf gebruik maakten van ervaring die zij hadden opgedaan bij hun laatst vorige werkgever en wordt daardoor als spin-off gezien. Afbeelding 6.1 laat de verhouding zien.</w:t>
      </w:r>
    </w:p>
    <w:p w14:paraId="2177F4C6" w14:textId="77777777" w:rsidR="00DC1E1A" w:rsidRDefault="00DC1E1A" w:rsidP="00F43334">
      <w:pPr>
        <w:jc w:val="center"/>
      </w:pPr>
      <w:r w:rsidRPr="003912FE">
        <w:rPr>
          <w:noProof/>
          <w:lang w:val="en-US" w:eastAsia="en-US"/>
        </w:rPr>
        <w:drawing>
          <wp:inline distT="0" distB="0" distL="0" distR="0" wp14:anchorId="4940FBBE" wp14:editId="73AD05CE">
            <wp:extent cx="2509520" cy="1651000"/>
            <wp:effectExtent l="0" t="0" r="3048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F61491" w14:textId="643AA884" w:rsidR="00DC1E1A" w:rsidRPr="0006033D" w:rsidRDefault="00DC1E1A" w:rsidP="00DC1E1A">
      <w:pPr>
        <w:rPr>
          <w:color w:val="4F81BD" w:themeColor="accent1"/>
          <w:sz w:val="20"/>
        </w:rPr>
      </w:pPr>
      <w:r w:rsidRPr="0006033D">
        <w:rPr>
          <w:b/>
          <w:color w:val="4F81BD" w:themeColor="accent1"/>
          <w:sz w:val="20"/>
        </w:rPr>
        <w:t>Afbeelding</w:t>
      </w:r>
      <w:r w:rsidR="002511AC">
        <w:rPr>
          <w:b/>
          <w:color w:val="4F81BD" w:themeColor="accent1"/>
          <w:sz w:val="20"/>
        </w:rPr>
        <w:t xml:space="preserve"> 6.2</w:t>
      </w:r>
      <w:r w:rsidRPr="0006033D">
        <w:rPr>
          <w:b/>
          <w:color w:val="4F81BD" w:themeColor="accent1"/>
          <w:sz w:val="20"/>
        </w:rPr>
        <w:t>:</w:t>
      </w:r>
      <w:r w:rsidRPr="0006033D">
        <w:rPr>
          <w:color w:val="4F81BD" w:themeColor="accent1"/>
          <w:sz w:val="20"/>
        </w:rPr>
        <w:t xml:space="preserve"> De verhouding tussen spin-offs, met oprichters die aangaven vaardigheden, netwerk contacten of financiering vanuit hun vorige werkplaats gebruikt te hebben in hun huidige bedrijf, en overige start</w:t>
      </w:r>
      <w:r>
        <w:rPr>
          <w:color w:val="4F81BD" w:themeColor="accent1"/>
          <w:sz w:val="20"/>
        </w:rPr>
        <w:t>-</w:t>
      </w:r>
      <w:r w:rsidRPr="0006033D">
        <w:rPr>
          <w:color w:val="4F81BD" w:themeColor="accent1"/>
          <w:sz w:val="20"/>
        </w:rPr>
        <w:t>ups.</w:t>
      </w:r>
    </w:p>
    <w:p w14:paraId="287FC0D7" w14:textId="77777777" w:rsidR="00DC1E1A" w:rsidRDefault="00DC1E1A" w:rsidP="00DC1E1A">
      <w:pPr>
        <w:rPr>
          <w:i/>
        </w:rPr>
      </w:pPr>
    </w:p>
    <w:p w14:paraId="0757C7F9" w14:textId="366D8001" w:rsidR="00416A4B" w:rsidRDefault="00DC1E1A" w:rsidP="00DC1E1A">
      <w:r>
        <w:t>Bedrijfsoprichters kunnen op verschillende wijzen gebruik maken van eerdere ervaring. In het theoretisch kader worden human capital (kennis en vaardigheden), social capital (netwerk) en financial capital (geldstromen) genoemd als factoren die spin-offs kunnen erven en hun kans op succes doen toenemen. In tabel 6.1 staat per vorm van erfelijk kapitaal aangegeven hoeveel bedrijfsoprichters hiervan voordeel hebben gehad. Bedrijven kunnen van meerdere factoren profiteren. Slechts één van de respondenten gaf aan wel te profiteren van het netwerk dat werd opgedaan bij de vorige werkgever, maar niet van kennis. Alle andere respondenten die aangaven gebruik te hebben gemaakt van het netwerk of financiële middelen van het ouderbedrijf deden dit in combinatie met kennis.</w:t>
      </w:r>
    </w:p>
    <w:p w14:paraId="7629A360" w14:textId="77777777" w:rsidR="00416A4B" w:rsidRDefault="00416A4B" w:rsidP="00DC1E1A">
      <w:r>
        <w:br w:type="column"/>
      </w:r>
    </w:p>
    <w:tbl>
      <w:tblPr>
        <w:tblStyle w:val="ColorfulGrid-Accent1"/>
        <w:tblW w:w="5274" w:type="dxa"/>
        <w:tblLook w:val="04A0" w:firstRow="1" w:lastRow="0" w:firstColumn="1" w:lastColumn="0" w:noHBand="0" w:noVBand="1"/>
      </w:tblPr>
      <w:tblGrid>
        <w:gridCol w:w="2720"/>
        <w:gridCol w:w="1300"/>
        <w:gridCol w:w="1266"/>
      </w:tblGrid>
      <w:tr w:rsidR="00DC1E1A" w:rsidRPr="001C3D48" w14:paraId="3F313C54" w14:textId="77777777" w:rsidTr="003910BE">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0" w:type="dxa"/>
            <w:shd w:val="clear" w:color="auto" w:fill="365F91" w:themeFill="accent1" w:themeFillShade="BF"/>
            <w:noWrap/>
            <w:hideMark/>
          </w:tcPr>
          <w:p w14:paraId="146C961B" w14:textId="77777777" w:rsidR="00DC1E1A" w:rsidRPr="001C3D48" w:rsidRDefault="00DC1E1A" w:rsidP="003910BE">
            <w:pPr>
              <w:rPr>
                <w:rFonts w:eastAsia="Times New Roman" w:cs="Arial"/>
                <w:sz w:val="18"/>
                <w:szCs w:val="20"/>
                <w:lang w:val="en-GB"/>
              </w:rPr>
            </w:pPr>
          </w:p>
        </w:tc>
        <w:tc>
          <w:tcPr>
            <w:tcW w:w="1300" w:type="dxa"/>
            <w:shd w:val="clear" w:color="auto" w:fill="365F91" w:themeFill="accent1" w:themeFillShade="BF"/>
            <w:noWrap/>
            <w:hideMark/>
          </w:tcPr>
          <w:p w14:paraId="24C755DD" w14:textId="77777777" w:rsidR="00DC1E1A" w:rsidRPr="001C3D48" w:rsidRDefault="00DC1E1A" w:rsidP="003910BE">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20"/>
                <w:lang w:val="en-GB"/>
              </w:rPr>
            </w:pPr>
            <w:r w:rsidRPr="001C3D48">
              <w:rPr>
                <w:rFonts w:eastAsia="Times New Roman" w:cs="Arial"/>
                <w:color w:val="FFFFFF" w:themeColor="background1"/>
                <w:sz w:val="18"/>
                <w:szCs w:val="20"/>
                <w:lang w:val="en-GB"/>
              </w:rPr>
              <w:t>Aantal</w:t>
            </w:r>
          </w:p>
        </w:tc>
        <w:tc>
          <w:tcPr>
            <w:tcW w:w="1254" w:type="dxa"/>
            <w:shd w:val="clear" w:color="auto" w:fill="365F91" w:themeFill="accent1" w:themeFillShade="BF"/>
            <w:noWrap/>
            <w:hideMark/>
          </w:tcPr>
          <w:p w14:paraId="0E35C0C7" w14:textId="191DD107" w:rsidR="00DC1E1A" w:rsidRPr="001C3D48" w:rsidRDefault="00DC1E1A" w:rsidP="00EC6571">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20"/>
                <w:lang w:val="en-GB"/>
              </w:rPr>
            </w:pPr>
            <w:r w:rsidRPr="001C3D48">
              <w:rPr>
                <w:rFonts w:eastAsia="Times New Roman" w:cs="Arial"/>
                <w:color w:val="FFFFFF" w:themeColor="background1"/>
                <w:sz w:val="18"/>
                <w:szCs w:val="20"/>
                <w:lang w:val="en-GB"/>
              </w:rPr>
              <w:t xml:space="preserve"> </w:t>
            </w:r>
            <w:r w:rsidR="00EC6571">
              <w:rPr>
                <w:rFonts w:eastAsia="Times New Roman" w:cs="Arial"/>
                <w:color w:val="FFFFFF" w:themeColor="background1"/>
                <w:sz w:val="18"/>
                <w:szCs w:val="20"/>
                <w:lang w:val="en-GB"/>
              </w:rPr>
              <w:t xml:space="preserve">% </w:t>
            </w:r>
            <w:r w:rsidRPr="001C3D48">
              <w:rPr>
                <w:rFonts w:eastAsia="Times New Roman" w:cs="Arial"/>
                <w:color w:val="FFFFFF" w:themeColor="background1"/>
                <w:sz w:val="18"/>
                <w:szCs w:val="20"/>
                <w:lang w:val="en-GB"/>
              </w:rPr>
              <w:t>van respondenten</w:t>
            </w:r>
          </w:p>
        </w:tc>
      </w:tr>
      <w:tr w:rsidR="00DC1E1A" w:rsidRPr="001C3D48" w14:paraId="5A96872F" w14:textId="77777777" w:rsidTr="003910B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EE43888" w14:textId="77777777" w:rsidR="00DC1E1A" w:rsidRPr="001C3D48" w:rsidRDefault="00DC1E1A" w:rsidP="003910BE">
            <w:pPr>
              <w:rPr>
                <w:rFonts w:eastAsia="Times New Roman" w:cs="Arial"/>
                <w:sz w:val="18"/>
                <w:szCs w:val="20"/>
                <w:lang w:val="en-GB"/>
              </w:rPr>
            </w:pPr>
            <w:r w:rsidRPr="001C3D48">
              <w:rPr>
                <w:rFonts w:eastAsia="Times New Roman" w:cs="Arial"/>
                <w:sz w:val="18"/>
                <w:szCs w:val="20"/>
                <w:lang w:val="en-GB"/>
              </w:rPr>
              <w:t>Kennis</w:t>
            </w:r>
          </w:p>
        </w:tc>
        <w:tc>
          <w:tcPr>
            <w:tcW w:w="1300" w:type="dxa"/>
            <w:noWrap/>
            <w:hideMark/>
          </w:tcPr>
          <w:p w14:paraId="7459A753" w14:textId="77777777" w:rsidR="00DC1E1A" w:rsidRPr="001C3D48"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val="en-GB"/>
              </w:rPr>
            </w:pPr>
            <w:r>
              <w:rPr>
                <w:rFonts w:eastAsia="Times New Roman" w:cs="Arial"/>
                <w:sz w:val="18"/>
                <w:szCs w:val="20"/>
                <w:lang w:val="en-GB"/>
              </w:rPr>
              <w:t>25</w:t>
            </w:r>
          </w:p>
        </w:tc>
        <w:tc>
          <w:tcPr>
            <w:tcW w:w="1254" w:type="dxa"/>
            <w:noWrap/>
            <w:hideMark/>
          </w:tcPr>
          <w:p w14:paraId="2E7506E7" w14:textId="77777777" w:rsidR="00DC1E1A" w:rsidRPr="001C3D48"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val="en-GB"/>
              </w:rPr>
            </w:pPr>
            <w:r>
              <w:rPr>
                <w:rFonts w:eastAsia="Times New Roman" w:cs="Arial"/>
                <w:sz w:val="18"/>
                <w:szCs w:val="20"/>
                <w:lang w:val="en-GB"/>
              </w:rPr>
              <w:t>64,1</w:t>
            </w:r>
            <w:r w:rsidRPr="001C3D48">
              <w:rPr>
                <w:rFonts w:eastAsia="Times New Roman" w:cs="Arial"/>
                <w:sz w:val="18"/>
                <w:szCs w:val="20"/>
                <w:lang w:val="en-GB"/>
              </w:rPr>
              <w:t>%</w:t>
            </w:r>
          </w:p>
        </w:tc>
      </w:tr>
      <w:tr w:rsidR="00DC1E1A" w:rsidRPr="001C3D48" w14:paraId="6AEB7187" w14:textId="77777777" w:rsidTr="003910BE">
        <w:trPr>
          <w:trHeight w:val="24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5BCD09E9" w14:textId="77777777" w:rsidR="00DC1E1A" w:rsidRPr="001C3D48" w:rsidRDefault="00DC1E1A" w:rsidP="003910BE">
            <w:pPr>
              <w:rPr>
                <w:rFonts w:eastAsia="Times New Roman" w:cs="Arial"/>
                <w:sz w:val="18"/>
                <w:szCs w:val="20"/>
                <w:lang w:val="en-GB"/>
              </w:rPr>
            </w:pPr>
            <w:r w:rsidRPr="001C3D48">
              <w:rPr>
                <w:rFonts w:eastAsia="Times New Roman" w:cs="Arial"/>
                <w:sz w:val="18"/>
                <w:szCs w:val="20"/>
                <w:lang w:val="en-GB"/>
              </w:rPr>
              <w:t>Netwerk</w:t>
            </w:r>
          </w:p>
        </w:tc>
        <w:tc>
          <w:tcPr>
            <w:tcW w:w="1300" w:type="dxa"/>
            <w:noWrap/>
            <w:hideMark/>
          </w:tcPr>
          <w:p w14:paraId="640228CD" w14:textId="77777777" w:rsidR="00DC1E1A" w:rsidRPr="001C3D48"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val="en-GB"/>
              </w:rPr>
            </w:pPr>
            <w:r w:rsidRPr="001C3D48">
              <w:rPr>
                <w:rFonts w:eastAsia="Times New Roman" w:cs="Arial"/>
                <w:sz w:val="18"/>
                <w:szCs w:val="20"/>
                <w:lang w:val="en-GB"/>
              </w:rPr>
              <w:t>15</w:t>
            </w:r>
          </w:p>
        </w:tc>
        <w:tc>
          <w:tcPr>
            <w:tcW w:w="1254" w:type="dxa"/>
            <w:noWrap/>
            <w:hideMark/>
          </w:tcPr>
          <w:p w14:paraId="41E435A9" w14:textId="77777777" w:rsidR="00DC1E1A" w:rsidRPr="001C3D48"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val="en-GB"/>
              </w:rPr>
            </w:pPr>
            <w:r w:rsidRPr="001C3D48">
              <w:rPr>
                <w:rFonts w:eastAsia="Times New Roman" w:cs="Arial"/>
                <w:sz w:val="18"/>
                <w:szCs w:val="20"/>
                <w:lang w:val="en-GB"/>
              </w:rPr>
              <w:t>38,5%</w:t>
            </w:r>
          </w:p>
        </w:tc>
      </w:tr>
      <w:tr w:rsidR="00DC1E1A" w:rsidRPr="001C3D48" w14:paraId="299549DA" w14:textId="77777777" w:rsidTr="003910B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720" w:type="dxa"/>
            <w:noWrap/>
            <w:hideMark/>
          </w:tcPr>
          <w:p w14:paraId="656F3FC7" w14:textId="77777777" w:rsidR="00DC1E1A" w:rsidRPr="001C3D48" w:rsidRDefault="00DC1E1A" w:rsidP="003910BE">
            <w:pPr>
              <w:rPr>
                <w:rFonts w:eastAsia="Times New Roman" w:cs="Arial"/>
                <w:sz w:val="18"/>
                <w:szCs w:val="20"/>
                <w:lang w:val="en-GB"/>
              </w:rPr>
            </w:pPr>
            <w:r w:rsidRPr="001C3D48">
              <w:rPr>
                <w:rFonts w:eastAsia="Times New Roman" w:cs="Arial"/>
                <w:sz w:val="18"/>
                <w:szCs w:val="20"/>
                <w:lang w:val="en-GB"/>
              </w:rPr>
              <w:t>Financiële middelen</w:t>
            </w:r>
          </w:p>
        </w:tc>
        <w:tc>
          <w:tcPr>
            <w:tcW w:w="1300" w:type="dxa"/>
            <w:noWrap/>
            <w:hideMark/>
          </w:tcPr>
          <w:p w14:paraId="77EE9952" w14:textId="77777777" w:rsidR="00DC1E1A" w:rsidRPr="001C3D48"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val="en-GB"/>
              </w:rPr>
            </w:pPr>
            <w:r w:rsidRPr="001C3D48">
              <w:rPr>
                <w:rFonts w:eastAsia="Times New Roman" w:cs="Arial"/>
                <w:sz w:val="18"/>
                <w:szCs w:val="20"/>
                <w:lang w:val="en-GB"/>
              </w:rPr>
              <w:t>1</w:t>
            </w:r>
          </w:p>
        </w:tc>
        <w:tc>
          <w:tcPr>
            <w:tcW w:w="1254" w:type="dxa"/>
            <w:noWrap/>
            <w:hideMark/>
          </w:tcPr>
          <w:p w14:paraId="177CCB70" w14:textId="5B3F912A" w:rsidR="00DC1E1A" w:rsidRPr="001C3D48" w:rsidRDefault="00EE72A2"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val="en-GB"/>
              </w:rPr>
            </w:pPr>
            <w:r>
              <w:rPr>
                <w:rFonts w:eastAsia="Times New Roman" w:cs="Arial"/>
                <w:sz w:val="18"/>
                <w:szCs w:val="20"/>
                <w:lang w:val="en-GB"/>
              </w:rPr>
              <w:t>2</w:t>
            </w:r>
            <w:r w:rsidR="00DC1E1A" w:rsidRPr="001C3D48">
              <w:rPr>
                <w:rFonts w:eastAsia="Times New Roman" w:cs="Arial"/>
                <w:sz w:val="18"/>
                <w:szCs w:val="20"/>
                <w:lang w:val="en-GB"/>
              </w:rPr>
              <w:t>,6%</w:t>
            </w:r>
          </w:p>
        </w:tc>
      </w:tr>
    </w:tbl>
    <w:p w14:paraId="0CED156C" w14:textId="32881EFE" w:rsidR="00DC1E1A" w:rsidRPr="003910BE" w:rsidRDefault="00DC1E1A" w:rsidP="00DC1E1A">
      <w:pPr>
        <w:rPr>
          <w:color w:val="4F81BD" w:themeColor="accent1"/>
          <w:sz w:val="20"/>
        </w:rPr>
      </w:pPr>
      <w:r w:rsidRPr="002E7850">
        <w:rPr>
          <w:b/>
          <w:color w:val="4F81BD" w:themeColor="accent1"/>
          <w:sz w:val="20"/>
        </w:rPr>
        <w:t>Tabel 6</w:t>
      </w:r>
      <w:r>
        <w:rPr>
          <w:b/>
          <w:color w:val="4F81BD" w:themeColor="accent1"/>
          <w:sz w:val="20"/>
        </w:rPr>
        <w:t>.1</w:t>
      </w:r>
      <w:r w:rsidRPr="002E7850">
        <w:rPr>
          <w:b/>
          <w:color w:val="4F81BD" w:themeColor="accent1"/>
          <w:sz w:val="20"/>
        </w:rPr>
        <w:t>:</w:t>
      </w:r>
      <w:r w:rsidRPr="002E7850">
        <w:rPr>
          <w:color w:val="4F81BD" w:themeColor="accent1"/>
          <w:sz w:val="20"/>
        </w:rPr>
        <w:t xml:space="preserve"> Het aantal</w:t>
      </w:r>
      <w:r w:rsidR="00EC6571">
        <w:rPr>
          <w:color w:val="4F81BD" w:themeColor="accent1"/>
          <w:sz w:val="20"/>
        </w:rPr>
        <w:t xml:space="preserve"> respondenten dat bij het start</w:t>
      </w:r>
      <w:r w:rsidRPr="002E7850">
        <w:rPr>
          <w:color w:val="4F81BD" w:themeColor="accent1"/>
          <w:sz w:val="20"/>
        </w:rPr>
        <w:t>en van hun bedrijf profiteerde van kennis, netwerk of financiële middelen die bij het ouderbedrijf zijn opgedaan.</w:t>
      </w:r>
    </w:p>
    <w:p w14:paraId="2B868291" w14:textId="77777777" w:rsidR="00206DC8" w:rsidRDefault="00206DC8" w:rsidP="00DC1E1A"/>
    <w:p w14:paraId="42CDCCA0" w14:textId="4EDCB06B" w:rsidR="00DC1E1A" w:rsidRPr="003910BE" w:rsidRDefault="00DC1E1A" w:rsidP="00DC1E1A">
      <w:r w:rsidRPr="001C32A8">
        <w:t xml:space="preserve">Om uit te zoeken welke </w:t>
      </w:r>
      <w:r>
        <w:t xml:space="preserve">omstandigheden een significante invloed hebben op het belang van eerdere ervaring bij het opzetten van een bedrijf zijn verschillende toetsen gebruikt. Hierbij is steeds gekozen om te toetsen op een zo groot mogelijk aantal categorieën als de Chi-kwadraat toets toeliet. Geen van deze toetsen wees op een significant verschil tussen de populatie en respons.  De groeperingen die </w:t>
      </w:r>
      <w:r w:rsidR="009833C6">
        <w:t>gebruikt zijn voor deze toetsen</w:t>
      </w:r>
      <w:r>
        <w:t xml:space="preserve"> en de </w:t>
      </w:r>
      <w:r w:rsidR="009833C6">
        <w:t>berekening</w:t>
      </w:r>
      <w:r>
        <w:t xml:space="preserve"> hier</w:t>
      </w:r>
      <w:r w:rsidR="004645A4">
        <w:t>van, zijn te vinden in Bijlagen 3.1 tot 3.14</w:t>
      </w:r>
      <w:r>
        <w:t>. In de komende twee paragrafen worden bedrijven van ondernemers die aangaven gebruik te hebben gemaakt van eerder opgedane ervaring aangemerkt als Spin-offs, terwijl de bedrijven van ondernemers die niet deden worden aangeduid met start-ups.</w:t>
      </w:r>
    </w:p>
    <w:p w14:paraId="6C2FED7D" w14:textId="5BF39836" w:rsidR="00DC1E1A" w:rsidRDefault="002511AC" w:rsidP="003910BE">
      <w:pPr>
        <w:pStyle w:val="Heading1"/>
        <w:rPr>
          <w:szCs w:val="22"/>
        </w:rPr>
      </w:pPr>
      <w:bookmarkStart w:id="74" w:name="_Toc316143592"/>
      <w:bookmarkStart w:id="75" w:name="_Toc337655446"/>
      <w:r>
        <w:t>6.3</w:t>
      </w:r>
      <w:r w:rsidR="003910BE">
        <w:t xml:space="preserve"> Het schaalniveau van spin-offs</w:t>
      </w:r>
      <w:bookmarkEnd w:id="74"/>
      <w:bookmarkEnd w:id="75"/>
    </w:p>
    <w:p w14:paraId="05B6CCAD" w14:textId="77777777" w:rsidR="00DC1E1A" w:rsidRDefault="00DC1E1A" w:rsidP="00DC1E1A">
      <w:r>
        <w:t xml:space="preserve">Spin-offvorming wordt als lokaal mechanisme van kennisoverdracht gezien, maar een exact schaalniveau wordt zelden genoemd (zie theoretisch kader). Daarom is het nodig om allereerst te kijken of spin-offs zich inderdaad vestigen in dezelfde regio als hun ouderbedrijf. </w:t>
      </w:r>
    </w:p>
    <w:p w14:paraId="50D6AA7D" w14:textId="77777777" w:rsidR="00DC1E1A" w:rsidRDefault="00DC1E1A" w:rsidP="00DC1E1A"/>
    <w:tbl>
      <w:tblPr>
        <w:tblStyle w:val="ColorfulGrid-Accent1"/>
        <w:tblW w:w="0" w:type="auto"/>
        <w:tblLook w:val="04A0" w:firstRow="1" w:lastRow="0" w:firstColumn="1" w:lastColumn="0" w:noHBand="0" w:noVBand="1"/>
      </w:tblPr>
      <w:tblGrid>
        <w:gridCol w:w="813"/>
        <w:gridCol w:w="475"/>
        <w:gridCol w:w="628"/>
        <w:gridCol w:w="511"/>
        <w:gridCol w:w="675"/>
        <w:gridCol w:w="468"/>
        <w:gridCol w:w="619"/>
      </w:tblGrid>
      <w:tr w:rsidR="00DC1E1A" w:rsidRPr="00DD7341" w14:paraId="2AD2CDDB" w14:textId="77777777" w:rsidTr="003910B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hemeFill="accent1" w:themeFillShade="BF"/>
            <w:noWrap/>
            <w:hideMark/>
          </w:tcPr>
          <w:p w14:paraId="56576C9A" w14:textId="77777777" w:rsidR="00DC1E1A" w:rsidRPr="00DD7341" w:rsidRDefault="00DC1E1A" w:rsidP="003910BE">
            <w:pPr>
              <w:rPr>
                <w:rFonts w:eastAsia="Times New Roman" w:cs="Arial"/>
                <w:sz w:val="18"/>
                <w:szCs w:val="18"/>
                <w:lang w:val="en-GB"/>
              </w:rPr>
            </w:pPr>
          </w:p>
        </w:tc>
        <w:tc>
          <w:tcPr>
            <w:tcW w:w="0" w:type="auto"/>
            <w:gridSpan w:val="2"/>
            <w:shd w:val="clear" w:color="auto" w:fill="365F91" w:themeFill="accent1" w:themeFillShade="BF"/>
            <w:hideMark/>
          </w:tcPr>
          <w:p w14:paraId="72EE3F10" w14:textId="77777777" w:rsidR="00DC1E1A" w:rsidRPr="00DD7341" w:rsidRDefault="00DC1E1A" w:rsidP="003910B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val="en-GB"/>
              </w:rPr>
            </w:pPr>
            <w:r w:rsidRPr="00DD7341">
              <w:rPr>
                <w:rFonts w:eastAsia="Times New Roman" w:cs="Arial"/>
                <w:color w:val="FFFFFF" w:themeColor="background1"/>
                <w:sz w:val="18"/>
                <w:szCs w:val="18"/>
                <w:lang w:val="en-GB"/>
              </w:rPr>
              <w:t>Zelfde regio</w:t>
            </w:r>
          </w:p>
        </w:tc>
        <w:tc>
          <w:tcPr>
            <w:tcW w:w="0" w:type="auto"/>
            <w:gridSpan w:val="2"/>
            <w:shd w:val="clear" w:color="auto" w:fill="365F91" w:themeFill="accent1" w:themeFillShade="BF"/>
            <w:hideMark/>
          </w:tcPr>
          <w:p w14:paraId="38F630F7" w14:textId="77777777" w:rsidR="00DC1E1A" w:rsidRPr="00DD7341" w:rsidRDefault="00DC1E1A" w:rsidP="003910B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val="en-GB"/>
              </w:rPr>
            </w:pPr>
            <w:r w:rsidRPr="00DD7341">
              <w:rPr>
                <w:rFonts w:eastAsia="Times New Roman" w:cs="Arial"/>
                <w:color w:val="FFFFFF" w:themeColor="background1"/>
                <w:sz w:val="18"/>
                <w:szCs w:val="18"/>
                <w:lang w:val="en-GB"/>
              </w:rPr>
              <w:t>Andere regio</w:t>
            </w:r>
          </w:p>
        </w:tc>
        <w:tc>
          <w:tcPr>
            <w:tcW w:w="0" w:type="auto"/>
            <w:gridSpan w:val="2"/>
            <w:shd w:val="clear" w:color="auto" w:fill="365F91" w:themeFill="accent1" w:themeFillShade="BF"/>
            <w:hideMark/>
          </w:tcPr>
          <w:p w14:paraId="57C139CA" w14:textId="77777777" w:rsidR="00DC1E1A" w:rsidRPr="00DD7341" w:rsidRDefault="00DC1E1A" w:rsidP="003910BE">
            <w:pP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18"/>
                <w:szCs w:val="18"/>
                <w:lang w:val="en-GB"/>
              </w:rPr>
            </w:pPr>
            <w:r w:rsidRPr="00DD7341">
              <w:rPr>
                <w:rFonts w:eastAsia="Times New Roman" w:cs="Arial"/>
                <w:color w:val="FFFFFF" w:themeColor="background1"/>
                <w:sz w:val="18"/>
                <w:szCs w:val="18"/>
                <w:lang w:val="en-GB"/>
              </w:rPr>
              <w:t>Totaal</w:t>
            </w:r>
          </w:p>
        </w:tc>
      </w:tr>
      <w:tr w:rsidR="00DC1E1A" w:rsidRPr="00DD7341" w14:paraId="5E4BDED3" w14:textId="77777777" w:rsidTr="003910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300B5E" w14:textId="77777777" w:rsidR="00DC1E1A" w:rsidRPr="00DD7341" w:rsidRDefault="00DC1E1A" w:rsidP="003910BE">
            <w:pPr>
              <w:rPr>
                <w:rFonts w:eastAsia="Times New Roman" w:cs="Arial"/>
                <w:sz w:val="18"/>
                <w:szCs w:val="18"/>
                <w:lang w:val="en-GB"/>
              </w:rPr>
            </w:pPr>
          </w:p>
        </w:tc>
        <w:tc>
          <w:tcPr>
            <w:tcW w:w="0" w:type="auto"/>
            <w:shd w:val="clear" w:color="auto" w:fill="365F91" w:themeFill="accent1" w:themeFillShade="BF"/>
            <w:hideMark/>
          </w:tcPr>
          <w:p w14:paraId="723119EB" w14:textId="77777777" w:rsidR="00DC1E1A" w:rsidRPr="00202AE3" w:rsidRDefault="00DC1E1A" w:rsidP="003910B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8"/>
                <w:szCs w:val="18"/>
                <w:lang w:val="en-GB"/>
              </w:rPr>
            </w:pPr>
            <w:r w:rsidRPr="00202AE3">
              <w:rPr>
                <w:rFonts w:eastAsia="Times New Roman" w:cs="Arial"/>
                <w:color w:val="FFFFFF" w:themeColor="background1"/>
                <w:sz w:val="18"/>
                <w:szCs w:val="18"/>
                <w:lang w:val="en-GB"/>
              </w:rPr>
              <w:t>abs</w:t>
            </w:r>
          </w:p>
        </w:tc>
        <w:tc>
          <w:tcPr>
            <w:tcW w:w="0" w:type="auto"/>
            <w:shd w:val="clear" w:color="auto" w:fill="365F91" w:themeFill="accent1" w:themeFillShade="BF"/>
            <w:hideMark/>
          </w:tcPr>
          <w:p w14:paraId="60BC477A" w14:textId="77777777" w:rsidR="00DC1E1A" w:rsidRPr="00202AE3" w:rsidRDefault="00DC1E1A" w:rsidP="003910B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8"/>
                <w:szCs w:val="18"/>
                <w:lang w:val="en-GB"/>
              </w:rPr>
            </w:pPr>
            <w:r w:rsidRPr="00202AE3">
              <w:rPr>
                <w:rFonts w:eastAsia="Times New Roman" w:cs="Arial"/>
                <w:color w:val="FFFFFF" w:themeColor="background1"/>
                <w:sz w:val="18"/>
                <w:szCs w:val="18"/>
                <w:lang w:val="en-GB"/>
              </w:rPr>
              <w:t xml:space="preserve">% </w:t>
            </w:r>
          </w:p>
        </w:tc>
        <w:tc>
          <w:tcPr>
            <w:tcW w:w="0" w:type="auto"/>
            <w:shd w:val="clear" w:color="auto" w:fill="365F91" w:themeFill="accent1" w:themeFillShade="BF"/>
            <w:hideMark/>
          </w:tcPr>
          <w:p w14:paraId="320EFDF2" w14:textId="77777777" w:rsidR="00DC1E1A" w:rsidRPr="00202AE3" w:rsidRDefault="00DC1E1A" w:rsidP="003910B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8"/>
                <w:szCs w:val="18"/>
                <w:lang w:val="en-GB"/>
              </w:rPr>
            </w:pPr>
            <w:r w:rsidRPr="00202AE3">
              <w:rPr>
                <w:rFonts w:eastAsia="Times New Roman" w:cs="Arial"/>
                <w:color w:val="FFFFFF" w:themeColor="background1"/>
                <w:sz w:val="18"/>
                <w:szCs w:val="18"/>
                <w:lang w:val="en-GB"/>
              </w:rPr>
              <w:t>abs</w:t>
            </w:r>
          </w:p>
        </w:tc>
        <w:tc>
          <w:tcPr>
            <w:tcW w:w="0" w:type="auto"/>
            <w:shd w:val="clear" w:color="auto" w:fill="365F91" w:themeFill="accent1" w:themeFillShade="BF"/>
            <w:hideMark/>
          </w:tcPr>
          <w:p w14:paraId="0430F29A" w14:textId="77777777" w:rsidR="00DC1E1A" w:rsidRPr="00202AE3" w:rsidRDefault="00DC1E1A" w:rsidP="003910B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8"/>
                <w:szCs w:val="18"/>
                <w:lang w:val="en-GB"/>
              </w:rPr>
            </w:pPr>
            <w:r w:rsidRPr="00202AE3">
              <w:rPr>
                <w:rFonts w:eastAsia="Times New Roman" w:cs="Arial"/>
                <w:color w:val="FFFFFF" w:themeColor="background1"/>
                <w:sz w:val="18"/>
                <w:szCs w:val="18"/>
                <w:lang w:val="en-GB"/>
              </w:rPr>
              <w:t xml:space="preserve">% </w:t>
            </w:r>
          </w:p>
        </w:tc>
        <w:tc>
          <w:tcPr>
            <w:tcW w:w="0" w:type="auto"/>
            <w:shd w:val="clear" w:color="auto" w:fill="365F91" w:themeFill="accent1" w:themeFillShade="BF"/>
            <w:hideMark/>
          </w:tcPr>
          <w:p w14:paraId="64D7AE92" w14:textId="77777777" w:rsidR="00DC1E1A" w:rsidRPr="00202AE3" w:rsidRDefault="00DC1E1A" w:rsidP="003910B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8"/>
                <w:szCs w:val="18"/>
                <w:lang w:val="en-GB"/>
              </w:rPr>
            </w:pPr>
            <w:r w:rsidRPr="00202AE3">
              <w:rPr>
                <w:rFonts w:eastAsia="Times New Roman" w:cs="Arial"/>
                <w:color w:val="FFFFFF" w:themeColor="background1"/>
                <w:sz w:val="18"/>
                <w:szCs w:val="18"/>
                <w:lang w:val="en-GB"/>
              </w:rPr>
              <w:t>abs</w:t>
            </w:r>
          </w:p>
        </w:tc>
        <w:tc>
          <w:tcPr>
            <w:tcW w:w="0" w:type="auto"/>
            <w:shd w:val="clear" w:color="auto" w:fill="365F91" w:themeFill="accent1" w:themeFillShade="BF"/>
            <w:hideMark/>
          </w:tcPr>
          <w:p w14:paraId="415112D2" w14:textId="77777777" w:rsidR="00DC1E1A" w:rsidRPr="00202AE3" w:rsidRDefault="00DC1E1A" w:rsidP="003910B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themeColor="background1"/>
                <w:sz w:val="18"/>
                <w:szCs w:val="18"/>
                <w:lang w:val="en-GB"/>
              </w:rPr>
            </w:pPr>
            <w:r w:rsidRPr="00202AE3">
              <w:rPr>
                <w:rFonts w:eastAsia="Times New Roman" w:cs="Arial"/>
                <w:color w:val="FFFFFF" w:themeColor="background1"/>
                <w:sz w:val="18"/>
                <w:szCs w:val="18"/>
                <w:lang w:val="en-GB"/>
              </w:rPr>
              <w:t xml:space="preserve">% </w:t>
            </w:r>
          </w:p>
        </w:tc>
      </w:tr>
      <w:tr w:rsidR="00DC1E1A" w:rsidRPr="00DD7341" w14:paraId="31055DE7" w14:textId="77777777" w:rsidTr="003910BE">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FB02B02" w14:textId="77777777" w:rsidR="00DC1E1A" w:rsidRPr="00DD7341" w:rsidRDefault="00DC1E1A" w:rsidP="003910BE">
            <w:pPr>
              <w:rPr>
                <w:rFonts w:eastAsia="Times New Roman" w:cs="Arial"/>
                <w:sz w:val="18"/>
                <w:szCs w:val="18"/>
                <w:lang w:val="en-GB"/>
              </w:rPr>
            </w:pPr>
            <w:r w:rsidRPr="00DD7341">
              <w:rPr>
                <w:rFonts w:eastAsia="Times New Roman" w:cs="Arial"/>
                <w:sz w:val="18"/>
                <w:szCs w:val="18"/>
                <w:lang w:val="en-GB"/>
              </w:rPr>
              <w:t>Spin-off</w:t>
            </w:r>
          </w:p>
        </w:tc>
        <w:tc>
          <w:tcPr>
            <w:tcW w:w="0" w:type="auto"/>
            <w:hideMark/>
          </w:tcPr>
          <w:p w14:paraId="446EA3D9"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12</w:t>
            </w:r>
          </w:p>
        </w:tc>
        <w:tc>
          <w:tcPr>
            <w:tcW w:w="0" w:type="auto"/>
            <w:hideMark/>
          </w:tcPr>
          <w:p w14:paraId="6390978B"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75</w:t>
            </w:r>
            <w:r w:rsidRPr="00DD7341">
              <w:rPr>
                <w:rFonts w:eastAsia="Times New Roman" w:cs="Arial"/>
                <w:color w:val="000000"/>
                <w:sz w:val="18"/>
                <w:szCs w:val="18"/>
                <w:lang w:val="en-GB"/>
              </w:rPr>
              <w:t>%</w:t>
            </w:r>
          </w:p>
        </w:tc>
        <w:tc>
          <w:tcPr>
            <w:tcW w:w="0" w:type="auto"/>
            <w:hideMark/>
          </w:tcPr>
          <w:p w14:paraId="3D1295EC"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13</w:t>
            </w:r>
          </w:p>
        </w:tc>
        <w:tc>
          <w:tcPr>
            <w:tcW w:w="0" w:type="auto"/>
            <w:hideMark/>
          </w:tcPr>
          <w:p w14:paraId="0D0E6431"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56</w:t>
            </w:r>
            <w:r w:rsidRPr="00DD7341">
              <w:rPr>
                <w:rFonts w:eastAsia="Times New Roman" w:cs="Arial"/>
                <w:color w:val="000000"/>
                <w:sz w:val="18"/>
                <w:szCs w:val="18"/>
                <w:lang w:val="en-GB"/>
              </w:rPr>
              <w:t>%</w:t>
            </w:r>
          </w:p>
        </w:tc>
        <w:tc>
          <w:tcPr>
            <w:tcW w:w="0" w:type="auto"/>
            <w:hideMark/>
          </w:tcPr>
          <w:p w14:paraId="7C265D06"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25</w:t>
            </w:r>
          </w:p>
        </w:tc>
        <w:tc>
          <w:tcPr>
            <w:tcW w:w="0" w:type="auto"/>
            <w:hideMark/>
          </w:tcPr>
          <w:p w14:paraId="66CBBC58"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64</w:t>
            </w:r>
            <w:r w:rsidRPr="00DD7341">
              <w:rPr>
                <w:rFonts w:eastAsia="Times New Roman" w:cs="Arial"/>
                <w:color w:val="000000"/>
                <w:sz w:val="18"/>
                <w:szCs w:val="18"/>
                <w:lang w:val="en-GB"/>
              </w:rPr>
              <w:t>%</w:t>
            </w:r>
          </w:p>
        </w:tc>
      </w:tr>
      <w:tr w:rsidR="00DC1E1A" w:rsidRPr="00DD7341" w14:paraId="6FF455C5" w14:textId="77777777" w:rsidTr="003910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5F029E8" w14:textId="77777777" w:rsidR="00DC1E1A" w:rsidRPr="00DD7341" w:rsidRDefault="00DC1E1A" w:rsidP="003910BE">
            <w:pPr>
              <w:rPr>
                <w:rFonts w:eastAsia="Times New Roman" w:cs="Arial"/>
                <w:sz w:val="18"/>
                <w:szCs w:val="18"/>
                <w:lang w:val="en-GB"/>
              </w:rPr>
            </w:pPr>
            <w:r w:rsidRPr="00DD7341">
              <w:rPr>
                <w:rFonts w:eastAsia="Times New Roman" w:cs="Arial"/>
                <w:sz w:val="18"/>
                <w:szCs w:val="18"/>
                <w:lang w:val="en-GB"/>
              </w:rPr>
              <w:t>Start-up</w:t>
            </w:r>
          </w:p>
        </w:tc>
        <w:tc>
          <w:tcPr>
            <w:tcW w:w="0" w:type="auto"/>
            <w:hideMark/>
          </w:tcPr>
          <w:p w14:paraId="59846B97" w14:textId="77777777" w:rsidR="00DC1E1A" w:rsidRPr="00DD7341"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4</w:t>
            </w:r>
          </w:p>
        </w:tc>
        <w:tc>
          <w:tcPr>
            <w:tcW w:w="0" w:type="auto"/>
            <w:hideMark/>
          </w:tcPr>
          <w:p w14:paraId="4820768B" w14:textId="77777777" w:rsidR="00DC1E1A" w:rsidRPr="00DD7341"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25</w:t>
            </w:r>
            <w:r w:rsidRPr="00DD7341">
              <w:rPr>
                <w:rFonts w:eastAsia="Times New Roman" w:cs="Arial"/>
                <w:color w:val="000000"/>
                <w:sz w:val="18"/>
                <w:szCs w:val="18"/>
                <w:lang w:val="en-GB"/>
              </w:rPr>
              <w:t>%</w:t>
            </w:r>
          </w:p>
        </w:tc>
        <w:tc>
          <w:tcPr>
            <w:tcW w:w="0" w:type="auto"/>
            <w:hideMark/>
          </w:tcPr>
          <w:p w14:paraId="2070818C" w14:textId="77777777" w:rsidR="00DC1E1A" w:rsidRPr="00DD7341"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10</w:t>
            </w:r>
          </w:p>
        </w:tc>
        <w:tc>
          <w:tcPr>
            <w:tcW w:w="0" w:type="auto"/>
            <w:hideMark/>
          </w:tcPr>
          <w:p w14:paraId="1726A38A" w14:textId="77777777" w:rsidR="00DC1E1A" w:rsidRPr="00DD7341"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43</w:t>
            </w:r>
            <w:r w:rsidRPr="00DD7341">
              <w:rPr>
                <w:rFonts w:eastAsia="Times New Roman" w:cs="Arial"/>
                <w:color w:val="000000"/>
                <w:sz w:val="18"/>
                <w:szCs w:val="18"/>
                <w:lang w:val="en-GB"/>
              </w:rPr>
              <w:t>%</w:t>
            </w:r>
          </w:p>
        </w:tc>
        <w:tc>
          <w:tcPr>
            <w:tcW w:w="0" w:type="auto"/>
            <w:hideMark/>
          </w:tcPr>
          <w:p w14:paraId="405CAA24" w14:textId="77777777" w:rsidR="00DC1E1A" w:rsidRPr="00DD7341"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14</w:t>
            </w:r>
          </w:p>
        </w:tc>
        <w:tc>
          <w:tcPr>
            <w:tcW w:w="0" w:type="auto"/>
            <w:hideMark/>
          </w:tcPr>
          <w:p w14:paraId="3DF80C15" w14:textId="77777777" w:rsidR="00DC1E1A" w:rsidRPr="00DD7341" w:rsidRDefault="00DC1E1A" w:rsidP="003910BE">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35</w:t>
            </w:r>
            <w:r w:rsidRPr="00DD7341">
              <w:rPr>
                <w:rFonts w:eastAsia="Times New Roman" w:cs="Arial"/>
                <w:color w:val="000000"/>
                <w:sz w:val="18"/>
                <w:szCs w:val="18"/>
                <w:lang w:val="en-GB"/>
              </w:rPr>
              <w:t>%</w:t>
            </w:r>
          </w:p>
        </w:tc>
      </w:tr>
      <w:tr w:rsidR="00DC1E1A" w:rsidRPr="00DD7341" w14:paraId="23C0D183" w14:textId="77777777" w:rsidTr="003910BE">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8B6619" w14:textId="77777777" w:rsidR="00DC1E1A" w:rsidRPr="00DD7341" w:rsidRDefault="00DC1E1A" w:rsidP="003910BE">
            <w:pPr>
              <w:rPr>
                <w:rFonts w:eastAsia="Times New Roman" w:cs="Arial"/>
                <w:sz w:val="18"/>
                <w:szCs w:val="18"/>
                <w:lang w:val="en-GB"/>
              </w:rPr>
            </w:pPr>
            <w:r w:rsidRPr="00DD7341">
              <w:rPr>
                <w:rFonts w:eastAsia="Times New Roman" w:cs="Arial"/>
                <w:sz w:val="18"/>
                <w:szCs w:val="18"/>
                <w:lang w:val="en-GB"/>
              </w:rPr>
              <w:t>Totaal</w:t>
            </w:r>
          </w:p>
        </w:tc>
        <w:tc>
          <w:tcPr>
            <w:tcW w:w="0" w:type="auto"/>
            <w:hideMark/>
          </w:tcPr>
          <w:p w14:paraId="7DD8868C"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16</w:t>
            </w:r>
          </w:p>
        </w:tc>
        <w:tc>
          <w:tcPr>
            <w:tcW w:w="0" w:type="auto"/>
            <w:hideMark/>
          </w:tcPr>
          <w:p w14:paraId="76AEB546"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100</w:t>
            </w:r>
            <w:r w:rsidRPr="00DD7341">
              <w:rPr>
                <w:rFonts w:eastAsia="Times New Roman" w:cs="Arial"/>
                <w:color w:val="000000"/>
                <w:sz w:val="18"/>
                <w:szCs w:val="18"/>
                <w:lang w:val="en-GB"/>
              </w:rPr>
              <w:t>%</w:t>
            </w:r>
          </w:p>
        </w:tc>
        <w:tc>
          <w:tcPr>
            <w:tcW w:w="0" w:type="auto"/>
            <w:hideMark/>
          </w:tcPr>
          <w:p w14:paraId="276D278E"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23</w:t>
            </w:r>
          </w:p>
        </w:tc>
        <w:tc>
          <w:tcPr>
            <w:tcW w:w="0" w:type="auto"/>
            <w:hideMark/>
          </w:tcPr>
          <w:p w14:paraId="2193466F"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100</w:t>
            </w:r>
            <w:r w:rsidRPr="00DD7341">
              <w:rPr>
                <w:rFonts w:eastAsia="Times New Roman" w:cs="Arial"/>
                <w:color w:val="000000"/>
                <w:sz w:val="18"/>
                <w:szCs w:val="18"/>
                <w:lang w:val="en-GB"/>
              </w:rPr>
              <w:t>%</w:t>
            </w:r>
          </w:p>
        </w:tc>
        <w:tc>
          <w:tcPr>
            <w:tcW w:w="0" w:type="auto"/>
            <w:hideMark/>
          </w:tcPr>
          <w:p w14:paraId="2A01CD9E"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sidRPr="00DD7341">
              <w:rPr>
                <w:rFonts w:eastAsia="Times New Roman" w:cs="Arial"/>
                <w:color w:val="000000"/>
                <w:sz w:val="18"/>
                <w:szCs w:val="18"/>
                <w:lang w:val="en-GB"/>
              </w:rPr>
              <w:t>39</w:t>
            </w:r>
          </w:p>
        </w:tc>
        <w:tc>
          <w:tcPr>
            <w:tcW w:w="0" w:type="auto"/>
            <w:hideMark/>
          </w:tcPr>
          <w:p w14:paraId="2239F034" w14:textId="77777777" w:rsidR="00DC1E1A" w:rsidRPr="00DD7341" w:rsidRDefault="00DC1E1A" w:rsidP="003910BE">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GB"/>
              </w:rPr>
            </w:pPr>
            <w:r>
              <w:rPr>
                <w:rFonts w:eastAsia="Times New Roman" w:cs="Arial"/>
                <w:color w:val="000000"/>
                <w:sz w:val="18"/>
                <w:szCs w:val="18"/>
                <w:lang w:val="en-GB"/>
              </w:rPr>
              <w:t>100</w:t>
            </w:r>
            <w:r w:rsidRPr="00DD7341">
              <w:rPr>
                <w:rFonts w:eastAsia="Times New Roman" w:cs="Arial"/>
                <w:color w:val="000000"/>
                <w:sz w:val="18"/>
                <w:szCs w:val="18"/>
                <w:lang w:val="en-GB"/>
              </w:rPr>
              <w:t>%</w:t>
            </w:r>
          </w:p>
        </w:tc>
      </w:tr>
    </w:tbl>
    <w:p w14:paraId="3732412B" w14:textId="77777777" w:rsidR="00DC1E1A" w:rsidRPr="000E20A2" w:rsidRDefault="00DC1E1A" w:rsidP="00DC1E1A">
      <w:pPr>
        <w:rPr>
          <w:color w:val="4F81BD" w:themeColor="accent1"/>
          <w:sz w:val="20"/>
        </w:rPr>
      </w:pPr>
      <w:r w:rsidRPr="000E20A2">
        <w:rPr>
          <w:b/>
          <w:color w:val="4F81BD" w:themeColor="accent1"/>
          <w:sz w:val="20"/>
        </w:rPr>
        <w:t>Tabel 6.2:</w:t>
      </w:r>
      <w:r w:rsidRPr="000E20A2">
        <w:rPr>
          <w:color w:val="4F81BD" w:themeColor="accent1"/>
          <w:sz w:val="20"/>
        </w:rPr>
        <w:t xml:space="preserve"> Het aantal bedrijven dat in de zelfde regio is gebleven als waar de vorige  werkgever gevestigd was, uitgesplitst naar spin-offs en andere start-ups.</w:t>
      </w:r>
    </w:p>
    <w:p w14:paraId="1DFAD967" w14:textId="77777777" w:rsidR="00DC1E1A" w:rsidRDefault="00DC1E1A" w:rsidP="00DC1E1A"/>
    <w:p w14:paraId="3B730289" w14:textId="77777777" w:rsidR="00DC1E1A" w:rsidRDefault="00DC1E1A" w:rsidP="00DC1E1A">
      <w:r>
        <w:t>Tabel 6.2 laat zien dat respondenten vaker werkzaam waren buiten Woerden en Veenendaal, dan dat zij binnen de regio zijn gebleven. Van alle ondervraagde bedrijfsoprichters was 60% werkzaam in een andere regio dan Woerden of  Veenendaal voor het oprichten van een eigen bedrijf. Voor spin-offs is dit 52%, voor respondenten die geen gebruik maken van ervaring uit hun vorige baan 71,4%. Bedrijven die binnen dezelfde regio bleven gaven dus wel drie keer zo vaak aan gebruik te maken van eerdere ervaring, zodat zij als spin-off worden aangemerkt.</w:t>
      </w:r>
    </w:p>
    <w:p w14:paraId="7C06FD25" w14:textId="55F4B0E4" w:rsidR="00416A4B" w:rsidRDefault="00DC1E1A" w:rsidP="00416A4B">
      <w:pPr>
        <w:ind w:firstLine="720"/>
      </w:pPr>
      <w:r>
        <w:t xml:space="preserve">Tabel 6.3 geeft weer welke middelen de oprichters van spin-offs van hun vorige werkgever gebruiken en of zij in dezelfde regio zijn gebleven. Er is echter geen sterk patroon zichtbaar in deze gegevens. Onder de spin-offs lijkt ervaring binnen de regio niet op een andere manier gebruikt te worden dan ervaring van buiten de regio. </w:t>
      </w:r>
    </w:p>
    <w:p w14:paraId="67B64151" w14:textId="77777777" w:rsidR="00DC1E1A" w:rsidRDefault="00416A4B" w:rsidP="00416A4B">
      <w:pPr>
        <w:ind w:firstLine="720"/>
      </w:pPr>
      <w:r>
        <w:br w:type="column"/>
      </w:r>
    </w:p>
    <w:tbl>
      <w:tblPr>
        <w:tblW w:w="6583" w:type="dxa"/>
        <w:tblInd w:w="93" w:type="dxa"/>
        <w:tblLook w:val="04A0" w:firstRow="1" w:lastRow="0" w:firstColumn="1" w:lastColumn="0" w:noHBand="0" w:noVBand="1"/>
      </w:tblPr>
      <w:tblGrid>
        <w:gridCol w:w="1383"/>
        <w:gridCol w:w="778"/>
        <w:gridCol w:w="1822"/>
        <w:gridCol w:w="1300"/>
        <w:gridCol w:w="1300"/>
      </w:tblGrid>
      <w:tr w:rsidR="00DC1E1A" w:rsidRPr="00A24D93" w14:paraId="7DAE796A" w14:textId="77777777" w:rsidTr="003910BE">
        <w:trPr>
          <w:trHeight w:val="320"/>
        </w:trPr>
        <w:tc>
          <w:tcPr>
            <w:tcW w:w="1383" w:type="dxa"/>
            <w:tcBorders>
              <w:top w:val="nil"/>
              <w:left w:val="nil"/>
              <w:bottom w:val="single" w:sz="8" w:space="0" w:color="FFFFFF"/>
              <w:right w:val="nil"/>
            </w:tcBorders>
            <w:shd w:val="clear" w:color="000000" w:fill="365F91"/>
            <w:noWrap/>
            <w:hideMark/>
          </w:tcPr>
          <w:p w14:paraId="332A77DE" w14:textId="77777777" w:rsidR="00DC1E1A" w:rsidRPr="00A24D93" w:rsidRDefault="00DC1E1A" w:rsidP="003910BE">
            <w:pPr>
              <w:spacing w:after="0"/>
              <w:rPr>
                <w:rFonts w:ascii="Cambria" w:eastAsia="Times New Roman" w:hAnsi="Cambria" w:cs="Times New Roman"/>
                <w:color w:val="000000"/>
                <w:lang w:val="en-GB" w:eastAsia="en-US"/>
              </w:rPr>
            </w:pPr>
            <w:r w:rsidRPr="00A24D93">
              <w:rPr>
                <w:rFonts w:ascii="Cambria" w:eastAsia="Times New Roman" w:hAnsi="Cambria" w:cs="Times New Roman"/>
                <w:color w:val="000000"/>
                <w:lang w:val="en-GB" w:eastAsia="en-US"/>
              </w:rPr>
              <w:t> </w:t>
            </w:r>
          </w:p>
        </w:tc>
        <w:tc>
          <w:tcPr>
            <w:tcW w:w="2600" w:type="dxa"/>
            <w:gridSpan w:val="2"/>
            <w:tcBorders>
              <w:top w:val="nil"/>
              <w:left w:val="nil"/>
              <w:bottom w:val="single" w:sz="8" w:space="0" w:color="FFFFFF"/>
              <w:right w:val="nil"/>
            </w:tcBorders>
            <w:shd w:val="clear" w:color="000000" w:fill="365F91"/>
            <w:noWrap/>
            <w:vAlign w:val="center"/>
            <w:hideMark/>
          </w:tcPr>
          <w:p w14:paraId="7F454A33" w14:textId="77777777" w:rsidR="00DC1E1A" w:rsidRPr="00A24D93" w:rsidRDefault="00DC1E1A" w:rsidP="003910BE">
            <w:pPr>
              <w:spacing w:after="0"/>
              <w:rPr>
                <w:rFonts w:ascii="Calibri" w:eastAsia="Times New Roman" w:hAnsi="Calibri" w:cs="Times New Roman"/>
                <w:b/>
                <w:bCs/>
                <w:color w:val="FFFFFF"/>
                <w:sz w:val="18"/>
                <w:szCs w:val="18"/>
                <w:lang w:val="en-GB" w:eastAsia="en-US"/>
              </w:rPr>
            </w:pPr>
            <w:r w:rsidRPr="00A24D93">
              <w:rPr>
                <w:rFonts w:ascii="Calibri" w:eastAsia="Times New Roman" w:hAnsi="Calibri" w:cs="Times New Roman"/>
                <w:b/>
                <w:bCs/>
                <w:color w:val="FFFFFF"/>
                <w:sz w:val="18"/>
                <w:szCs w:val="18"/>
                <w:lang w:val="en-GB" w:eastAsia="en-US"/>
              </w:rPr>
              <w:t>Zelfde regio</w:t>
            </w:r>
          </w:p>
        </w:tc>
        <w:tc>
          <w:tcPr>
            <w:tcW w:w="1300" w:type="dxa"/>
            <w:tcBorders>
              <w:top w:val="nil"/>
              <w:left w:val="nil"/>
              <w:bottom w:val="single" w:sz="8" w:space="0" w:color="FFFFFF"/>
              <w:right w:val="nil"/>
            </w:tcBorders>
            <w:shd w:val="clear" w:color="000000" w:fill="365F91"/>
            <w:noWrap/>
            <w:vAlign w:val="center"/>
            <w:hideMark/>
          </w:tcPr>
          <w:p w14:paraId="203C7C77" w14:textId="77777777" w:rsidR="00DC1E1A" w:rsidRPr="00A24D93" w:rsidRDefault="00DC1E1A" w:rsidP="003910BE">
            <w:pPr>
              <w:spacing w:after="0"/>
              <w:rPr>
                <w:rFonts w:ascii="Calibri" w:eastAsia="Times New Roman" w:hAnsi="Calibri" w:cs="Times New Roman"/>
                <w:b/>
                <w:bCs/>
                <w:color w:val="FFFFFF"/>
                <w:sz w:val="18"/>
                <w:szCs w:val="18"/>
                <w:lang w:val="en-GB" w:eastAsia="en-US"/>
              </w:rPr>
            </w:pPr>
            <w:r w:rsidRPr="00A24D93">
              <w:rPr>
                <w:rFonts w:ascii="Calibri" w:eastAsia="Times New Roman" w:hAnsi="Calibri" w:cs="Times New Roman"/>
                <w:b/>
                <w:bCs/>
                <w:color w:val="FFFFFF"/>
                <w:sz w:val="18"/>
                <w:szCs w:val="18"/>
                <w:lang w:val="en-GB" w:eastAsia="en-US"/>
              </w:rPr>
              <w:t>Andere regio</w:t>
            </w:r>
          </w:p>
        </w:tc>
        <w:tc>
          <w:tcPr>
            <w:tcW w:w="1300" w:type="dxa"/>
            <w:tcBorders>
              <w:top w:val="nil"/>
              <w:left w:val="nil"/>
              <w:bottom w:val="single" w:sz="8" w:space="0" w:color="FFFFFF"/>
              <w:right w:val="nil"/>
            </w:tcBorders>
            <w:shd w:val="clear" w:color="000000" w:fill="365F91"/>
            <w:noWrap/>
            <w:hideMark/>
          </w:tcPr>
          <w:p w14:paraId="4B7FB779" w14:textId="77777777" w:rsidR="00DC1E1A" w:rsidRPr="00A24D93" w:rsidRDefault="00DC1E1A" w:rsidP="003910BE">
            <w:pPr>
              <w:spacing w:after="0"/>
              <w:rPr>
                <w:rFonts w:ascii="Cambria" w:eastAsia="Times New Roman" w:hAnsi="Cambria" w:cs="Times New Roman"/>
                <w:color w:val="000000"/>
                <w:lang w:val="en-GB" w:eastAsia="en-US"/>
              </w:rPr>
            </w:pPr>
            <w:r w:rsidRPr="00A24D93">
              <w:rPr>
                <w:rFonts w:ascii="Cambria" w:eastAsia="Times New Roman" w:hAnsi="Cambria" w:cs="Times New Roman"/>
                <w:color w:val="000000"/>
                <w:lang w:val="en-GB" w:eastAsia="en-US"/>
              </w:rPr>
              <w:t> </w:t>
            </w:r>
          </w:p>
        </w:tc>
      </w:tr>
      <w:tr w:rsidR="00DC1E1A" w:rsidRPr="00A24D93" w14:paraId="54D57EF1" w14:textId="77777777" w:rsidTr="003910BE">
        <w:trPr>
          <w:trHeight w:val="320"/>
        </w:trPr>
        <w:tc>
          <w:tcPr>
            <w:tcW w:w="1383" w:type="dxa"/>
            <w:tcBorders>
              <w:top w:val="nil"/>
              <w:left w:val="nil"/>
              <w:bottom w:val="single" w:sz="8" w:space="0" w:color="FFFFFF"/>
              <w:right w:val="nil"/>
            </w:tcBorders>
            <w:shd w:val="clear" w:color="000000" w:fill="365F91"/>
            <w:noWrap/>
            <w:hideMark/>
          </w:tcPr>
          <w:p w14:paraId="2974DD42" w14:textId="77777777" w:rsidR="00DC1E1A" w:rsidRPr="00A24D93" w:rsidRDefault="00DC1E1A" w:rsidP="003910BE">
            <w:pPr>
              <w:spacing w:after="0"/>
              <w:rPr>
                <w:rFonts w:ascii="Cambria" w:eastAsia="Times New Roman" w:hAnsi="Cambria" w:cs="Times New Roman"/>
                <w:color w:val="000000"/>
                <w:lang w:val="en-GB" w:eastAsia="en-US"/>
              </w:rPr>
            </w:pPr>
            <w:r w:rsidRPr="00A24D93">
              <w:rPr>
                <w:rFonts w:ascii="Cambria" w:eastAsia="Times New Roman" w:hAnsi="Cambria" w:cs="Times New Roman"/>
                <w:color w:val="000000"/>
                <w:lang w:val="en-GB" w:eastAsia="en-US"/>
              </w:rPr>
              <w:t> </w:t>
            </w:r>
          </w:p>
        </w:tc>
        <w:tc>
          <w:tcPr>
            <w:tcW w:w="778" w:type="dxa"/>
            <w:tcBorders>
              <w:top w:val="nil"/>
              <w:left w:val="nil"/>
              <w:bottom w:val="single" w:sz="8" w:space="0" w:color="FFFFFF"/>
              <w:right w:val="nil"/>
            </w:tcBorders>
            <w:shd w:val="clear" w:color="000000" w:fill="365F91"/>
            <w:noWrap/>
            <w:vAlign w:val="center"/>
            <w:hideMark/>
          </w:tcPr>
          <w:p w14:paraId="0358E94C" w14:textId="77777777" w:rsidR="00DC1E1A" w:rsidRPr="00A24D93" w:rsidRDefault="00DC1E1A" w:rsidP="003910BE">
            <w:pPr>
              <w:spacing w:after="0"/>
              <w:rPr>
                <w:rFonts w:ascii="Calibri" w:eastAsia="Times New Roman" w:hAnsi="Calibri" w:cs="Times New Roman"/>
                <w:color w:val="FFFFFF"/>
                <w:sz w:val="18"/>
                <w:szCs w:val="18"/>
                <w:lang w:val="en-GB" w:eastAsia="en-US"/>
              </w:rPr>
            </w:pPr>
            <w:r w:rsidRPr="00A24D93">
              <w:rPr>
                <w:rFonts w:ascii="Calibri" w:eastAsia="Times New Roman" w:hAnsi="Calibri" w:cs="Times New Roman"/>
                <w:color w:val="FFFFFF"/>
                <w:sz w:val="18"/>
                <w:szCs w:val="18"/>
                <w:lang w:val="en-GB" w:eastAsia="en-US"/>
              </w:rPr>
              <w:t>abs</w:t>
            </w:r>
          </w:p>
        </w:tc>
        <w:tc>
          <w:tcPr>
            <w:tcW w:w="1822" w:type="dxa"/>
            <w:tcBorders>
              <w:top w:val="nil"/>
              <w:left w:val="nil"/>
              <w:bottom w:val="single" w:sz="8" w:space="0" w:color="FFFFFF"/>
              <w:right w:val="nil"/>
            </w:tcBorders>
            <w:shd w:val="clear" w:color="000000" w:fill="365F91"/>
            <w:noWrap/>
            <w:vAlign w:val="center"/>
            <w:hideMark/>
          </w:tcPr>
          <w:p w14:paraId="04FAC48E" w14:textId="77777777" w:rsidR="00DC1E1A" w:rsidRPr="00A24D93" w:rsidRDefault="00DC1E1A" w:rsidP="003910BE">
            <w:pPr>
              <w:spacing w:after="0"/>
              <w:rPr>
                <w:rFonts w:ascii="Calibri" w:eastAsia="Times New Roman" w:hAnsi="Calibri" w:cs="Times New Roman"/>
                <w:color w:val="FFFFFF"/>
                <w:sz w:val="18"/>
                <w:szCs w:val="18"/>
                <w:lang w:val="en-GB" w:eastAsia="en-US"/>
              </w:rPr>
            </w:pPr>
            <w:r w:rsidRPr="00A24D93">
              <w:rPr>
                <w:rFonts w:ascii="Calibri" w:eastAsia="Times New Roman" w:hAnsi="Calibri" w:cs="Times New Roman"/>
                <w:color w:val="FFFFFF"/>
                <w:sz w:val="18"/>
                <w:szCs w:val="18"/>
                <w:lang w:val="en-GB" w:eastAsia="en-US"/>
              </w:rPr>
              <w:t>%</w:t>
            </w:r>
          </w:p>
        </w:tc>
        <w:tc>
          <w:tcPr>
            <w:tcW w:w="1300" w:type="dxa"/>
            <w:tcBorders>
              <w:top w:val="nil"/>
              <w:left w:val="nil"/>
              <w:bottom w:val="single" w:sz="8" w:space="0" w:color="FFFFFF"/>
              <w:right w:val="nil"/>
            </w:tcBorders>
            <w:shd w:val="clear" w:color="000000" w:fill="365F91"/>
            <w:noWrap/>
            <w:vAlign w:val="center"/>
            <w:hideMark/>
          </w:tcPr>
          <w:p w14:paraId="23533B0D" w14:textId="77777777" w:rsidR="00DC1E1A" w:rsidRPr="00A24D93" w:rsidRDefault="00DC1E1A" w:rsidP="003910BE">
            <w:pPr>
              <w:spacing w:after="0"/>
              <w:rPr>
                <w:rFonts w:ascii="Calibri" w:eastAsia="Times New Roman" w:hAnsi="Calibri" w:cs="Times New Roman"/>
                <w:color w:val="FFFFFF"/>
                <w:sz w:val="18"/>
                <w:szCs w:val="18"/>
                <w:lang w:val="en-GB" w:eastAsia="en-US"/>
              </w:rPr>
            </w:pPr>
            <w:r w:rsidRPr="00A24D93">
              <w:rPr>
                <w:rFonts w:ascii="Calibri" w:eastAsia="Times New Roman" w:hAnsi="Calibri" w:cs="Times New Roman"/>
                <w:color w:val="FFFFFF"/>
                <w:sz w:val="18"/>
                <w:szCs w:val="18"/>
                <w:lang w:val="en-GB" w:eastAsia="en-US"/>
              </w:rPr>
              <w:t>abs</w:t>
            </w:r>
          </w:p>
        </w:tc>
        <w:tc>
          <w:tcPr>
            <w:tcW w:w="1300" w:type="dxa"/>
            <w:tcBorders>
              <w:top w:val="nil"/>
              <w:left w:val="nil"/>
              <w:bottom w:val="single" w:sz="8" w:space="0" w:color="FFFFFF"/>
              <w:right w:val="nil"/>
            </w:tcBorders>
            <w:shd w:val="clear" w:color="000000" w:fill="365F91"/>
            <w:noWrap/>
            <w:vAlign w:val="center"/>
            <w:hideMark/>
          </w:tcPr>
          <w:p w14:paraId="4B0D35CB" w14:textId="77777777" w:rsidR="00DC1E1A" w:rsidRPr="00A24D93" w:rsidRDefault="00DC1E1A" w:rsidP="003910BE">
            <w:pPr>
              <w:spacing w:after="0"/>
              <w:rPr>
                <w:rFonts w:ascii="Calibri" w:eastAsia="Times New Roman" w:hAnsi="Calibri" w:cs="Times New Roman"/>
                <w:color w:val="FFFFFF"/>
                <w:sz w:val="18"/>
                <w:szCs w:val="18"/>
                <w:lang w:val="en-GB" w:eastAsia="en-US"/>
              </w:rPr>
            </w:pPr>
            <w:r w:rsidRPr="00A24D93">
              <w:rPr>
                <w:rFonts w:ascii="Calibri" w:eastAsia="Times New Roman" w:hAnsi="Calibri" w:cs="Times New Roman"/>
                <w:color w:val="FFFFFF"/>
                <w:sz w:val="18"/>
                <w:szCs w:val="18"/>
                <w:lang w:val="en-GB" w:eastAsia="en-US"/>
              </w:rPr>
              <w:t>%</w:t>
            </w:r>
          </w:p>
        </w:tc>
      </w:tr>
      <w:tr w:rsidR="00DC1E1A" w:rsidRPr="00A24D93" w14:paraId="384030CB" w14:textId="77777777" w:rsidTr="003910BE">
        <w:trPr>
          <w:trHeight w:val="320"/>
        </w:trPr>
        <w:tc>
          <w:tcPr>
            <w:tcW w:w="1383" w:type="dxa"/>
            <w:tcBorders>
              <w:top w:val="nil"/>
              <w:left w:val="nil"/>
              <w:bottom w:val="single" w:sz="8" w:space="0" w:color="FFFFFF"/>
              <w:right w:val="nil"/>
            </w:tcBorders>
            <w:shd w:val="clear" w:color="000000" w:fill="365F91"/>
            <w:noWrap/>
            <w:vAlign w:val="center"/>
            <w:hideMark/>
          </w:tcPr>
          <w:p w14:paraId="1D73C75C" w14:textId="77777777" w:rsidR="00DC1E1A" w:rsidRPr="00A24D93" w:rsidRDefault="00DC1E1A" w:rsidP="00E47779">
            <w:pPr>
              <w:spacing w:after="0"/>
              <w:jc w:val="left"/>
              <w:rPr>
                <w:rFonts w:ascii="Calibri" w:eastAsia="Times New Roman" w:hAnsi="Calibri" w:cs="Times New Roman"/>
                <w:color w:val="FFFFFF"/>
                <w:sz w:val="18"/>
                <w:szCs w:val="18"/>
                <w:lang w:val="en-GB" w:eastAsia="en-US"/>
              </w:rPr>
            </w:pPr>
            <w:r w:rsidRPr="00A24D93">
              <w:rPr>
                <w:rFonts w:ascii="Calibri" w:eastAsia="Times New Roman" w:hAnsi="Calibri" w:cs="Times New Roman"/>
                <w:color w:val="FFFFFF"/>
                <w:sz w:val="18"/>
                <w:szCs w:val="18"/>
                <w:lang w:val="en-GB" w:eastAsia="en-US"/>
              </w:rPr>
              <w:t>Kennis en ervaring</w:t>
            </w:r>
          </w:p>
        </w:tc>
        <w:tc>
          <w:tcPr>
            <w:tcW w:w="778" w:type="dxa"/>
            <w:tcBorders>
              <w:top w:val="nil"/>
              <w:left w:val="nil"/>
              <w:bottom w:val="single" w:sz="8" w:space="0" w:color="FFFFFF"/>
              <w:right w:val="nil"/>
            </w:tcBorders>
            <w:shd w:val="clear" w:color="000000" w:fill="DBE5F1"/>
            <w:noWrap/>
            <w:vAlign w:val="center"/>
            <w:hideMark/>
          </w:tcPr>
          <w:p w14:paraId="7DB3C5CC"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11</w:t>
            </w:r>
          </w:p>
        </w:tc>
        <w:tc>
          <w:tcPr>
            <w:tcW w:w="1822" w:type="dxa"/>
            <w:tcBorders>
              <w:top w:val="nil"/>
              <w:left w:val="nil"/>
              <w:bottom w:val="single" w:sz="8" w:space="0" w:color="FFFFFF"/>
              <w:right w:val="nil"/>
            </w:tcBorders>
            <w:shd w:val="clear" w:color="000000" w:fill="DBE5F1"/>
            <w:noWrap/>
            <w:vAlign w:val="center"/>
            <w:hideMark/>
          </w:tcPr>
          <w:p w14:paraId="74B817D8"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68,75%</w:t>
            </w:r>
          </w:p>
        </w:tc>
        <w:tc>
          <w:tcPr>
            <w:tcW w:w="1300" w:type="dxa"/>
            <w:tcBorders>
              <w:top w:val="nil"/>
              <w:left w:val="nil"/>
              <w:bottom w:val="single" w:sz="8" w:space="0" w:color="FFFFFF"/>
              <w:right w:val="nil"/>
            </w:tcBorders>
            <w:shd w:val="clear" w:color="000000" w:fill="DBE5F1"/>
            <w:noWrap/>
            <w:vAlign w:val="center"/>
            <w:hideMark/>
          </w:tcPr>
          <w:p w14:paraId="5577B9AC"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1</w:t>
            </w:r>
            <w:r>
              <w:rPr>
                <w:rFonts w:ascii="Calibri" w:eastAsia="Times New Roman" w:hAnsi="Calibri" w:cs="Times New Roman"/>
                <w:color w:val="000000"/>
                <w:sz w:val="18"/>
                <w:szCs w:val="18"/>
                <w:lang w:val="en-GB" w:eastAsia="en-US"/>
              </w:rPr>
              <w:t>4</w:t>
            </w:r>
          </w:p>
        </w:tc>
        <w:tc>
          <w:tcPr>
            <w:tcW w:w="1300" w:type="dxa"/>
            <w:tcBorders>
              <w:top w:val="nil"/>
              <w:left w:val="nil"/>
              <w:bottom w:val="single" w:sz="8" w:space="0" w:color="FFFFFF"/>
              <w:right w:val="nil"/>
            </w:tcBorders>
            <w:shd w:val="clear" w:color="000000" w:fill="DBE5F1"/>
            <w:noWrap/>
            <w:vAlign w:val="center"/>
            <w:hideMark/>
          </w:tcPr>
          <w:p w14:paraId="6D1ACD3B"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Pr>
                <w:rFonts w:ascii="Calibri" w:eastAsia="Times New Roman" w:hAnsi="Calibri" w:cs="Times New Roman"/>
                <w:color w:val="000000"/>
                <w:sz w:val="18"/>
                <w:szCs w:val="18"/>
                <w:lang w:val="en-GB" w:eastAsia="en-US"/>
              </w:rPr>
              <w:t>64,1</w:t>
            </w:r>
            <w:r w:rsidRPr="00A24D93">
              <w:rPr>
                <w:rFonts w:ascii="Calibri" w:eastAsia="Times New Roman" w:hAnsi="Calibri" w:cs="Times New Roman"/>
                <w:color w:val="000000"/>
                <w:sz w:val="18"/>
                <w:szCs w:val="18"/>
                <w:lang w:val="en-GB" w:eastAsia="en-US"/>
              </w:rPr>
              <w:t>%</w:t>
            </w:r>
          </w:p>
        </w:tc>
      </w:tr>
      <w:tr w:rsidR="00DC1E1A" w:rsidRPr="00A24D93" w14:paraId="6FA7DC54" w14:textId="77777777" w:rsidTr="003910BE">
        <w:trPr>
          <w:trHeight w:val="320"/>
        </w:trPr>
        <w:tc>
          <w:tcPr>
            <w:tcW w:w="1383" w:type="dxa"/>
            <w:tcBorders>
              <w:top w:val="nil"/>
              <w:left w:val="nil"/>
              <w:bottom w:val="single" w:sz="8" w:space="0" w:color="FFFFFF"/>
              <w:right w:val="nil"/>
            </w:tcBorders>
            <w:shd w:val="clear" w:color="000000" w:fill="365F91"/>
            <w:noWrap/>
            <w:vAlign w:val="center"/>
            <w:hideMark/>
          </w:tcPr>
          <w:p w14:paraId="119CA601" w14:textId="77777777" w:rsidR="00DC1E1A" w:rsidRPr="00A24D93" w:rsidRDefault="00DC1E1A" w:rsidP="00E47779">
            <w:pPr>
              <w:spacing w:after="0"/>
              <w:jc w:val="left"/>
              <w:rPr>
                <w:rFonts w:ascii="Calibri" w:eastAsia="Times New Roman" w:hAnsi="Calibri" w:cs="Times New Roman"/>
                <w:color w:val="FFFFFF"/>
                <w:sz w:val="18"/>
                <w:szCs w:val="18"/>
                <w:lang w:val="en-GB" w:eastAsia="en-US"/>
              </w:rPr>
            </w:pPr>
            <w:r w:rsidRPr="00A24D93">
              <w:rPr>
                <w:rFonts w:ascii="Calibri" w:eastAsia="Times New Roman" w:hAnsi="Calibri" w:cs="Times New Roman"/>
                <w:color w:val="FFFFFF"/>
                <w:sz w:val="18"/>
                <w:szCs w:val="18"/>
                <w:lang w:val="en-GB" w:eastAsia="en-US"/>
              </w:rPr>
              <w:t>Netwerk</w:t>
            </w:r>
          </w:p>
        </w:tc>
        <w:tc>
          <w:tcPr>
            <w:tcW w:w="778" w:type="dxa"/>
            <w:tcBorders>
              <w:top w:val="nil"/>
              <w:left w:val="nil"/>
              <w:bottom w:val="single" w:sz="8" w:space="0" w:color="FFFFFF"/>
              <w:right w:val="nil"/>
            </w:tcBorders>
            <w:shd w:val="clear" w:color="000000" w:fill="A7BFDE"/>
            <w:noWrap/>
            <w:vAlign w:val="center"/>
            <w:hideMark/>
          </w:tcPr>
          <w:p w14:paraId="41992810"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4</w:t>
            </w:r>
          </w:p>
        </w:tc>
        <w:tc>
          <w:tcPr>
            <w:tcW w:w="1822" w:type="dxa"/>
            <w:tcBorders>
              <w:top w:val="nil"/>
              <w:left w:val="nil"/>
              <w:bottom w:val="single" w:sz="8" w:space="0" w:color="FFFFFF"/>
              <w:right w:val="nil"/>
            </w:tcBorders>
            <w:shd w:val="clear" w:color="000000" w:fill="A7BFDE"/>
            <w:noWrap/>
            <w:vAlign w:val="center"/>
            <w:hideMark/>
          </w:tcPr>
          <w:p w14:paraId="2BA2D464"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25,00%</w:t>
            </w:r>
          </w:p>
        </w:tc>
        <w:tc>
          <w:tcPr>
            <w:tcW w:w="1300" w:type="dxa"/>
            <w:tcBorders>
              <w:top w:val="nil"/>
              <w:left w:val="nil"/>
              <w:bottom w:val="single" w:sz="8" w:space="0" w:color="FFFFFF"/>
              <w:right w:val="nil"/>
            </w:tcBorders>
            <w:shd w:val="clear" w:color="000000" w:fill="A7BFDE"/>
            <w:noWrap/>
            <w:vAlign w:val="center"/>
            <w:hideMark/>
          </w:tcPr>
          <w:p w14:paraId="20BACD5B"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9</w:t>
            </w:r>
          </w:p>
        </w:tc>
        <w:tc>
          <w:tcPr>
            <w:tcW w:w="1300" w:type="dxa"/>
            <w:tcBorders>
              <w:top w:val="nil"/>
              <w:left w:val="nil"/>
              <w:bottom w:val="single" w:sz="8" w:space="0" w:color="FFFFFF"/>
              <w:right w:val="nil"/>
            </w:tcBorders>
            <w:shd w:val="clear" w:color="000000" w:fill="A7BFDE"/>
            <w:noWrap/>
            <w:vAlign w:val="center"/>
            <w:hideMark/>
          </w:tcPr>
          <w:p w14:paraId="3964EB69"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37,50%</w:t>
            </w:r>
          </w:p>
        </w:tc>
      </w:tr>
      <w:tr w:rsidR="00DC1E1A" w:rsidRPr="00A24D93" w14:paraId="7A289968" w14:textId="77777777" w:rsidTr="003910BE">
        <w:trPr>
          <w:trHeight w:val="320"/>
        </w:trPr>
        <w:tc>
          <w:tcPr>
            <w:tcW w:w="1383" w:type="dxa"/>
            <w:tcBorders>
              <w:top w:val="nil"/>
              <w:left w:val="nil"/>
              <w:bottom w:val="nil"/>
              <w:right w:val="nil"/>
            </w:tcBorders>
            <w:shd w:val="clear" w:color="000000" w:fill="365F91"/>
            <w:noWrap/>
            <w:vAlign w:val="center"/>
            <w:hideMark/>
          </w:tcPr>
          <w:p w14:paraId="15BC83C5" w14:textId="77777777" w:rsidR="00DC1E1A" w:rsidRPr="00A24D93" w:rsidRDefault="00DC1E1A" w:rsidP="00E47779">
            <w:pPr>
              <w:spacing w:after="0"/>
              <w:jc w:val="left"/>
              <w:rPr>
                <w:rFonts w:ascii="Calibri" w:eastAsia="Times New Roman" w:hAnsi="Calibri" w:cs="Times New Roman"/>
                <w:color w:val="FFFFFF"/>
                <w:sz w:val="18"/>
                <w:szCs w:val="18"/>
                <w:lang w:val="en-GB" w:eastAsia="en-US"/>
              </w:rPr>
            </w:pPr>
            <w:r w:rsidRPr="00A24D93">
              <w:rPr>
                <w:rFonts w:ascii="Calibri" w:eastAsia="Times New Roman" w:hAnsi="Calibri" w:cs="Times New Roman"/>
                <w:color w:val="FFFFFF"/>
                <w:sz w:val="18"/>
                <w:szCs w:val="18"/>
                <w:lang w:val="en-GB" w:eastAsia="en-US"/>
              </w:rPr>
              <w:t>Financieel</w:t>
            </w:r>
          </w:p>
        </w:tc>
        <w:tc>
          <w:tcPr>
            <w:tcW w:w="778" w:type="dxa"/>
            <w:tcBorders>
              <w:top w:val="nil"/>
              <w:left w:val="nil"/>
              <w:bottom w:val="nil"/>
              <w:right w:val="nil"/>
            </w:tcBorders>
            <w:shd w:val="clear" w:color="000000" w:fill="DBE5F1"/>
            <w:noWrap/>
            <w:vAlign w:val="center"/>
            <w:hideMark/>
          </w:tcPr>
          <w:p w14:paraId="7C17DCC7"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1</w:t>
            </w:r>
          </w:p>
        </w:tc>
        <w:tc>
          <w:tcPr>
            <w:tcW w:w="1822" w:type="dxa"/>
            <w:tcBorders>
              <w:top w:val="nil"/>
              <w:left w:val="nil"/>
              <w:bottom w:val="nil"/>
              <w:right w:val="nil"/>
            </w:tcBorders>
            <w:shd w:val="clear" w:color="000000" w:fill="DBE5F1"/>
            <w:noWrap/>
            <w:vAlign w:val="center"/>
            <w:hideMark/>
          </w:tcPr>
          <w:p w14:paraId="3A7DB1AF"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6.25%</w:t>
            </w:r>
          </w:p>
        </w:tc>
        <w:tc>
          <w:tcPr>
            <w:tcW w:w="1300" w:type="dxa"/>
            <w:tcBorders>
              <w:top w:val="nil"/>
              <w:left w:val="nil"/>
              <w:bottom w:val="nil"/>
              <w:right w:val="nil"/>
            </w:tcBorders>
            <w:shd w:val="clear" w:color="000000" w:fill="DBE5F1"/>
            <w:noWrap/>
            <w:vAlign w:val="center"/>
            <w:hideMark/>
          </w:tcPr>
          <w:p w14:paraId="031655ED"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0</w:t>
            </w:r>
          </w:p>
        </w:tc>
        <w:tc>
          <w:tcPr>
            <w:tcW w:w="1300" w:type="dxa"/>
            <w:tcBorders>
              <w:top w:val="nil"/>
              <w:left w:val="nil"/>
              <w:bottom w:val="nil"/>
              <w:right w:val="nil"/>
            </w:tcBorders>
            <w:shd w:val="clear" w:color="000000" w:fill="DBE5F1"/>
            <w:noWrap/>
            <w:vAlign w:val="center"/>
            <w:hideMark/>
          </w:tcPr>
          <w:p w14:paraId="0AEB264A" w14:textId="77777777" w:rsidR="00DC1E1A" w:rsidRPr="00A24D93" w:rsidRDefault="00DC1E1A" w:rsidP="003910BE">
            <w:pPr>
              <w:spacing w:after="0"/>
              <w:jc w:val="right"/>
              <w:rPr>
                <w:rFonts w:ascii="Calibri" w:eastAsia="Times New Roman" w:hAnsi="Calibri" w:cs="Times New Roman"/>
                <w:color w:val="000000"/>
                <w:sz w:val="18"/>
                <w:szCs w:val="18"/>
                <w:lang w:val="en-GB" w:eastAsia="en-US"/>
              </w:rPr>
            </w:pPr>
            <w:r w:rsidRPr="00A24D93">
              <w:rPr>
                <w:rFonts w:ascii="Calibri" w:eastAsia="Times New Roman" w:hAnsi="Calibri" w:cs="Times New Roman"/>
                <w:color w:val="000000"/>
                <w:sz w:val="18"/>
                <w:szCs w:val="18"/>
                <w:lang w:val="en-GB" w:eastAsia="en-US"/>
              </w:rPr>
              <w:t>0%</w:t>
            </w:r>
          </w:p>
        </w:tc>
      </w:tr>
    </w:tbl>
    <w:p w14:paraId="02922848" w14:textId="77777777" w:rsidR="00DC1E1A" w:rsidRPr="003D6BF9" w:rsidRDefault="00DC1E1A" w:rsidP="00DC1E1A">
      <w:pPr>
        <w:rPr>
          <w:color w:val="4F81BD" w:themeColor="accent1"/>
          <w:sz w:val="20"/>
        </w:rPr>
      </w:pPr>
      <w:r w:rsidRPr="003D6BF9">
        <w:rPr>
          <w:b/>
          <w:color w:val="4F81BD" w:themeColor="accent1"/>
          <w:sz w:val="20"/>
        </w:rPr>
        <w:t>Tabel 6.3:</w:t>
      </w:r>
      <w:r w:rsidRPr="003D6BF9">
        <w:rPr>
          <w:color w:val="4F81BD" w:themeColor="accent1"/>
          <w:sz w:val="20"/>
        </w:rPr>
        <w:t xml:space="preserve"> Het aantal ondernemers dat aangaf kennis en ervaring, netwerk, of financiële voordelen te hebben gehaald uit  de vorige baan, en of deze baan zich in dezelfde regio bevond als de spin-off. Eén ondernemer kan onder meerdere categorieën vallen.</w:t>
      </w:r>
    </w:p>
    <w:p w14:paraId="3C1FFFF0" w14:textId="77777777" w:rsidR="00DC1E1A" w:rsidRDefault="00DC1E1A" w:rsidP="00DC1E1A"/>
    <w:p w14:paraId="50183A62" w14:textId="63868019" w:rsidR="00DC1E1A" w:rsidRDefault="00DC1E1A" w:rsidP="00DC1E1A">
      <w:r>
        <w:t>Om te zien of er een verband bestaat tussen spin-off zijn en in dezelfde regio blijven, wordt een statistische toets gebruikt</w:t>
      </w:r>
      <w:r w:rsidR="00393F3C">
        <w:t xml:space="preserve"> (zie bijlage 3.7)</w:t>
      </w:r>
      <w:r>
        <w:t>. Wederom kan er geen gebruik gemaakt worden van de Chi-kwadraat toets omdat verwachtte waardes van onder de 5 deze toets onbetrouwbaar maken. Daarom is er gekozen om de twee dichotome variabelen te toetsen met Fisher’s exacte toets. Ook in dit geval is er sprake van een significantie van 1,00 (tweezijdig), en wordt de nulhypothese bevestigd. Op basis van de interviews kan dus geen statistisch verband worden aangetoond tussen start-ups en blijven werken in dezelfde regio.</w:t>
      </w:r>
    </w:p>
    <w:p w14:paraId="4C8490A7" w14:textId="31E897DD" w:rsidR="00DC1E1A" w:rsidRPr="00B22D04" w:rsidRDefault="002511AC" w:rsidP="003910BE">
      <w:pPr>
        <w:pStyle w:val="Heading1"/>
      </w:pPr>
      <w:bookmarkStart w:id="76" w:name="_Toc316143593"/>
      <w:bookmarkStart w:id="77" w:name="_Toc337655447"/>
      <w:r>
        <w:t>6.4</w:t>
      </w:r>
      <w:r w:rsidR="003910BE">
        <w:t xml:space="preserve"> </w:t>
      </w:r>
      <w:r w:rsidR="00DC1E1A" w:rsidRPr="00B22D04">
        <w:t>Locatie respondenten</w:t>
      </w:r>
      <w:bookmarkEnd w:id="76"/>
      <w:bookmarkEnd w:id="77"/>
    </w:p>
    <w:p w14:paraId="14AE2259" w14:textId="77777777" w:rsidR="00DC1E1A" w:rsidRDefault="00DC1E1A" w:rsidP="00DC1E1A">
      <w:pPr>
        <w:rPr>
          <w:b/>
          <w:i/>
        </w:rPr>
      </w:pPr>
      <w:r>
        <w:rPr>
          <w:b/>
          <w:i/>
          <w:noProof/>
          <w:lang w:val="en-US" w:eastAsia="en-US"/>
        </w:rPr>
        <w:drawing>
          <wp:inline distT="0" distB="0" distL="0" distR="0" wp14:anchorId="6048CF15" wp14:editId="643D3922">
            <wp:extent cx="2509520" cy="1973580"/>
            <wp:effectExtent l="0" t="0" r="30480" b="330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b/>
          <w:i/>
          <w:noProof/>
          <w:lang w:val="en-US" w:eastAsia="en-US"/>
        </w:rPr>
        <w:drawing>
          <wp:inline distT="0" distB="0" distL="0" distR="0" wp14:anchorId="1BC5CBC2" wp14:editId="0E26955D">
            <wp:extent cx="2509520" cy="2021840"/>
            <wp:effectExtent l="0" t="0" r="30480" b="355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687557" w14:textId="270456C8" w:rsidR="00DC1E1A" w:rsidRPr="00ED1C85" w:rsidRDefault="0044708D" w:rsidP="00DC1E1A">
      <w:pPr>
        <w:rPr>
          <w:color w:val="4F81BD" w:themeColor="accent1"/>
          <w:sz w:val="20"/>
        </w:rPr>
      </w:pPr>
      <w:r>
        <w:rPr>
          <w:b/>
          <w:color w:val="4F81BD" w:themeColor="accent1"/>
          <w:sz w:val="20"/>
        </w:rPr>
        <w:t>Afbeelding 6</w:t>
      </w:r>
      <w:r w:rsidR="002511AC">
        <w:rPr>
          <w:b/>
          <w:color w:val="4F81BD" w:themeColor="accent1"/>
          <w:sz w:val="20"/>
        </w:rPr>
        <w:t>.3</w:t>
      </w:r>
      <w:r w:rsidR="00DC1E1A" w:rsidRPr="00ED1C85">
        <w:rPr>
          <w:b/>
          <w:color w:val="4F81BD" w:themeColor="accent1"/>
          <w:sz w:val="20"/>
        </w:rPr>
        <w:t>:</w:t>
      </w:r>
      <w:r w:rsidR="00DC1E1A" w:rsidRPr="00ED1C85">
        <w:rPr>
          <w:color w:val="4F81BD" w:themeColor="accent1"/>
          <w:sz w:val="20"/>
        </w:rPr>
        <w:t xml:space="preserve"> Verhouding start-ups en spin-offs onder respondenten in Woerden (links) en Veenendaal (Rechts)</w:t>
      </w:r>
    </w:p>
    <w:p w14:paraId="7D6A6F9B" w14:textId="77777777" w:rsidR="00DC1E1A" w:rsidRDefault="00DC1E1A" w:rsidP="00DC1E1A">
      <w:pPr>
        <w:rPr>
          <w:b/>
          <w:i/>
        </w:rPr>
      </w:pPr>
    </w:p>
    <w:p w14:paraId="774887D0" w14:textId="77777777" w:rsidR="00DC1E1A" w:rsidRDefault="00DC1E1A" w:rsidP="00DC1E1A">
      <w:r>
        <w:t>Door de grote ondernemingen die regio Woerden verlaten hebben is het mogelijk dat de regio meer spin-offs voortbrengt dan regio Veenendaal. Daarom is vergeleken of de regio’s onder starters evenveel spin-offs voortbrengen. Afbeelding 3.2 toont de verhouding tussen spin-offs en andere start-ups onder de respondenten. 65,2% van de</w:t>
      </w:r>
      <w:r w:rsidRPr="004A505D">
        <w:t xml:space="preserve"> bedrijven </w:t>
      </w:r>
      <w:r>
        <w:t>in Woerden gaven aan spin-off te zijn, tegenover 62,5% in Veenendaal.</w:t>
      </w:r>
    </w:p>
    <w:p w14:paraId="751DCFFB" w14:textId="584075BA" w:rsidR="00DC1E1A" w:rsidRDefault="00DC1E1A" w:rsidP="003910BE">
      <w:pPr>
        <w:ind w:firstLine="720"/>
      </w:pPr>
      <w:r>
        <w:t>Dit verschil is statistisch echter niet significant</w:t>
      </w:r>
      <w:r w:rsidR="00393F3C">
        <w:t xml:space="preserve"> (zie bijlage 3.5)</w:t>
      </w:r>
      <w:r>
        <w:t xml:space="preserve">. Omdat het om twee nominale variabelen gaat, is er in eerste instantie gebruik gemaakt van de Chi-kwadraat toets. Zelfs wanneer er slechts nog onderscheid werd gemaakt tussen de regio’s Woerden en Veenendaal bleken er echter cellen te zijn met een verwachtte waarde van onder de 5. Dit maakt de Chi-kwadraat toets onbetrouwbaar, en dus is er gebruik gemaakt van Fisher’s exacte toets. Net als bij een Chi-kwadraat toets luidt de nulhypothese van deze toets dat er geen statistisch verband is. De toets kent geen score, maar geeft een significantie niveau van 1,00 (tweezijdig getoetst). Dit is boven 0,05, en dus wordt de nulhypothese niet verworpen. </w:t>
      </w:r>
      <w:r w:rsidR="00DA0307">
        <w:t>Een</w:t>
      </w:r>
      <w:r>
        <w:t xml:space="preserve"> verband tussen het spin-off zijn en de vestigingsregio</w:t>
      </w:r>
      <w:r w:rsidR="00DA0307">
        <w:t xml:space="preserve"> is dus niet statistisch aantoonbaar</w:t>
      </w:r>
      <w:r>
        <w:t>.</w:t>
      </w:r>
    </w:p>
    <w:p w14:paraId="13C0D183" w14:textId="60AFFB0B" w:rsidR="00DC1E1A" w:rsidRDefault="002511AC" w:rsidP="003910BE">
      <w:pPr>
        <w:pStyle w:val="Heading1"/>
      </w:pPr>
      <w:bookmarkStart w:id="78" w:name="_Toc316143594"/>
      <w:bookmarkStart w:id="79" w:name="_Toc337655448"/>
      <w:r>
        <w:t>6.5</w:t>
      </w:r>
      <w:r w:rsidR="003910BE">
        <w:t xml:space="preserve"> </w:t>
      </w:r>
      <w:r w:rsidR="00DC1E1A" w:rsidRPr="00490C60">
        <w:t>Jaar van oprichting</w:t>
      </w:r>
      <w:bookmarkEnd w:id="78"/>
      <w:bookmarkEnd w:id="79"/>
    </w:p>
    <w:p w14:paraId="673255D8" w14:textId="33AB719C" w:rsidR="00DC1E1A" w:rsidRPr="00490C60" w:rsidRDefault="00DC1E1A" w:rsidP="00DC1E1A">
      <w:pPr>
        <w:rPr>
          <w:b/>
        </w:rPr>
      </w:pPr>
      <w:r>
        <w:t>Om inzicht te krijgen in de ontwikkeling van spin-offs in de regio’s Woerden en</w:t>
      </w:r>
      <w:r w:rsidR="000461EE">
        <w:t xml:space="preserve"> </w:t>
      </w:r>
      <w:r>
        <w:t>Veenendaal, is het ook belangrijk te kijken hoeveel bedrijven er per jaar startten, en hoeveel hiervan spin-offs waren.</w:t>
      </w:r>
      <w:r w:rsidR="00D9363A">
        <w:t xml:space="preserve"> Economische trends kunnen invloed hebben op het gedrag van ondernemers. Daarom wordt onderzocht in hoeverre het startjaar van een bedrijf invloed heeft op de mate van ervaring die de ondernemers hadden. </w:t>
      </w:r>
      <w:r>
        <w:t>In afbeelding 3.3 wordt er gekeken of het moment van oprichten een rol speelt in de kans dat een startend bedrijf een spin-off is.</w:t>
      </w:r>
    </w:p>
    <w:p w14:paraId="111435B5" w14:textId="77777777" w:rsidR="00DC1E1A" w:rsidRDefault="00DC1E1A" w:rsidP="00DC1E1A">
      <w:pPr>
        <w:rPr>
          <w:b/>
        </w:rPr>
      </w:pPr>
      <w:r>
        <w:rPr>
          <w:noProof/>
          <w:lang w:val="en-US" w:eastAsia="en-US"/>
        </w:rPr>
        <w:drawing>
          <wp:inline distT="0" distB="0" distL="0" distR="0" wp14:anchorId="793CD9FD" wp14:editId="2E83AA82">
            <wp:extent cx="4572000" cy="2743200"/>
            <wp:effectExtent l="0" t="0" r="25400" b="254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5D2C5B" w14:textId="50D756D0" w:rsidR="00DC1E1A" w:rsidRPr="007B1ACD" w:rsidRDefault="0044708D" w:rsidP="00DC1E1A">
      <w:pPr>
        <w:rPr>
          <w:color w:val="4F81BD" w:themeColor="accent1"/>
          <w:sz w:val="20"/>
        </w:rPr>
      </w:pPr>
      <w:r>
        <w:rPr>
          <w:b/>
          <w:color w:val="4F81BD" w:themeColor="accent1"/>
          <w:sz w:val="20"/>
        </w:rPr>
        <w:t>Afbeelding 6</w:t>
      </w:r>
      <w:r w:rsidR="002511AC">
        <w:rPr>
          <w:b/>
          <w:color w:val="4F81BD" w:themeColor="accent1"/>
          <w:sz w:val="20"/>
        </w:rPr>
        <w:t>.4</w:t>
      </w:r>
      <w:r w:rsidR="00DC1E1A" w:rsidRPr="00EE5EDE">
        <w:rPr>
          <w:b/>
          <w:color w:val="4F81BD" w:themeColor="accent1"/>
          <w:sz w:val="20"/>
        </w:rPr>
        <w:t>:</w:t>
      </w:r>
      <w:r w:rsidR="00DC1E1A" w:rsidRPr="007B1ACD">
        <w:rPr>
          <w:color w:val="4F81BD" w:themeColor="accent1"/>
          <w:sz w:val="20"/>
        </w:rPr>
        <w:t xml:space="preserve"> Bedrijfsoprichtingen van respondenten naar jaar, uitgesplitst naar spin-offs en start-ups.</w:t>
      </w:r>
    </w:p>
    <w:p w14:paraId="447B8376" w14:textId="77777777" w:rsidR="00DC1E1A" w:rsidRDefault="00DC1E1A" w:rsidP="00DC1E1A">
      <w:pPr>
        <w:rPr>
          <w:i/>
        </w:rPr>
      </w:pPr>
    </w:p>
    <w:p w14:paraId="516F2EFE" w14:textId="77777777" w:rsidR="00DC1E1A" w:rsidRPr="00D51596" w:rsidRDefault="00DC1E1A" w:rsidP="00DC1E1A">
      <w:r>
        <w:t>Er is over de vijf jaar waarin respondenten hun bedrijven gestart hebben geen duidelijke trend te zien in het aantal bedrijfsoprichtingen. In 2001 zijn twee keer zoveel respondenten gestart als gemiddeld in de andere jaren. In dit jaar zijn echter relatief de minste bedrijven gestart die voortbouwden op ervaring uit een eerdere baan.</w:t>
      </w:r>
    </w:p>
    <w:p w14:paraId="61A474AE" w14:textId="3EC43629" w:rsidR="00DC1E1A" w:rsidRDefault="00DC1E1A" w:rsidP="003910BE">
      <w:pPr>
        <w:ind w:firstLine="720"/>
      </w:pPr>
      <w:r>
        <w:t>Er zijn weinig bedrijven gesproken, en de uitkomsten zijn te ongelijk verdeeld om een Chi-kwadraat toets uit te voeren. Daarom zijn de bedrijven die voor 2000 gestart zijn gegroepeerd, net als de bedrijven die tussen 2000 en 2003 zijn gestart. Deze dichotome variabele kan aan de hand van Fisher’s exacte toets worden getest</w:t>
      </w:r>
      <w:r w:rsidR="006E3FCB">
        <w:t xml:space="preserve"> (zie bijlage </w:t>
      </w:r>
      <w:r w:rsidR="00A31DB3">
        <w:t>3.8)</w:t>
      </w:r>
      <w:r>
        <w:t xml:space="preserve">. Dit levert een significatie van 0,488 op. Dit betekent dat er een statistisch significant verschil bestaat tussen bedrijven die gestart zijn voor 2000 en bedrijven die hierna startten, betreffende de kans op hergebruik van bestaande ervaring. De bijbehorende Phi-waarde (gelijk aan Cramér’s V) bedraagt 0,169. Het verband is dus significant, maar zeer zwak. Na 2001 is het percentage bedrijven dat spin-off is dus significant lager, maar dit is volledig aan te schrijven aan het jaar 2001 dat sterk afwijkt van de overige jaren. Het lijkt ondanks de statistische toets onwaarschijnlijk dat er inderdaad een afname </w:t>
      </w:r>
      <w:r w:rsidR="009722ED">
        <w:t>van het aantal spin-offs was na</w:t>
      </w:r>
      <w:r>
        <w:t xml:space="preserve"> 2001.</w:t>
      </w:r>
    </w:p>
    <w:p w14:paraId="7D1D2B7F" w14:textId="593270FE" w:rsidR="00DC1E1A" w:rsidRDefault="002511AC" w:rsidP="003910BE">
      <w:pPr>
        <w:pStyle w:val="Heading1"/>
      </w:pPr>
      <w:bookmarkStart w:id="80" w:name="_Toc316143595"/>
      <w:bookmarkStart w:id="81" w:name="_Toc337655449"/>
      <w:r>
        <w:t>6.6</w:t>
      </w:r>
      <w:r w:rsidR="003910BE">
        <w:t xml:space="preserve"> </w:t>
      </w:r>
      <w:r w:rsidR="00DC1E1A" w:rsidRPr="00490C60">
        <w:t>Het aantal werknemers</w:t>
      </w:r>
      <w:bookmarkEnd w:id="80"/>
      <w:bookmarkEnd w:id="81"/>
    </w:p>
    <w:p w14:paraId="631AA3BE" w14:textId="7CD553C1" w:rsidR="00DC1E1A" w:rsidRPr="00B4706F" w:rsidRDefault="00DC1E1A" w:rsidP="00DC1E1A">
      <w:r>
        <w:t>Uit veel onderzoek blijkt dat spin-offs sneller groeien dan andere start-ups en daardoor een belangrijke rol spelen in de economie. Deze onderzoeken richten zich echter vaak op stedelijke regio’s met high-tech sectoren een sterke aanwezigheid van kennisinstituten. De vraag is of dit ook geldt voor kleinere regio’s vlak buiten de kernen van de randstad.</w:t>
      </w:r>
      <w:r w:rsidR="001414F3">
        <w:t xml:space="preserve"> Als spin-offs ook in minder stedelijke regio’s een belangrijke banenmotor vormen geeft dit extra belang aan deze bedrijven en de relaties die zij hebben met de skills in de lokale arbeidsmarkt.</w:t>
      </w:r>
    </w:p>
    <w:p w14:paraId="10088C90" w14:textId="77777777" w:rsidR="00DC1E1A" w:rsidRDefault="00DC1E1A" w:rsidP="00DC1E1A">
      <w:pPr>
        <w:rPr>
          <w:b/>
        </w:rPr>
      </w:pPr>
    </w:p>
    <w:p w14:paraId="3305304D" w14:textId="77777777" w:rsidR="00DC1E1A" w:rsidRDefault="00DC1E1A" w:rsidP="00DC1E1A">
      <w:pPr>
        <w:rPr>
          <w:b/>
        </w:rPr>
      </w:pPr>
      <w:r>
        <w:rPr>
          <w:noProof/>
          <w:lang w:val="en-US" w:eastAsia="en-US"/>
        </w:rPr>
        <w:drawing>
          <wp:inline distT="0" distB="0" distL="0" distR="0" wp14:anchorId="0C3110C6" wp14:editId="3A71D165">
            <wp:extent cx="5270500" cy="3264782"/>
            <wp:effectExtent l="0" t="0" r="12700" b="374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1AD874" w14:textId="22907F43" w:rsidR="00DC1E1A" w:rsidRPr="007E2247" w:rsidRDefault="00DC1E1A" w:rsidP="00DC1E1A">
      <w:pPr>
        <w:rPr>
          <w:color w:val="4F81BD" w:themeColor="accent1"/>
          <w:sz w:val="20"/>
        </w:rPr>
      </w:pPr>
      <w:r w:rsidRPr="007E2247">
        <w:rPr>
          <w:b/>
          <w:color w:val="4F81BD" w:themeColor="accent1"/>
          <w:sz w:val="20"/>
        </w:rPr>
        <w:t>Afbeelding</w:t>
      </w:r>
      <w:r w:rsidR="0044708D">
        <w:rPr>
          <w:b/>
          <w:color w:val="4F81BD" w:themeColor="accent1"/>
          <w:sz w:val="20"/>
        </w:rPr>
        <w:t xml:space="preserve"> 6</w:t>
      </w:r>
      <w:r w:rsidR="002511AC">
        <w:rPr>
          <w:b/>
          <w:color w:val="4F81BD" w:themeColor="accent1"/>
          <w:sz w:val="20"/>
        </w:rPr>
        <w:t>.5</w:t>
      </w:r>
      <w:r w:rsidRPr="007E2247">
        <w:rPr>
          <w:b/>
          <w:color w:val="4F81BD" w:themeColor="accent1"/>
          <w:sz w:val="20"/>
        </w:rPr>
        <w:t>:</w:t>
      </w:r>
      <w:r w:rsidRPr="007E2247">
        <w:rPr>
          <w:color w:val="4F81BD" w:themeColor="accent1"/>
          <w:sz w:val="20"/>
        </w:rPr>
        <w:t xml:space="preserve"> Het aantal bedrijven per aantal fulltime werknemers, uitgesplitst naar spin-offs en overige start-ups. </w:t>
      </w:r>
    </w:p>
    <w:p w14:paraId="45EEDC37" w14:textId="77777777" w:rsidR="00DC1E1A" w:rsidRDefault="00DC1E1A" w:rsidP="00DC1E1A">
      <w:pPr>
        <w:rPr>
          <w:i/>
        </w:rPr>
      </w:pPr>
    </w:p>
    <w:p w14:paraId="77831068" w14:textId="77777777" w:rsidR="00DC1E1A" w:rsidRDefault="00DC1E1A" w:rsidP="002511AC">
      <w:pPr>
        <w:jc w:val="center"/>
        <w:rPr>
          <w:i/>
        </w:rPr>
      </w:pPr>
      <w:r>
        <w:rPr>
          <w:i/>
          <w:noProof/>
          <w:lang w:val="en-US" w:eastAsia="en-US"/>
        </w:rPr>
        <w:drawing>
          <wp:inline distT="0" distB="0" distL="0" distR="0" wp14:anchorId="01FB7769" wp14:editId="2720A5E7">
            <wp:extent cx="1023620" cy="18611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 werknemers.png"/>
                    <pic:cNvPicPr/>
                  </pic:nvPicPr>
                  <pic:blipFill>
                    <a:blip r:embed="rId31">
                      <a:extLst>
                        <a:ext uri="{28A0092B-C50C-407E-A947-70E740481C1C}">
                          <a14:useLocalDpi xmlns:a14="http://schemas.microsoft.com/office/drawing/2010/main" val="0"/>
                        </a:ext>
                      </a:extLst>
                    </a:blip>
                    <a:stretch>
                      <a:fillRect/>
                    </a:stretch>
                  </pic:blipFill>
                  <pic:spPr>
                    <a:xfrm>
                      <a:off x="0" y="0"/>
                      <a:ext cx="1023620" cy="1861127"/>
                    </a:xfrm>
                    <a:prstGeom prst="rect">
                      <a:avLst/>
                    </a:prstGeom>
                  </pic:spPr>
                </pic:pic>
              </a:graphicData>
            </a:graphic>
          </wp:inline>
        </w:drawing>
      </w:r>
    </w:p>
    <w:p w14:paraId="7A194B3B" w14:textId="66CFEB48" w:rsidR="00DC1E1A" w:rsidRPr="007E2247" w:rsidRDefault="0044708D" w:rsidP="00DC1E1A">
      <w:pPr>
        <w:rPr>
          <w:color w:val="4F81BD" w:themeColor="accent1"/>
          <w:sz w:val="20"/>
        </w:rPr>
      </w:pPr>
      <w:r>
        <w:rPr>
          <w:b/>
          <w:color w:val="4F81BD" w:themeColor="accent1"/>
          <w:sz w:val="20"/>
        </w:rPr>
        <w:t>Afbeelding 6</w:t>
      </w:r>
      <w:r w:rsidR="00DC1E1A" w:rsidRPr="007E2247">
        <w:rPr>
          <w:b/>
          <w:color w:val="4F81BD" w:themeColor="accent1"/>
          <w:sz w:val="20"/>
        </w:rPr>
        <w:t>.</w:t>
      </w:r>
      <w:r w:rsidR="002511AC">
        <w:rPr>
          <w:b/>
          <w:color w:val="4F81BD" w:themeColor="accent1"/>
          <w:sz w:val="20"/>
        </w:rPr>
        <w:t>6</w:t>
      </w:r>
      <w:r w:rsidR="00DC1E1A" w:rsidRPr="007E2247">
        <w:rPr>
          <w:b/>
          <w:color w:val="4F81BD" w:themeColor="accent1"/>
          <w:sz w:val="20"/>
        </w:rPr>
        <w:t>:</w:t>
      </w:r>
      <w:r w:rsidR="00DC1E1A" w:rsidRPr="007E2247">
        <w:rPr>
          <w:color w:val="4F81BD" w:themeColor="accent1"/>
          <w:sz w:val="20"/>
        </w:rPr>
        <w:t xml:space="preserve"> Boxplot die spin-offs en start-ups zonder gebruik van eerdere ervaring vergelijkt op </w:t>
      </w:r>
      <w:r w:rsidR="00DC1E1A">
        <w:rPr>
          <w:color w:val="4F81BD" w:themeColor="accent1"/>
          <w:sz w:val="20"/>
        </w:rPr>
        <w:t>aantallen werknemers</w:t>
      </w:r>
      <w:r w:rsidR="00DC1E1A" w:rsidRPr="007E2247">
        <w:rPr>
          <w:color w:val="4F81BD" w:themeColor="accent1"/>
          <w:sz w:val="20"/>
        </w:rPr>
        <w:t>.</w:t>
      </w:r>
    </w:p>
    <w:p w14:paraId="3768148A" w14:textId="77777777" w:rsidR="00DC1E1A" w:rsidRDefault="00DC1E1A" w:rsidP="00DC1E1A"/>
    <w:p w14:paraId="2EE8C096" w14:textId="77777777" w:rsidR="00DC1E1A" w:rsidRPr="000669B4" w:rsidRDefault="00DC1E1A" w:rsidP="00DC1E1A">
      <w:r>
        <w:t>Hoewel bedrijven die geen groei doormaakten in het aantal werknemers niet zijn opgenomen in het onderzoek, en er daarom geen eenmansbedrijfjes onder de respondenten voorkomen, hebben de meeste bedrijven maar twee fulltime werknemers, zoals te zien is in afbeelding 3.4. Naarmate het aantal werknemers toeneemt, neemt het aantal bedrijven af. De boxplot in afbeelding 3.5 geeft een beter beeld van de afwijking die spin-offs hebben ten opzichte van de andere ondervraagde bedrijven. De mediaan ligt bij beiden op drie, maar het derde en vierde kwartiel liggen hoger bij spin-offs. Dit duidt erop dat spin-offs meer werkgelegenheid bieden dan andere bedrijven die tegelijkertijd gestart zijn. Uitzonderlijk grote bedrijven onder de respondenten zijn vaker spin-offs, maar dit kan niet worden gezegd voor de volledige populatie.</w:t>
      </w:r>
    </w:p>
    <w:p w14:paraId="1B2BA900" w14:textId="085E9D1D" w:rsidR="00DC1E1A" w:rsidRDefault="00DC1E1A" w:rsidP="003910BE">
      <w:pPr>
        <w:ind w:firstLine="720"/>
      </w:pPr>
      <w:r>
        <w:t>Omdat het om een dichotome en een ratio variabele gaat, en omdat het om een aselecte onafhankelijke steekproef gaat, is er een t-toets op het populatie gemiddelde gebruikt om de invloed op bedrijfsgrootte te testen</w:t>
      </w:r>
      <w:r w:rsidR="00A31DB3">
        <w:t xml:space="preserve"> (zie bijlage 3.9)</w:t>
      </w:r>
      <w:r>
        <w:t>. Uit een Levene’s toets bleek dat de populatievarianties gelijk zijn, en dat er gebruik kan worden gemaakt van de gewogen standaardfout. De significantie van de T-waarde (0,715) is echter hoger dan 0,05 en is dus met een zekerheid van 95% niet van invloed. Door de kleine respons is het dus niet aantoonbaar dat spin-offs in Woerden en Veenendaal meer werkgelegenheid bieden dan andere start-ups.</w:t>
      </w:r>
    </w:p>
    <w:p w14:paraId="74FF20A4" w14:textId="427F19ED" w:rsidR="00DC1E1A" w:rsidRDefault="002511AC" w:rsidP="003910BE">
      <w:pPr>
        <w:pStyle w:val="Heading1"/>
      </w:pPr>
      <w:bookmarkStart w:id="82" w:name="_Toc316143596"/>
      <w:bookmarkStart w:id="83" w:name="_Toc337655450"/>
      <w:r>
        <w:t>6.7</w:t>
      </w:r>
      <w:r w:rsidR="003910BE">
        <w:t xml:space="preserve"> </w:t>
      </w:r>
      <w:r w:rsidR="00DC1E1A" w:rsidRPr="00490C60">
        <w:t>Groei fulltime arbeidsplaatsen</w:t>
      </w:r>
      <w:bookmarkEnd w:id="82"/>
      <w:bookmarkEnd w:id="83"/>
    </w:p>
    <w:p w14:paraId="1EFB05E8" w14:textId="379C6B1F" w:rsidR="001414F3" w:rsidRDefault="001414F3" w:rsidP="001414F3">
      <w:r>
        <w:t>De werkgelegenheid van de bedrijven kan bepaald zijn door het aantal mensen dat bij het bedrijf startte. Om in te kunnen schatten of deze bedrijven echt groei door maken, en in de toekomst wellicht verder zullen groeien is ook gekeken naar de groei van het aantal arbeidsplaatsen bij de respondenten.</w:t>
      </w:r>
    </w:p>
    <w:p w14:paraId="1F1E5340" w14:textId="77777777" w:rsidR="001414F3" w:rsidRPr="001414F3" w:rsidRDefault="001414F3" w:rsidP="001414F3"/>
    <w:p w14:paraId="7A9423E4" w14:textId="77777777" w:rsidR="00DC1E1A" w:rsidRDefault="00DC1E1A" w:rsidP="00DC1E1A">
      <w:pPr>
        <w:rPr>
          <w:b/>
        </w:rPr>
      </w:pPr>
      <w:r>
        <w:rPr>
          <w:noProof/>
          <w:lang w:val="en-US" w:eastAsia="en-US"/>
        </w:rPr>
        <w:drawing>
          <wp:inline distT="0" distB="0" distL="0" distR="0" wp14:anchorId="2A894F96" wp14:editId="2A357E1E">
            <wp:extent cx="5270500" cy="3162300"/>
            <wp:effectExtent l="0" t="0" r="12700"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31ECD3" w14:textId="0848CDCE" w:rsidR="00DC1E1A" w:rsidRPr="005121DE" w:rsidRDefault="0044708D" w:rsidP="00DC1E1A">
      <w:pPr>
        <w:rPr>
          <w:color w:val="4F81BD" w:themeColor="accent1"/>
          <w:sz w:val="20"/>
        </w:rPr>
      </w:pPr>
      <w:r>
        <w:rPr>
          <w:b/>
          <w:color w:val="4F81BD" w:themeColor="accent1"/>
          <w:sz w:val="20"/>
        </w:rPr>
        <w:t>Afbeelding 6</w:t>
      </w:r>
      <w:r w:rsidR="002511AC">
        <w:rPr>
          <w:b/>
          <w:color w:val="4F81BD" w:themeColor="accent1"/>
          <w:sz w:val="20"/>
        </w:rPr>
        <w:t>.7</w:t>
      </w:r>
      <w:r w:rsidR="00DC1E1A" w:rsidRPr="005121DE">
        <w:rPr>
          <w:b/>
          <w:color w:val="4F81BD" w:themeColor="accent1"/>
          <w:sz w:val="20"/>
        </w:rPr>
        <w:t>:</w:t>
      </w:r>
      <w:r w:rsidR="00DC1E1A" w:rsidRPr="005121DE">
        <w:rPr>
          <w:color w:val="4F81BD" w:themeColor="accent1"/>
          <w:sz w:val="20"/>
        </w:rPr>
        <w:t xml:space="preserve"> Aantallen bedrijven per aantal extra werkplekken die zij geschapen hebben tussen 2003 en 2013, uitgesplitst naar spin-offs en overige start-ups.</w:t>
      </w:r>
    </w:p>
    <w:p w14:paraId="36570C08" w14:textId="77777777" w:rsidR="00DC1E1A" w:rsidRDefault="00DC1E1A" w:rsidP="00DC1E1A">
      <w:pPr>
        <w:rPr>
          <w:i/>
        </w:rPr>
      </w:pPr>
    </w:p>
    <w:p w14:paraId="44755D48" w14:textId="77777777" w:rsidR="00DC1E1A" w:rsidRPr="00D465B3" w:rsidRDefault="00DC1E1A" w:rsidP="002511AC">
      <w:pPr>
        <w:jc w:val="center"/>
        <w:rPr>
          <w:i/>
        </w:rPr>
      </w:pPr>
      <w:r>
        <w:rPr>
          <w:i/>
          <w:noProof/>
          <w:lang w:val="en-US" w:eastAsia="en-US"/>
        </w:rPr>
        <w:drawing>
          <wp:inline distT="0" distB="0" distL="0" distR="0" wp14:anchorId="67D4843A" wp14:editId="5EE18FB1">
            <wp:extent cx="1462428" cy="2321560"/>
            <wp:effectExtent l="0" t="0" r="1079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 groei.png"/>
                    <pic:cNvPicPr/>
                  </pic:nvPicPr>
                  <pic:blipFill>
                    <a:blip r:embed="rId33">
                      <a:extLst>
                        <a:ext uri="{28A0092B-C50C-407E-A947-70E740481C1C}">
                          <a14:useLocalDpi xmlns:a14="http://schemas.microsoft.com/office/drawing/2010/main" val="0"/>
                        </a:ext>
                      </a:extLst>
                    </a:blip>
                    <a:stretch>
                      <a:fillRect/>
                    </a:stretch>
                  </pic:blipFill>
                  <pic:spPr>
                    <a:xfrm>
                      <a:off x="0" y="0"/>
                      <a:ext cx="1463319" cy="2322975"/>
                    </a:xfrm>
                    <a:prstGeom prst="rect">
                      <a:avLst/>
                    </a:prstGeom>
                  </pic:spPr>
                </pic:pic>
              </a:graphicData>
            </a:graphic>
          </wp:inline>
        </w:drawing>
      </w:r>
    </w:p>
    <w:p w14:paraId="65886CD8" w14:textId="2742B4E8" w:rsidR="00DC1E1A" w:rsidRPr="005121DE" w:rsidRDefault="0044708D" w:rsidP="00DC1E1A">
      <w:pPr>
        <w:rPr>
          <w:color w:val="4F81BD" w:themeColor="accent1"/>
          <w:sz w:val="20"/>
        </w:rPr>
      </w:pPr>
      <w:r>
        <w:rPr>
          <w:b/>
          <w:color w:val="4F81BD" w:themeColor="accent1"/>
          <w:sz w:val="20"/>
        </w:rPr>
        <w:t>Afbeelding 6</w:t>
      </w:r>
      <w:r w:rsidR="002511AC">
        <w:rPr>
          <w:b/>
          <w:color w:val="4F81BD" w:themeColor="accent1"/>
          <w:sz w:val="20"/>
        </w:rPr>
        <w:t>.8</w:t>
      </w:r>
      <w:r w:rsidR="00DC1E1A" w:rsidRPr="005121DE">
        <w:rPr>
          <w:b/>
          <w:color w:val="4F81BD" w:themeColor="accent1"/>
          <w:sz w:val="20"/>
        </w:rPr>
        <w:t>:</w:t>
      </w:r>
      <w:r w:rsidR="00DC1E1A" w:rsidRPr="005121DE">
        <w:rPr>
          <w:color w:val="4F81BD" w:themeColor="accent1"/>
          <w:sz w:val="20"/>
        </w:rPr>
        <w:t xml:space="preserve"> Boxplot die spin-offs en start-ups zonder gebruik van eerdere ervaring vergelijkt op groei, aan de hand van het aantal werknemers.</w:t>
      </w:r>
    </w:p>
    <w:p w14:paraId="3DC48491" w14:textId="77777777" w:rsidR="00DC1E1A" w:rsidRDefault="00DC1E1A" w:rsidP="00DC1E1A"/>
    <w:p w14:paraId="371E904F" w14:textId="77777777" w:rsidR="00DC1E1A" w:rsidRDefault="00DC1E1A" w:rsidP="00DC1E1A">
      <w:r>
        <w:t>Afbeelding 3.6 kijkt naar de groei die de bedrijven hebben doorgemaakt. Zo wordt wordt bevestigd dat de meeste bedrijven die meedoen aan het onderzoek slechts met één fulltime arbeidsplaats gegroeid zijn. Maar vijf bedrijven hebben meer dan vijf extra banen geschapen in de afgelopen tien jaar. De boxplot in afbeelding 3.7 geeft aan dat voor zowel spin-offs als bedrijven die niet verder bouwen op eerdere ervaring een mediaan van twee kennen. Bij bedrijven die geen spin-off zijn, worden de drie bedrijven die met meer dan twee werknemers groeiden tot uitschieters gerekend. Voor spin-offs ligt het derde kwartiel op drie en strekt de whisker tot vijf. Wederom zijn het spin-offs waar meer snel groeiende bedrijven onder vallen, hoewel de groepen gemiddeld niet veel verschillen.</w:t>
      </w:r>
    </w:p>
    <w:p w14:paraId="62AE3524" w14:textId="71E91920" w:rsidR="00DC1E1A" w:rsidRDefault="00DC1E1A" w:rsidP="00C94930">
      <w:pPr>
        <w:ind w:firstLine="720"/>
      </w:pPr>
      <w:r>
        <w:t>Er is echter een toets nodig om te zien of dit ook voor de gehele populatie geldt</w:t>
      </w:r>
      <w:r w:rsidR="00A31DB3">
        <w:t xml:space="preserve"> (zie bijlage 3.10)</w:t>
      </w:r>
      <w:r>
        <w:t>. Op deze toets zijn dezelfde kenmerken van toepassing als bij de toets op het aantal werknemers, en dus wordt er een t-toets gebruikt. Ook hier blijkt uit Levene’s toets dat er gebruik kan worden gemaakt van de gewogen standaardfout. Het significantieniveau van de t-toets ligt op 0,625, en daarmee buiten het betrouwbaarheidsinterval van de toets. Met 95% zekerheid kan</w:t>
      </w:r>
      <w:r w:rsidR="009E67EE">
        <w:t xml:space="preserve"> dus</w:t>
      </w:r>
      <w:r>
        <w:t xml:space="preserve"> worden gezegd dat</w:t>
      </w:r>
      <w:r w:rsidR="00143C8D">
        <w:t xml:space="preserve"> de werkgelegenheidsgroei van</w:t>
      </w:r>
      <w:r>
        <w:t xml:space="preserve"> spin-offs</w:t>
      </w:r>
      <w:r w:rsidR="00143C8D">
        <w:t xml:space="preserve"> </w:t>
      </w:r>
      <w:r>
        <w:t xml:space="preserve">niet </w:t>
      </w:r>
      <w:r w:rsidR="00143C8D">
        <w:t>afwijkt</w:t>
      </w:r>
      <w:r>
        <w:t xml:space="preserve"> </w:t>
      </w:r>
      <w:r w:rsidR="00143C8D">
        <w:t xml:space="preserve">ten opzichte van </w:t>
      </w:r>
      <w:r>
        <w:t>van andere succesvolle start-ups in de regio’s Woerden en Veenendaal.</w:t>
      </w:r>
    </w:p>
    <w:p w14:paraId="50399B44" w14:textId="73779C2F" w:rsidR="00DC1E1A" w:rsidRDefault="002511AC" w:rsidP="00C94930">
      <w:pPr>
        <w:pStyle w:val="Heading1"/>
      </w:pPr>
      <w:bookmarkStart w:id="84" w:name="_Toc316143597"/>
      <w:bookmarkStart w:id="85" w:name="_Toc337655451"/>
      <w:r>
        <w:t>6.8</w:t>
      </w:r>
      <w:r w:rsidR="00C94930">
        <w:t xml:space="preserve"> </w:t>
      </w:r>
      <w:r w:rsidR="00DC1E1A" w:rsidRPr="00164506">
        <w:t>Sector</w:t>
      </w:r>
      <w:r w:rsidR="00DC1E1A">
        <w:t xml:space="preserve"> huidige onderneming</w:t>
      </w:r>
      <w:bookmarkEnd w:id="84"/>
      <w:bookmarkEnd w:id="85"/>
    </w:p>
    <w:p w14:paraId="4D065CD7" w14:textId="77777777" w:rsidR="00DC1E1A" w:rsidRPr="0096282A" w:rsidRDefault="00DC1E1A" w:rsidP="00DC1E1A">
      <w:pPr>
        <w:rPr>
          <w:u w:val="single"/>
        </w:rPr>
      </w:pPr>
      <w:r>
        <w:t xml:space="preserve">Voor een inzicht in de ontwikkeling van de regio is het interessant op te zien in welke sectoren nieuwe bedrijven zich vestigen. Tabel 6.3 laat zien in welke sectoren de respondenten hun bedrijven hebben opgericht, en maakt onderscheid tussen spin-offs en overige start-ups. Omdat de respondenten sterk verdeeld zijn over de sectoren, worden de sectoren niet individueel, maar op het niveau van de 20 sectiecodes besproken. Zelfs op deze manier zijn de 39 respondenten nog gespreid over 13 categorieën, zoals te zien is in tabel 6.4. </w:t>
      </w:r>
      <w:r w:rsidRPr="008A4FB6">
        <w:t>Er is geen contact geweest met bedrijven uit de volgende sectoren: Landbouw, bosbouw en visserij; Delfstoffen; NUTS-bedrijven; Water en afvalverwerking, Overheidsinstanties en het Onderwijs.</w:t>
      </w:r>
    </w:p>
    <w:p w14:paraId="0824757B" w14:textId="77777777" w:rsidR="00DC1E1A" w:rsidRDefault="00DC1E1A" w:rsidP="00DC1E1A">
      <w:r>
        <w:t xml:space="preserve"> </w:t>
      </w:r>
    </w:p>
    <w:tbl>
      <w:tblPr>
        <w:tblW w:w="8670" w:type="dxa"/>
        <w:tblInd w:w="93" w:type="dxa"/>
        <w:tblLook w:val="04A0" w:firstRow="1" w:lastRow="0" w:firstColumn="1" w:lastColumn="0" w:noHBand="0" w:noVBand="1"/>
      </w:tblPr>
      <w:tblGrid>
        <w:gridCol w:w="2799"/>
        <w:gridCol w:w="746"/>
        <w:gridCol w:w="883"/>
        <w:gridCol w:w="746"/>
        <w:gridCol w:w="846"/>
        <w:gridCol w:w="687"/>
        <w:gridCol w:w="846"/>
        <w:gridCol w:w="256"/>
        <w:gridCol w:w="1021"/>
      </w:tblGrid>
      <w:tr w:rsidR="00DC1E1A" w:rsidRPr="0065279F" w14:paraId="55CE36C5" w14:textId="77777777" w:rsidTr="003910BE">
        <w:trPr>
          <w:trHeight w:val="320"/>
        </w:trPr>
        <w:tc>
          <w:tcPr>
            <w:tcW w:w="2799" w:type="dxa"/>
            <w:tcBorders>
              <w:top w:val="nil"/>
              <w:left w:val="nil"/>
              <w:bottom w:val="single" w:sz="8" w:space="0" w:color="FFFFFF"/>
              <w:right w:val="nil"/>
            </w:tcBorders>
            <w:shd w:val="clear" w:color="000000" w:fill="365F91"/>
            <w:noWrap/>
            <w:hideMark/>
          </w:tcPr>
          <w:p w14:paraId="79BBAD32" w14:textId="77777777" w:rsidR="00DC1E1A" w:rsidRPr="0065279F" w:rsidRDefault="00DC1E1A" w:rsidP="003910BE">
            <w:pPr>
              <w:spacing w:after="0"/>
              <w:rPr>
                <w:rFonts w:ascii="Cambria" w:eastAsia="Times New Roman" w:hAnsi="Cambria" w:cs="Times New Roman"/>
                <w:color w:val="000000"/>
                <w:lang w:val="en-GB" w:eastAsia="en-US"/>
              </w:rPr>
            </w:pPr>
            <w:r w:rsidRPr="0065279F">
              <w:rPr>
                <w:rFonts w:ascii="Cambria" w:eastAsia="Times New Roman" w:hAnsi="Cambria" w:cs="Times New Roman"/>
                <w:color w:val="000000"/>
                <w:lang w:val="en-GB" w:eastAsia="en-US"/>
              </w:rPr>
              <w:t> </w:t>
            </w:r>
          </w:p>
        </w:tc>
        <w:tc>
          <w:tcPr>
            <w:tcW w:w="746" w:type="dxa"/>
            <w:tcBorders>
              <w:top w:val="nil"/>
              <w:left w:val="nil"/>
              <w:bottom w:val="single" w:sz="8" w:space="0" w:color="FFFFFF"/>
              <w:right w:val="nil"/>
            </w:tcBorders>
            <w:shd w:val="clear" w:color="000000" w:fill="365F91"/>
            <w:noWrap/>
            <w:vAlign w:val="center"/>
            <w:hideMark/>
          </w:tcPr>
          <w:p w14:paraId="2FF05C3D" w14:textId="77777777" w:rsidR="00DC1E1A" w:rsidRPr="0065279F" w:rsidRDefault="00DC1E1A" w:rsidP="003910BE">
            <w:pPr>
              <w:spacing w:after="0"/>
              <w:rPr>
                <w:rFonts w:ascii="Calibri" w:eastAsia="Times New Roman" w:hAnsi="Calibri" w:cs="Times New Roman"/>
                <w:b/>
                <w:bCs/>
                <w:color w:val="FFFFFF"/>
                <w:sz w:val="18"/>
                <w:szCs w:val="18"/>
                <w:lang w:val="en-GB" w:eastAsia="en-US"/>
              </w:rPr>
            </w:pPr>
            <w:r w:rsidRPr="0065279F">
              <w:rPr>
                <w:rFonts w:ascii="Calibri" w:eastAsia="Times New Roman" w:hAnsi="Calibri" w:cs="Times New Roman"/>
                <w:b/>
                <w:bCs/>
                <w:color w:val="FFFFFF"/>
                <w:sz w:val="18"/>
                <w:szCs w:val="18"/>
                <w:lang w:val="en-GB" w:eastAsia="en-US"/>
              </w:rPr>
              <w:t>Spin-off</w:t>
            </w:r>
          </w:p>
        </w:tc>
        <w:tc>
          <w:tcPr>
            <w:tcW w:w="883" w:type="dxa"/>
            <w:tcBorders>
              <w:top w:val="nil"/>
              <w:left w:val="nil"/>
              <w:bottom w:val="single" w:sz="8" w:space="0" w:color="FFFFFF"/>
              <w:right w:val="nil"/>
            </w:tcBorders>
            <w:shd w:val="clear" w:color="000000" w:fill="365F91"/>
            <w:noWrap/>
            <w:hideMark/>
          </w:tcPr>
          <w:p w14:paraId="330F5A6A" w14:textId="77777777" w:rsidR="00DC1E1A" w:rsidRPr="0065279F" w:rsidRDefault="00DC1E1A" w:rsidP="003910BE">
            <w:pPr>
              <w:spacing w:after="0"/>
              <w:rPr>
                <w:rFonts w:ascii="Cambria" w:eastAsia="Times New Roman" w:hAnsi="Cambria" w:cs="Times New Roman"/>
                <w:color w:val="000000"/>
                <w:lang w:val="en-GB" w:eastAsia="en-US"/>
              </w:rPr>
            </w:pPr>
            <w:r w:rsidRPr="0065279F">
              <w:rPr>
                <w:rFonts w:ascii="Cambria" w:eastAsia="Times New Roman" w:hAnsi="Cambria" w:cs="Times New Roman"/>
                <w:color w:val="000000"/>
                <w:lang w:val="en-GB" w:eastAsia="en-US"/>
              </w:rPr>
              <w:t> </w:t>
            </w:r>
          </w:p>
        </w:tc>
        <w:tc>
          <w:tcPr>
            <w:tcW w:w="746" w:type="dxa"/>
            <w:tcBorders>
              <w:top w:val="nil"/>
              <w:left w:val="nil"/>
              <w:bottom w:val="single" w:sz="8" w:space="0" w:color="FFFFFF"/>
              <w:right w:val="nil"/>
            </w:tcBorders>
            <w:shd w:val="clear" w:color="000000" w:fill="365F91"/>
            <w:noWrap/>
            <w:vAlign w:val="center"/>
            <w:hideMark/>
          </w:tcPr>
          <w:p w14:paraId="6F0C6E92" w14:textId="77777777" w:rsidR="00DC1E1A" w:rsidRPr="0065279F" w:rsidRDefault="00DC1E1A" w:rsidP="003910BE">
            <w:pPr>
              <w:spacing w:after="0"/>
              <w:rPr>
                <w:rFonts w:ascii="Calibri" w:eastAsia="Times New Roman" w:hAnsi="Calibri" w:cs="Times New Roman"/>
                <w:b/>
                <w:bCs/>
                <w:color w:val="FFFFFF"/>
                <w:sz w:val="18"/>
                <w:szCs w:val="18"/>
                <w:lang w:val="en-GB" w:eastAsia="en-US"/>
              </w:rPr>
            </w:pPr>
            <w:r w:rsidRPr="0065279F">
              <w:rPr>
                <w:rFonts w:ascii="Calibri" w:eastAsia="Times New Roman" w:hAnsi="Calibri" w:cs="Times New Roman"/>
                <w:b/>
                <w:bCs/>
                <w:color w:val="FFFFFF"/>
                <w:sz w:val="18"/>
                <w:szCs w:val="18"/>
                <w:lang w:val="en-GB" w:eastAsia="en-US"/>
              </w:rPr>
              <w:t>Start-up</w:t>
            </w:r>
          </w:p>
        </w:tc>
        <w:tc>
          <w:tcPr>
            <w:tcW w:w="766" w:type="dxa"/>
            <w:tcBorders>
              <w:top w:val="nil"/>
              <w:left w:val="nil"/>
              <w:bottom w:val="single" w:sz="8" w:space="0" w:color="FFFFFF"/>
              <w:right w:val="nil"/>
            </w:tcBorders>
            <w:shd w:val="clear" w:color="000000" w:fill="365F91"/>
            <w:noWrap/>
            <w:hideMark/>
          </w:tcPr>
          <w:p w14:paraId="4AFABD9E" w14:textId="77777777" w:rsidR="00DC1E1A" w:rsidRPr="0065279F" w:rsidRDefault="00DC1E1A" w:rsidP="003910BE">
            <w:pPr>
              <w:spacing w:after="0"/>
              <w:rPr>
                <w:rFonts w:ascii="Cambria" w:eastAsia="Times New Roman" w:hAnsi="Cambria" w:cs="Times New Roman"/>
                <w:color w:val="000000"/>
                <w:lang w:val="en-GB" w:eastAsia="en-US"/>
              </w:rPr>
            </w:pPr>
            <w:r w:rsidRPr="0065279F">
              <w:rPr>
                <w:rFonts w:ascii="Cambria" w:eastAsia="Times New Roman" w:hAnsi="Cambria" w:cs="Times New Roman"/>
                <w:color w:val="000000"/>
                <w:lang w:val="en-GB" w:eastAsia="en-US"/>
              </w:rPr>
              <w:t> </w:t>
            </w:r>
          </w:p>
        </w:tc>
        <w:tc>
          <w:tcPr>
            <w:tcW w:w="648" w:type="dxa"/>
            <w:tcBorders>
              <w:top w:val="nil"/>
              <w:left w:val="nil"/>
              <w:bottom w:val="single" w:sz="8" w:space="0" w:color="FFFFFF"/>
              <w:right w:val="nil"/>
            </w:tcBorders>
            <w:shd w:val="clear" w:color="000000" w:fill="365F91"/>
            <w:noWrap/>
            <w:vAlign w:val="center"/>
            <w:hideMark/>
          </w:tcPr>
          <w:p w14:paraId="10492381" w14:textId="77777777" w:rsidR="00DC1E1A" w:rsidRPr="0065279F" w:rsidRDefault="00DC1E1A" w:rsidP="003910BE">
            <w:pPr>
              <w:spacing w:after="0"/>
              <w:rPr>
                <w:rFonts w:ascii="Calibri" w:eastAsia="Times New Roman" w:hAnsi="Calibri" w:cs="Times New Roman"/>
                <w:b/>
                <w:bCs/>
                <w:color w:val="FFFFFF"/>
                <w:sz w:val="18"/>
                <w:szCs w:val="18"/>
                <w:lang w:val="en-GB" w:eastAsia="en-US"/>
              </w:rPr>
            </w:pPr>
            <w:r w:rsidRPr="0065279F">
              <w:rPr>
                <w:rFonts w:ascii="Calibri" w:eastAsia="Times New Roman" w:hAnsi="Calibri" w:cs="Times New Roman"/>
                <w:b/>
                <w:bCs/>
                <w:color w:val="FFFFFF"/>
                <w:sz w:val="18"/>
                <w:szCs w:val="18"/>
                <w:lang w:val="en-GB" w:eastAsia="en-US"/>
              </w:rPr>
              <w:t>Totaal</w:t>
            </w:r>
          </w:p>
        </w:tc>
        <w:tc>
          <w:tcPr>
            <w:tcW w:w="805" w:type="dxa"/>
            <w:tcBorders>
              <w:top w:val="nil"/>
              <w:left w:val="nil"/>
              <w:bottom w:val="single" w:sz="8" w:space="0" w:color="FFFFFF"/>
              <w:right w:val="nil"/>
            </w:tcBorders>
            <w:shd w:val="clear" w:color="000000" w:fill="365F91"/>
            <w:noWrap/>
            <w:hideMark/>
          </w:tcPr>
          <w:p w14:paraId="60E3BBD1" w14:textId="77777777" w:rsidR="00DC1E1A" w:rsidRPr="0065279F" w:rsidRDefault="00DC1E1A" w:rsidP="003910BE">
            <w:pPr>
              <w:spacing w:after="0"/>
              <w:rPr>
                <w:rFonts w:ascii="Cambria" w:eastAsia="Times New Roman" w:hAnsi="Cambria" w:cs="Times New Roman"/>
                <w:color w:val="000000"/>
                <w:lang w:val="en-GB" w:eastAsia="en-US"/>
              </w:rPr>
            </w:pPr>
            <w:r w:rsidRPr="0065279F">
              <w:rPr>
                <w:rFonts w:ascii="Cambria" w:eastAsia="Times New Roman" w:hAnsi="Cambria" w:cs="Times New Roman"/>
                <w:color w:val="000000"/>
                <w:lang w:val="en-GB" w:eastAsia="en-US"/>
              </w:rPr>
              <w:t> </w:t>
            </w:r>
          </w:p>
        </w:tc>
        <w:tc>
          <w:tcPr>
            <w:tcW w:w="256" w:type="dxa"/>
            <w:tcBorders>
              <w:top w:val="nil"/>
              <w:left w:val="nil"/>
              <w:bottom w:val="nil"/>
              <w:right w:val="nil"/>
            </w:tcBorders>
            <w:shd w:val="clear" w:color="auto" w:fill="auto"/>
            <w:noWrap/>
            <w:vAlign w:val="bottom"/>
            <w:hideMark/>
          </w:tcPr>
          <w:p w14:paraId="1BA9245C"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365F91"/>
            <w:noWrap/>
            <w:hideMark/>
          </w:tcPr>
          <w:p w14:paraId="42E49252" w14:textId="77777777" w:rsidR="00DC1E1A" w:rsidRPr="0065279F" w:rsidRDefault="00DC1E1A" w:rsidP="003910BE">
            <w:pPr>
              <w:spacing w:after="0"/>
              <w:rPr>
                <w:rFonts w:ascii="Calibri" w:eastAsia="Times New Roman" w:hAnsi="Calibri" w:cs="Times New Roman"/>
                <w:b/>
                <w:bCs/>
                <w:color w:val="FFFFFF"/>
                <w:sz w:val="18"/>
                <w:szCs w:val="18"/>
                <w:lang w:val="en-GB" w:eastAsia="en-US"/>
              </w:rPr>
            </w:pPr>
            <w:r w:rsidRPr="0065279F">
              <w:rPr>
                <w:rFonts w:ascii="Calibri" w:eastAsia="Times New Roman" w:hAnsi="Calibri" w:cs="Times New Roman"/>
                <w:b/>
                <w:bCs/>
                <w:color w:val="FFFFFF"/>
                <w:sz w:val="18"/>
                <w:szCs w:val="18"/>
                <w:lang w:val="en-GB" w:eastAsia="en-US"/>
              </w:rPr>
              <w:t>Totaal regio</w:t>
            </w:r>
          </w:p>
        </w:tc>
      </w:tr>
      <w:tr w:rsidR="00DC1E1A" w:rsidRPr="0065279F" w14:paraId="20943FA0" w14:textId="77777777" w:rsidTr="003910BE">
        <w:trPr>
          <w:trHeight w:val="320"/>
        </w:trPr>
        <w:tc>
          <w:tcPr>
            <w:tcW w:w="2799" w:type="dxa"/>
            <w:tcBorders>
              <w:top w:val="nil"/>
              <w:left w:val="nil"/>
              <w:bottom w:val="single" w:sz="8" w:space="0" w:color="FFFFFF"/>
              <w:right w:val="nil"/>
            </w:tcBorders>
            <w:shd w:val="clear" w:color="000000" w:fill="365F91"/>
            <w:noWrap/>
            <w:hideMark/>
          </w:tcPr>
          <w:p w14:paraId="6317FB61" w14:textId="77777777" w:rsidR="00DC1E1A" w:rsidRPr="0065279F" w:rsidRDefault="00DC1E1A" w:rsidP="003910BE">
            <w:pPr>
              <w:spacing w:after="0"/>
              <w:rPr>
                <w:rFonts w:ascii="Cambria" w:eastAsia="Times New Roman" w:hAnsi="Cambria" w:cs="Times New Roman"/>
                <w:color w:val="000000"/>
                <w:lang w:val="en-GB" w:eastAsia="en-US"/>
              </w:rPr>
            </w:pPr>
            <w:r w:rsidRPr="0065279F">
              <w:rPr>
                <w:rFonts w:ascii="Cambria" w:eastAsia="Times New Roman" w:hAnsi="Cambria" w:cs="Times New Roman"/>
                <w:color w:val="000000"/>
                <w:lang w:val="en-GB" w:eastAsia="en-US"/>
              </w:rPr>
              <w:t> </w:t>
            </w:r>
          </w:p>
        </w:tc>
        <w:tc>
          <w:tcPr>
            <w:tcW w:w="746" w:type="dxa"/>
            <w:tcBorders>
              <w:top w:val="nil"/>
              <w:left w:val="nil"/>
              <w:bottom w:val="single" w:sz="8" w:space="0" w:color="FFFFFF"/>
              <w:right w:val="nil"/>
            </w:tcBorders>
            <w:shd w:val="clear" w:color="000000" w:fill="365F91"/>
            <w:noWrap/>
            <w:vAlign w:val="center"/>
            <w:hideMark/>
          </w:tcPr>
          <w:p w14:paraId="2A13B3F2" w14:textId="77777777" w:rsidR="00DC1E1A" w:rsidRPr="0065279F" w:rsidRDefault="00DC1E1A" w:rsidP="003910BE">
            <w:pPr>
              <w:spacing w:after="0"/>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abs</w:t>
            </w:r>
          </w:p>
        </w:tc>
        <w:tc>
          <w:tcPr>
            <w:tcW w:w="883" w:type="dxa"/>
            <w:tcBorders>
              <w:top w:val="nil"/>
              <w:left w:val="nil"/>
              <w:bottom w:val="single" w:sz="8" w:space="0" w:color="FFFFFF"/>
              <w:right w:val="nil"/>
            </w:tcBorders>
            <w:shd w:val="clear" w:color="000000" w:fill="365F91"/>
            <w:noWrap/>
            <w:vAlign w:val="center"/>
            <w:hideMark/>
          </w:tcPr>
          <w:p w14:paraId="50EB207B" w14:textId="77777777" w:rsidR="00DC1E1A" w:rsidRPr="0065279F" w:rsidRDefault="00DC1E1A" w:rsidP="003910BE">
            <w:pPr>
              <w:spacing w:after="0"/>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w:t>
            </w:r>
          </w:p>
        </w:tc>
        <w:tc>
          <w:tcPr>
            <w:tcW w:w="746" w:type="dxa"/>
            <w:tcBorders>
              <w:top w:val="nil"/>
              <w:left w:val="nil"/>
              <w:bottom w:val="single" w:sz="8" w:space="0" w:color="FFFFFF"/>
              <w:right w:val="nil"/>
            </w:tcBorders>
            <w:shd w:val="clear" w:color="000000" w:fill="365F91"/>
            <w:noWrap/>
            <w:vAlign w:val="center"/>
            <w:hideMark/>
          </w:tcPr>
          <w:p w14:paraId="6749F928" w14:textId="77777777" w:rsidR="00DC1E1A" w:rsidRPr="0065279F" w:rsidRDefault="00DC1E1A" w:rsidP="003910BE">
            <w:pPr>
              <w:spacing w:after="0"/>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abs</w:t>
            </w:r>
          </w:p>
        </w:tc>
        <w:tc>
          <w:tcPr>
            <w:tcW w:w="766" w:type="dxa"/>
            <w:tcBorders>
              <w:top w:val="nil"/>
              <w:left w:val="nil"/>
              <w:bottom w:val="single" w:sz="8" w:space="0" w:color="FFFFFF"/>
              <w:right w:val="nil"/>
            </w:tcBorders>
            <w:shd w:val="clear" w:color="000000" w:fill="365F91"/>
            <w:noWrap/>
            <w:vAlign w:val="center"/>
            <w:hideMark/>
          </w:tcPr>
          <w:p w14:paraId="1BE851A5" w14:textId="77777777" w:rsidR="00DC1E1A" w:rsidRPr="0065279F" w:rsidRDefault="00DC1E1A" w:rsidP="003910BE">
            <w:pPr>
              <w:spacing w:after="0"/>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w:t>
            </w:r>
          </w:p>
        </w:tc>
        <w:tc>
          <w:tcPr>
            <w:tcW w:w="648" w:type="dxa"/>
            <w:tcBorders>
              <w:top w:val="nil"/>
              <w:left w:val="nil"/>
              <w:bottom w:val="single" w:sz="8" w:space="0" w:color="FFFFFF"/>
              <w:right w:val="nil"/>
            </w:tcBorders>
            <w:shd w:val="clear" w:color="000000" w:fill="365F91"/>
            <w:noWrap/>
            <w:vAlign w:val="center"/>
            <w:hideMark/>
          </w:tcPr>
          <w:p w14:paraId="3A90DFD0" w14:textId="77777777" w:rsidR="00DC1E1A" w:rsidRPr="0065279F" w:rsidRDefault="00DC1E1A" w:rsidP="003910BE">
            <w:pPr>
              <w:spacing w:after="0"/>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abs</w:t>
            </w:r>
          </w:p>
        </w:tc>
        <w:tc>
          <w:tcPr>
            <w:tcW w:w="805" w:type="dxa"/>
            <w:tcBorders>
              <w:top w:val="nil"/>
              <w:left w:val="nil"/>
              <w:bottom w:val="single" w:sz="8" w:space="0" w:color="FFFFFF"/>
              <w:right w:val="nil"/>
            </w:tcBorders>
            <w:shd w:val="clear" w:color="000000" w:fill="365F91"/>
            <w:noWrap/>
            <w:vAlign w:val="center"/>
            <w:hideMark/>
          </w:tcPr>
          <w:p w14:paraId="62E7033B" w14:textId="77777777" w:rsidR="00DC1E1A" w:rsidRPr="0065279F" w:rsidRDefault="00DC1E1A" w:rsidP="003910BE">
            <w:pPr>
              <w:spacing w:after="0"/>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w:t>
            </w:r>
          </w:p>
        </w:tc>
        <w:tc>
          <w:tcPr>
            <w:tcW w:w="256" w:type="dxa"/>
            <w:tcBorders>
              <w:top w:val="nil"/>
              <w:left w:val="nil"/>
              <w:bottom w:val="nil"/>
              <w:right w:val="nil"/>
            </w:tcBorders>
            <w:shd w:val="clear" w:color="auto" w:fill="auto"/>
            <w:noWrap/>
            <w:vAlign w:val="bottom"/>
            <w:hideMark/>
          </w:tcPr>
          <w:p w14:paraId="5373D203"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365F91"/>
            <w:noWrap/>
            <w:vAlign w:val="center"/>
            <w:hideMark/>
          </w:tcPr>
          <w:p w14:paraId="1D4CA64B" w14:textId="77777777" w:rsidR="00DC1E1A" w:rsidRPr="0065279F" w:rsidRDefault="00DC1E1A" w:rsidP="003910BE">
            <w:pPr>
              <w:spacing w:after="0"/>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w:t>
            </w:r>
          </w:p>
        </w:tc>
      </w:tr>
      <w:tr w:rsidR="00DC1E1A" w:rsidRPr="0065279F" w14:paraId="0A5F38DF"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72598F53"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Industrie</w:t>
            </w:r>
          </w:p>
        </w:tc>
        <w:tc>
          <w:tcPr>
            <w:tcW w:w="746" w:type="dxa"/>
            <w:tcBorders>
              <w:top w:val="nil"/>
              <w:left w:val="nil"/>
              <w:bottom w:val="single" w:sz="8" w:space="0" w:color="FFFFFF"/>
              <w:right w:val="nil"/>
            </w:tcBorders>
            <w:shd w:val="clear" w:color="000000" w:fill="DBE5F1"/>
            <w:noWrap/>
            <w:vAlign w:val="center"/>
            <w:hideMark/>
          </w:tcPr>
          <w:p w14:paraId="70DC57D0"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83" w:type="dxa"/>
            <w:tcBorders>
              <w:top w:val="nil"/>
              <w:left w:val="nil"/>
              <w:bottom w:val="single" w:sz="8" w:space="0" w:color="FFFFFF"/>
              <w:right w:val="nil"/>
            </w:tcBorders>
            <w:shd w:val="clear" w:color="000000" w:fill="DBE5F1"/>
            <w:noWrap/>
            <w:vAlign w:val="center"/>
            <w:hideMark/>
          </w:tcPr>
          <w:p w14:paraId="5021BFB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4,00%</w:t>
            </w:r>
          </w:p>
        </w:tc>
        <w:tc>
          <w:tcPr>
            <w:tcW w:w="746" w:type="dxa"/>
            <w:tcBorders>
              <w:top w:val="nil"/>
              <w:left w:val="nil"/>
              <w:bottom w:val="single" w:sz="8" w:space="0" w:color="FFFFFF"/>
              <w:right w:val="nil"/>
            </w:tcBorders>
            <w:shd w:val="clear" w:color="000000" w:fill="DBE5F1"/>
            <w:noWrap/>
            <w:vAlign w:val="center"/>
            <w:hideMark/>
          </w:tcPr>
          <w:p w14:paraId="39C4EB1B"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766" w:type="dxa"/>
            <w:tcBorders>
              <w:top w:val="nil"/>
              <w:left w:val="nil"/>
              <w:bottom w:val="single" w:sz="8" w:space="0" w:color="FFFFFF"/>
              <w:right w:val="nil"/>
            </w:tcBorders>
            <w:shd w:val="clear" w:color="000000" w:fill="DBE5F1"/>
            <w:noWrap/>
            <w:vAlign w:val="center"/>
            <w:hideMark/>
          </w:tcPr>
          <w:p w14:paraId="527C4EE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7,10%</w:t>
            </w:r>
          </w:p>
        </w:tc>
        <w:tc>
          <w:tcPr>
            <w:tcW w:w="648" w:type="dxa"/>
            <w:tcBorders>
              <w:top w:val="nil"/>
              <w:left w:val="nil"/>
              <w:bottom w:val="single" w:sz="8" w:space="0" w:color="FFFFFF"/>
              <w:right w:val="nil"/>
            </w:tcBorders>
            <w:shd w:val="clear" w:color="000000" w:fill="DBE5F1"/>
            <w:noWrap/>
            <w:vAlign w:val="center"/>
            <w:hideMark/>
          </w:tcPr>
          <w:p w14:paraId="05EC3443"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805" w:type="dxa"/>
            <w:tcBorders>
              <w:top w:val="nil"/>
              <w:left w:val="nil"/>
              <w:bottom w:val="single" w:sz="8" w:space="0" w:color="FFFFFF"/>
              <w:right w:val="nil"/>
            </w:tcBorders>
            <w:shd w:val="clear" w:color="000000" w:fill="DBE5F1"/>
            <w:noWrap/>
            <w:vAlign w:val="center"/>
            <w:hideMark/>
          </w:tcPr>
          <w:p w14:paraId="519DAC3B"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5,10%</w:t>
            </w:r>
          </w:p>
        </w:tc>
        <w:tc>
          <w:tcPr>
            <w:tcW w:w="256" w:type="dxa"/>
            <w:tcBorders>
              <w:top w:val="nil"/>
              <w:left w:val="nil"/>
              <w:bottom w:val="nil"/>
              <w:right w:val="nil"/>
            </w:tcBorders>
            <w:shd w:val="clear" w:color="auto" w:fill="auto"/>
            <w:noWrap/>
            <w:vAlign w:val="bottom"/>
            <w:hideMark/>
          </w:tcPr>
          <w:p w14:paraId="28E52EA0"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DBE5F1"/>
            <w:noWrap/>
            <w:vAlign w:val="center"/>
            <w:hideMark/>
          </w:tcPr>
          <w:p w14:paraId="7B3A65C5"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4,61%</w:t>
            </w:r>
          </w:p>
        </w:tc>
      </w:tr>
      <w:tr w:rsidR="00DC1E1A" w:rsidRPr="0065279F" w14:paraId="2942BEA0"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021571B2"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Bouwnijverheid</w:t>
            </w:r>
          </w:p>
        </w:tc>
        <w:tc>
          <w:tcPr>
            <w:tcW w:w="746" w:type="dxa"/>
            <w:tcBorders>
              <w:top w:val="nil"/>
              <w:left w:val="nil"/>
              <w:bottom w:val="single" w:sz="8" w:space="0" w:color="FFFFFF"/>
              <w:right w:val="nil"/>
            </w:tcBorders>
            <w:shd w:val="clear" w:color="000000" w:fill="A7BFDE"/>
            <w:noWrap/>
            <w:vAlign w:val="center"/>
            <w:hideMark/>
          </w:tcPr>
          <w:p w14:paraId="0BB7735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883" w:type="dxa"/>
            <w:tcBorders>
              <w:top w:val="nil"/>
              <w:left w:val="nil"/>
              <w:bottom w:val="single" w:sz="8" w:space="0" w:color="FFFFFF"/>
              <w:right w:val="nil"/>
            </w:tcBorders>
            <w:shd w:val="clear" w:color="000000" w:fill="A7BFDE"/>
            <w:noWrap/>
            <w:vAlign w:val="center"/>
            <w:hideMark/>
          </w:tcPr>
          <w:p w14:paraId="17D16505"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8,00%</w:t>
            </w:r>
          </w:p>
        </w:tc>
        <w:tc>
          <w:tcPr>
            <w:tcW w:w="746" w:type="dxa"/>
            <w:tcBorders>
              <w:top w:val="nil"/>
              <w:left w:val="nil"/>
              <w:bottom w:val="single" w:sz="8" w:space="0" w:color="FFFFFF"/>
              <w:right w:val="nil"/>
            </w:tcBorders>
            <w:shd w:val="clear" w:color="000000" w:fill="A7BFDE"/>
            <w:noWrap/>
            <w:vAlign w:val="center"/>
            <w:hideMark/>
          </w:tcPr>
          <w:p w14:paraId="571D3E0F"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766" w:type="dxa"/>
            <w:tcBorders>
              <w:top w:val="nil"/>
              <w:left w:val="nil"/>
              <w:bottom w:val="single" w:sz="8" w:space="0" w:color="FFFFFF"/>
              <w:right w:val="nil"/>
            </w:tcBorders>
            <w:shd w:val="clear" w:color="000000" w:fill="A7BFDE"/>
            <w:noWrap/>
            <w:vAlign w:val="center"/>
            <w:hideMark/>
          </w:tcPr>
          <w:p w14:paraId="17E29A75"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14,30%</w:t>
            </w:r>
          </w:p>
        </w:tc>
        <w:tc>
          <w:tcPr>
            <w:tcW w:w="648" w:type="dxa"/>
            <w:tcBorders>
              <w:top w:val="nil"/>
              <w:left w:val="nil"/>
              <w:bottom w:val="single" w:sz="8" w:space="0" w:color="FFFFFF"/>
              <w:right w:val="nil"/>
            </w:tcBorders>
            <w:shd w:val="clear" w:color="000000" w:fill="A7BFDE"/>
            <w:noWrap/>
            <w:vAlign w:val="center"/>
            <w:hideMark/>
          </w:tcPr>
          <w:p w14:paraId="6B4C43EE"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w:t>
            </w:r>
          </w:p>
        </w:tc>
        <w:tc>
          <w:tcPr>
            <w:tcW w:w="805" w:type="dxa"/>
            <w:tcBorders>
              <w:top w:val="nil"/>
              <w:left w:val="nil"/>
              <w:bottom w:val="single" w:sz="8" w:space="0" w:color="FFFFFF"/>
              <w:right w:val="nil"/>
            </w:tcBorders>
            <w:shd w:val="clear" w:color="000000" w:fill="A7BFDE"/>
            <w:noWrap/>
            <w:vAlign w:val="center"/>
            <w:hideMark/>
          </w:tcPr>
          <w:p w14:paraId="67D701F6"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10,30%</w:t>
            </w:r>
          </w:p>
        </w:tc>
        <w:tc>
          <w:tcPr>
            <w:tcW w:w="256" w:type="dxa"/>
            <w:tcBorders>
              <w:top w:val="nil"/>
              <w:left w:val="nil"/>
              <w:bottom w:val="nil"/>
              <w:right w:val="nil"/>
            </w:tcBorders>
            <w:shd w:val="clear" w:color="auto" w:fill="auto"/>
            <w:noWrap/>
            <w:vAlign w:val="bottom"/>
            <w:hideMark/>
          </w:tcPr>
          <w:p w14:paraId="3E7327FD"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A7BFDE"/>
            <w:noWrap/>
            <w:vAlign w:val="center"/>
            <w:hideMark/>
          </w:tcPr>
          <w:p w14:paraId="62D1E4C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11,87%</w:t>
            </w:r>
          </w:p>
        </w:tc>
      </w:tr>
      <w:tr w:rsidR="00DC1E1A" w:rsidRPr="0065279F" w14:paraId="1956151C"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0097BE2B"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Handel</w:t>
            </w:r>
          </w:p>
        </w:tc>
        <w:tc>
          <w:tcPr>
            <w:tcW w:w="746" w:type="dxa"/>
            <w:tcBorders>
              <w:top w:val="nil"/>
              <w:left w:val="nil"/>
              <w:bottom w:val="single" w:sz="8" w:space="0" w:color="FFFFFF"/>
              <w:right w:val="nil"/>
            </w:tcBorders>
            <w:shd w:val="clear" w:color="000000" w:fill="DBE5F1"/>
            <w:noWrap/>
            <w:vAlign w:val="center"/>
            <w:hideMark/>
          </w:tcPr>
          <w:p w14:paraId="58673A62"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8</w:t>
            </w:r>
          </w:p>
        </w:tc>
        <w:tc>
          <w:tcPr>
            <w:tcW w:w="883" w:type="dxa"/>
            <w:tcBorders>
              <w:top w:val="nil"/>
              <w:left w:val="nil"/>
              <w:bottom w:val="single" w:sz="8" w:space="0" w:color="FFFFFF"/>
              <w:right w:val="nil"/>
            </w:tcBorders>
            <w:shd w:val="clear" w:color="000000" w:fill="DBE5F1"/>
            <w:noWrap/>
            <w:vAlign w:val="center"/>
            <w:hideMark/>
          </w:tcPr>
          <w:p w14:paraId="0B379560"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32,00%</w:t>
            </w:r>
          </w:p>
        </w:tc>
        <w:tc>
          <w:tcPr>
            <w:tcW w:w="746" w:type="dxa"/>
            <w:tcBorders>
              <w:top w:val="nil"/>
              <w:left w:val="nil"/>
              <w:bottom w:val="single" w:sz="8" w:space="0" w:color="FFFFFF"/>
              <w:right w:val="nil"/>
            </w:tcBorders>
            <w:shd w:val="clear" w:color="000000" w:fill="DBE5F1"/>
            <w:noWrap/>
            <w:vAlign w:val="center"/>
            <w:hideMark/>
          </w:tcPr>
          <w:p w14:paraId="6E6A45A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3</w:t>
            </w:r>
          </w:p>
        </w:tc>
        <w:tc>
          <w:tcPr>
            <w:tcW w:w="766" w:type="dxa"/>
            <w:tcBorders>
              <w:top w:val="nil"/>
              <w:left w:val="nil"/>
              <w:bottom w:val="single" w:sz="8" w:space="0" w:color="FFFFFF"/>
              <w:right w:val="nil"/>
            </w:tcBorders>
            <w:shd w:val="clear" w:color="000000" w:fill="DBE5F1"/>
            <w:noWrap/>
            <w:vAlign w:val="center"/>
            <w:hideMark/>
          </w:tcPr>
          <w:p w14:paraId="7DFF50AA"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21,40%</w:t>
            </w:r>
          </w:p>
        </w:tc>
        <w:tc>
          <w:tcPr>
            <w:tcW w:w="648" w:type="dxa"/>
            <w:tcBorders>
              <w:top w:val="nil"/>
              <w:left w:val="nil"/>
              <w:bottom w:val="single" w:sz="8" w:space="0" w:color="FFFFFF"/>
              <w:right w:val="nil"/>
            </w:tcBorders>
            <w:shd w:val="clear" w:color="000000" w:fill="DBE5F1"/>
            <w:noWrap/>
            <w:vAlign w:val="center"/>
            <w:hideMark/>
          </w:tcPr>
          <w:p w14:paraId="46C675BB"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11</w:t>
            </w:r>
          </w:p>
        </w:tc>
        <w:tc>
          <w:tcPr>
            <w:tcW w:w="805" w:type="dxa"/>
            <w:tcBorders>
              <w:top w:val="nil"/>
              <w:left w:val="nil"/>
              <w:bottom w:val="single" w:sz="8" w:space="0" w:color="FFFFFF"/>
              <w:right w:val="nil"/>
            </w:tcBorders>
            <w:shd w:val="clear" w:color="000000" w:fill="DBE5F1"/>
            <w:noWrap/>
            <w:vAlign w:val="center"/>
            <w:hideMark/>
          </w:tcPr>
          <w:p w14:paraId="469F570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28,20%</w:t>
            </w:r>
          </w:p>
        </w:tc>
        <w:tc>
          <w:tcPr>
            <w:tcW w:w="256" w:type="dxa"/>
            <w:tcBorders>
              <w:top w:val="nil"/>
              <w:left w:val="nil"/>
              <w:bottom w:val="nil"/>
              <w:right w:val="nil"/>
            </w:tcBorders>
            <w:shd w:val="clear" w:color="auto" w:fill="auto"/>
            <w:noWrap/>
            <w:vAlign w:val="bottom"/>
            <w:hideMark/>
          </w:tcPr>
          <w:p w14:paraId="69DAAE69"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DBE5F1"/>
            <w:noWrap/>
            <w:vAlign w:val="center"/>
            <w:hideMark/>
          </w:tcPr>
          <w:p w14:paraId="0561F08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18,54%</w:t>
            </w:r>
          </w:p>
        </w:tc>
      </w:tr>
      <w:tr w:rsidR="00DC1E1A" w:rsidRPr="0065279F" w14:paraId="2F96459A"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16749C61"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Vervoer en opslag</w:t>
            </w:r>
          </w:p>
        </w:tc>
        <w:tc>
          <w:tcPr>
            <w:tcW w:w="746" w:type="dxa"/>
            <w:tcBorders>
              <w:top w:val="nil"/>
              <w:left w:val="nil"/>
              <w:bottom w:val="single" w:sz="8" w:space="0" w:color="FFFFFF"/>
              <w:right w:val="nil"/>
            </w:tcBorders>
            <w:shd w:val="clear" w:color="000000" w:fill="A7BFDE"/>
            <w:noWrap/>
            <w:vAlign w:val="center"/>
            <w:hideMark/>
          </w:tcPr>
          <w:p w14:paraId="129FFA7A"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83" w:type="dxa"/>
            <w:tcBorders>
              <w:top w:val="nil"/>
              <w:left w:val="nil"/>
              <w:bottom w:val="single" w:sz="8" w:space="0" w:color="FFFFFF"/>
              <w:right w:val="nil"/>
            </w:tcBorders>
            <w:shd w:val="clear" w:color="000000" w:fill="A7BFDE"/>
            <w:noWrap/>
            <w:vAlign w:val="center"/>
            <w:hideMark/>
          </w:tcPr>
          <w:p w14:paraId="1E58C78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4,00%</w:t>
            </w:r>
          </w:p>
        </w:tc>
        <w:tc>
          <w:tcPr>
            <w:tcW w:w="746" w:type="dxa"/>
            <w:tcBorders>
              <w:top w:val="nil"/>
              <w:left w:val="nil"/>
              <w:bottom w:val="single" w:sz="8" w:space="0" w:color="FFFFFF"/>
              <w:right w:val="nil"/>
            </w:tcBorders>
            <w:shd w:val="clear" w:color="000000" w:fill="A7BFDE"/>
            <w:noWrap/>
            <w:vAlign w:val="center"/>
            <w:hideMark/>
          </w:tcPr>
          <w:p w14:paraId="4EEA67A5"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w:t>
            </w:r>
          </w:p>
        </w:tc>
        <w:tc>
          <w:tcPr>
            <w:tcW w:w="766" w:type="dxa"/>
            <w:tcBorders>
              <w:top w:val="nil"/>
              <w:left w:val="nil"/>
              <w:bottom w:val="single" w:sz="8" w:space="0" w:color="FFFFFF"/>
              <w:right w:val="nil"/>
            </w:tcBorders>
            <w:shd w:val="clear" w:color="000000" w:fill="A7BFDE"/>
            <w:noWrap/>
            <w:vAlign w:val="center"/>
            <w:hideMark/>
          </w:tcPr>
          <w:p w14:paraId="1196FF3C"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0,00%</w:t>
            </w:r>
          </w:p>
        </w:tc>
        <w:tc>
          <w:tcPr>
            <w:tcW w:w="648" w:type="dxa"/>
            <w:tcBorders>
              <w:top w:val="nil"/>
              <w:left w:val="nil"/>
              <w:bottom w:val="single" w:sz="8" w:space="0" w:color="FFFFFF"/>
              <w:right w:val="nil"/>
            </w:tcBorders>
            <w:shd w:val="clear" w:color="000000" w:fill="A7BFDE"/>
            <w:noWrap/>
            <w:vAlign w:val="center"/>
            <w:hideMark/>
          </w:tcPr>
          <w:p w14:paraId="68CA4F8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05" w:type="dxa"/>
            <w:tcBorders>
              <w:top w:val="nil"/>
              <w:left w:val="nil"/>
              <w:bottom w:val="single" w:sz="8" w:space="0" w:color="FFFFFF"/>
              <w:right w:val="nil"/>
            </w:tcBorders>
            <w:shd w:val="clear" w:color="000000" w:fill="A7BFDE"/>
            <w:noWrap/>
            <w:vAlign w:val="center"/>
            <w:hideMark/>
          </w:tcPr>
          <w:p w14:paraId="345ABB40"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2,60%</w:t>
            </w:r>
          </w:p>
        </w:tc>
        <w:tc>
          <w:tcPr>
            <w:tcW w:w="256" w:type="dxa"/>
            <w:tcBorders>
              <w:top w:val="nil"/>
              <w:left w:val="nil"/>
              <w:bottom w:val="nil"/>
              <w:right w:val="nil"/>
            </w:tcBorders>
            <w:shd w:val="clear" w:color="auto" w:fill="auto"/>
            <w:noWrap/>
            <w:vAlign w:val="bottom"/>
            <w:hideMark/>
          </w:tcPr>
          <w:p w14:paraId="17CE56BA"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A7BFDE"/>
            <w:noWrap/>
            <w:vAlign w:val="center"/>
            <w:hideMark/>
          </w:tcPr>
          <w:p w14:paraId="61E1D43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2,01%</w:t>
            </w:r>
          </w:p>
        </w:tc>
      </w:tr>
      <w:tr w:rsidR="00DC1E1A" w:rsidRPr="0065279F" w14:paraId="29430569"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32F8EAB4"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Horeca</w:t>
            </w:r>
          </w:p>
        </w:tc>
        <w:tc>
          <w:tcPr>
            <w:tcW w:w="746" w:type="dxa"/>
            <w:tcBorders>
              <w:top w:val="nil"/>
              <w:left w:val="nil"/>
              <w:bottom w:val="single" w:sz="8" w:space="0" w:color="FFFFFF"/>
              <w:right w:val="nil"/>
            </w:tcBorders>
            <w:shd w:val="clear" w:color="000000" w:fill="DBE5F1"/>
            <w:noWrap/>
            <w:vAlign w:val="center"/>
            <w:hideMark/>
          </w:tcPr>
          <w:p w14:paraId="1250D95B"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883" w:type="dxa"/>
            <w:tcBorders>
              <w:top w:val="nil"/>
              <w:left w:val="nil"/>
              <w:bottom w:val="single" w:sz="8" w:space="0" w:color="FFFFFF"/>
              <w:right w:val="nil"/>
            </w:tcBorders>
            <w:shd w:val="clear" w:color="000000" w:fill="DBE5F1"/>
            <w:noWrap/>
            <w:vAlign w:val="center"/>
            <w:hideMark/>
          </w:tcPr>
          <w:p w14:paraId="42AF22FE"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8,00%</w:t>
            </w:r>
          </w:p>
        </w:tc>
        <w:tc>
          <w:tcPr>
            <w:tcW w:w="746" w:type="dxa"/>
            <w:tcBorders>
              <w:top w:val="nil"/>
              <w:left w:val="nil"/>
              <w:bottom w:val="single" w:sz="8" w:space="0" w:color="FFFFFF"/>
              <w:right w:val="nil"/>
            </w:tcBorders>
            <w:shd w:val="clear" w:color="000000" w:fill="DBE5F1"/>
            <w:noWrap/>
            <w:vAlign w:val="center"/>
            <w:hideMark/>
          </w:tcPr>
          <w:p w14:paraId="53DE472F"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w:t>
            </w:r>
          </w:p>
        </w:tc>
        <w:tc>
          <w:tcPr>
            <w:tcW w:w="766" w:type="dxa"/>
            <w:tcBorders>
              <w:top w:val="nil"/>
              <w:left w:val="nil"/>
              <w:bottom w:val="single" w:sz="8" w:space="0" w:color="FFFFFF"/>
              <w:right w:val="nil"/>
            </w:tcBorders>
            <w:shd w:val="clear" w:color="000000" w:fill="DBE5F1"/>
            <w:noWrap/>
            <w:vAlign w:val="center"/>
            <w:hideMark/>
          </w:tcPr>
          <w:p w14:paraId="115DB8E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0,00%</w:t>
            </w:r>
          </w:p>
        </w:tc>
        <w:tc>
          <w:tcPr>
            <w:tcW w:w="648" w:type="dxa"/>
            <w:tcBorders>
              <w:top w:val="nil"/>
              <w:left w:val="nil"/>
              <w:bottom w:val="single" w:sz="8" w:space="0" w:color="FFFFFF"/>
              <w:right w:val="nil"/>
            </w:tcBorders>
            <w:shd w:val="clear" w:color="000000" w:fill="DBE5F1"/>
            <w:noWrap/>
            <w:vAlign w:val="center"/>
            <w:hideMark/>
          </w:tcPr>
          <w:p w14:paraId="538B662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805" w:type="dxa"/>
            <w:tcBorders>
              <w:top w:val="nil"/>
              <w:left w:val="nil"/>
              <w:bottom w:val="single" w:sz="8" w:space="0" w:color="FFFFFF"/>
              <w:right w:val="nil"/>
            </w:tcBorders>
            <w:shd w:val="clear" w:color="000000" w:fill="DBE5F1"/>
            <w:noWrap/>
            <w:vAlign w:val="center"/>
            <w:hideMark/>
          </w:tcPr>
          <w:p w14:paraId="25DB107B"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5,10%</w:t>
            </w:r>
          </w:p>
        </w:tc>
        <w:tc>
          <w:tcPr>
            <w:tcW w:w="256" w:type="dxa"/>
            <w:tcBorders>
              <w:top w:val="nil"/>
              <w:left w:val="nil"/>
              <w:bottom w:val="nil"/>
              <w:right w:val="nil"/>
            </w:tcBorders>
            <w:shd w:val="clear" w:color="auto" w:fill="auto"/>
            <w:noWrap/>
            <w:vAlign w:val="bottom"/>
            <w:hideMark/>
          </w:tcPr>
          <w:p w14:paraId="60141380"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DBE5F1"/>
            <w:noWrap/>
            <w:vAlign w:val="center"/>
            <w:hideMark/>
          </w:tcPr>
          <w:p w14:paraId="7D3D0703"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2,69%</w:t>
            </w:r>
          </w:p>
        </w:tc>
      </w:tr>
      <w:tr w:rsidR="00DC1E1A" w:rsidRPr="0065279F" w14:paraId="4DCC6922"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0B3368C9"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Informatie &amp; Communicatie</w:t>
            </w:r>
          </w:p>
        </w:tc>
        <w:tc>
          <w:tcPr>
            <w:tcW w:w="746" w:type="dxa"/>
            <w:tcBorders>
              <w:top w:val="nil"/>
              <w:left w:val="nil"/>
              <w:bottom w:val="single" w:sz="8" w:space="0" w:color="FFFFFF"/>
              <w:right w:val="nil"/>
            </w:tcBorders>
            <w:shd w:val="clear" w:color="000000" w:fill="A7BFDE"/>
            <w:noWrap/>
            <w:vAlign w:val="center"/>
            <w:hideMark/>
          </w:tcPr>
          <w:p w14:paraId="4E47A01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883" w:type="dxa"/>
            <w:tcBorders>
              <w:top w:val="nil"/>
              <w:left w:val="nil"/>
              <w:bottom w:val="single" w:sz="8" w:space="0" w:color="FFFFFF"/>
              <w:right w:val="nil"/>
            </w:tcBorders>
            <w:shd w:val="clear" w:color="000000" w:fill="A7BFDE"/>
            <w:noWrap/>
            <w:vAlign w:val="center"/>
            <w:hideMark/>
          </w:tcPr>
          <w:p w14:paraId="2CD6621C"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8,00%</w:t>
            </w:r>
          </w:p>
        </w:tc>
        <w:tc>
          <w:tcPr>
            <w:tcW w:w="746" w:type="dxa"/>
            <w:tcBorders>
              <w:top w:val="nil"/>
              <w:left w:val="nil"/>
              <w:bottom w:val="single" w:sz="8" w:space="0" w:color="FFFFFF"/>
              <w:right w:val="nil"/>
            </w:tcBorders>
            <w:shd w:val="clear" w:color="000000" w:fill="A7BFDE"/>
            <w:noWrap/>
            <w:vAlign w:val="center"/>
            <w:hideMark/>
          </w:tcPr>
          <w:p w14:paraId="377EA364"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766" w:type="dxa"/>
            <w:tcBorders>
              <w:top w:val="nil"/>
              <w:left w:val="nil"/>
              <w:bottom w:val="single" w:sz="8" w:space="0" w:color="FFFFFF"/>
              <w:right w:val="nil"/>
            </w:tcBorders>
            <w:shd w:val="clear" w:color="000000" w:fill="A7BFDE"/>
            <w:noWrap/>
            <w:vAlign w:val="center"/>
            <w:hideMark/>
          </w:tcPr>
          <w:p w14:paraId="104EF74B"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14,30%</w:t>
            </w:r>
          </w:p>
        </w:tc>
        <w:tc>
          <w:tcPr>
            <w:tcW w:w="648" w:type="dxa"/>
            <w:tcBorders>
              <w:top w:val="nil"/>
              <w:left w:val="nil"/>
              <w:bottom w:val="single" w:sz="8" w:space="0" w:color="FFFFFF"/>
              <w:right w:val="nil"/>
            </w:tcBorders>
            <w:shd w:val="clear" w:color="000000" w:fill="A7BFDE"/>
            <w:noWrap/>
            <w:vAlign w:val="center"/>
            <w:hideMark/>
          </w:tcPr>
          <w:p w14:paraId="4071A20E"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w:t>
            </w:r>
          </w:p>
        </w:tc>
        <w:tc>
          <w:tcPr>
            <w:tcW w:w="805" w:type="dxa"/>
            <w:tcBorders>
              <w:top w:val="nil"/>
              <w:left w:val="nil"/>
              <w:bottom w:val="single" w:sz="8" w:space="0" w:color="FFFFFF"/>
              <w:right w:val="nil"/>
            </w:tcBorders>
            <w:shd w:val="clear" w:color="000000" w:fill="A7BFDE"/>
            <w:noWrap/>
            <w:vAlign w:val="center"/>
            <w:hideMark/>
          </w:tcPr>
          <w:p w14:paraId="6262DA8F"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10,30%</w:t>
            </w:r>
          </w:p>
        </w:tc>
        <w:tc>
          <w:tcPr>
            <w:tcW w:w="256" w:type="dxa"/>
            <w:tcBorders>
              <w:top w:val="nil"/>
              <w:left w:val="nil"/>
              <w:bottom w:val="nil"/>
              <w:right w:val="nil"/>
            </w:tcBorders>
            <w:shd w:val="clear" w:color="auto" w:fill="auto"/>
            <w:noWrap/>
            <w:vAlign w:val="bottom"/>
            <w:hideMark/>
          </w:tcPr>
          <w:p w14:paraId="05679A3C"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A7BFDE"/>
            <w:noWrap/>
            <w:vAlign w:val="center"/>
            <w:hideMark/>
          </w:tcPr>
          <w:p w14:paraId="7294B40E"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4,76%</w:t>
            </w:r>
          </w:p>
        </w:tc>
      </w:tr>
      <w:tr w:rsidR="00DC1E1A" w:rsidRPr="0065279F" w14:paraId="3F89CEA9"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35EA147E"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Financiële dienstverlening</w:t>
            </w:r>
          </w:p>
        </w:tc>
        <w:tc>
          <w:tcPr>
            <w:tcW w:w="746" w:type="dxa"/>
            <w:tcBorders>
              <w:top w:val="nil"/>
              <w:left w:val="nil"/>
              <w:bottom w:val="single" w:sz="8" w:space="0" w:color="FFFFFF"/>
              <w:right w:val="nil"/>
            </w:tcBorders>
            <w:shd w:val="clear" w:color="000000" w:fill="DBE5F1"/>
            <w:noWrap/>
            <w:vAlign w:val="center"/>
            <w:hideMark/>
          </w:tcPr>
          <w:p w14:paraId="70210920"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83" w:type="dxa"/>
            <w:tcBorders>
              <w:top w:val="nil"/>
              <w:left w:val="nil"/>
              <w:bottom w:val="single" w:sz="8" w:space="0" w:color="FFFFFF"/>
              <w:right w:val="nil"/>
            </w:tcBorders>
            <w:shd w:val="clear" w:color="000000" w:fill="DBE5F1"/>
            <w:noWrap/>
            <w:vAlign w:val="center"/>
            <w:hideMark/>
          </w:tcPr>
          <w:p w14:paraId="3E680B4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4,00%</w:t>
            </w:r>
          </w:p>
        </w:tc>
        <w:tc>
          <w:tcPr>
            <w:tcW w:w="746" w:type="dxa"/>
            <w:tcBorders>
              <w:top w:val="nil"/>
              <w:left w:val="nil"/>
              <w:bottom w:val="single" w:sz="8" w:space="0" w:color="FFFFFF"/>
              <w:right w:val="nil"/>
            </w:tcBorders>
            <w:shd w:val="clear" w:color="000000" w:fill="DBE5F1"/>
            <w:noWrap/>
            <w:vAlign w:val="center"/>
            <w:hideMark/>
          </w:tcPr>
          <w:p w14:paraId="3885B055"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766" w:type="dxa"/>
            <w:tcBorders>
              <w:top w:val="nil"/>
              <w:left w:val="nil"/>
              <w:bottom w:val="single" w:sz="8" w:space="0" w:color="FFFFFF"/>
              <w:right w:val="nil"/>
            </w:tcBorders>
            <w:shd w:val="clear" w:color="000000" w:fill="DBE5F1"/>
            <w:noWrap/>
            <w:vAlign w:val="center"/>
            <w:hideMark/>
          </w:tcPr>
          <w:p w14:paraId="7BCA8B4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7,10%</w:t>
            </w:r>
          </w:p>
        </w:tc>
        <w:tc>
          <w:tcPr>
            <w:tcW w:w="648" w:type="dxa"/>
            <w:tcBorders>
              <w:top w:val="nil"/>
              <w:left w:val="nil"/>
              <w:bottom w:val="single" w:sz="8" w:space="0" w:color="FFFFFF"/>
              <w:right w:val="nil"/>
            </w:tcBorders>
            <w:shd w:val="clear" w:color="000000" w:fill="DBE5F1"/>
            <w:noWrap/>
            <w:vAlign w:val="center"/>
            <w:hideMark/>
          </w:tcPr>
          <w:p w14:paraId="244E6AA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805" w:type="dxa"/>
            <w:tcBorders>
              <w:top w:val="nil"/>
              <w:left w:val="nil"/>
              <w:bottom w:val="single" w:sz="8" w:space="0" w:color="FFFFFF"/>
              <w:right w:val="nil"/>
            </w:tcBorders>
            <w:shd w:val="clear" w:color="000000" w:fill="DBE5F1"/>
            <w:noWrap/>
            <w:vAlign w:val="center"/>
            <w:hideMark/>
          </w:tcPr>
          <w:p w14:paraId="6F5D66BF"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5,10%</w:t>
            </w:r>
          </w:p>
        </w:tc>
        <w:tc>
          <w:tcPr>
            <w:tcW w:w="256" w:type="dxa"/>
            <w:tcBorders>
              <w:top w:val="nil"/>
              <w:left w:val="nil"/>
              <w:bottom w:val="nil"/>
              <w:right w:val="nil"/>
            </w:tcBorders>
            <w:shd w:val="clear" w:color="auto" w:fill="auto"/>
            <w:noWrap/>
            <w:vAlign w:val="bottom"/>
            <w:hideMark/>
          </w:tcPr>
          <w:p w14:paraId="6D3B996E"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DBE5F1"/>
            <w:noWrap/>
            <w:vAlign w:val="center"/>
            <w:hideMark/>
          </w:tcPr>
          <w:p w14:paraId="227A0E7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1,09%</w:t>
            </w:r>
          </w:p>
        </w:tc>
      </w:tr>
      <w:tr w:rsidR="00DC1E1A" w:rsidRPr="0065279F" w14:paraId="2C91B602"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24CA04A9"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Onroerend goed</w:t>
            </w:r>
          </w:p>
        </w:tc>
        <w:tc>
          <w:tcPr>
            <w:tcW w:w="746" w:type="dxa"/>
            <w:tcBorders>
              <w:top w:val="nil"/>
              <w:left w:val="nil"/>
              <w:bottom w:val="single" w:sz="8" w:space="0" w:color="FFFFFF"/>
              <w:right w:val="nil"/>
            </w:tcBorders>
            <w:shd w:val="clear" w:color="000000" w:fill="A7BFDE"/>
            <w:noWrap/>
            <w:vAlign w:val="center"/>
            <w:hideMark/>
          </w:tcPr>
          <w:p w14:paraId="75218402"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83" w:type="dxa"/>
            <w:tcBorders>
              <w:top w:val="nil"/>
              <w:left w:val="nil"/>
              <w:bottom w:val="single" w:sz="8" w:space="0" w:color="FFFFFF"/>
              <w:right w:val="nil"/>
            </w:tcBorders>
            <w:shd w:val="clear" w:color="000000" w:fill="A7BFDE"/>
            <w:noWrap/>
            <w:vAlign w:val="center"/>
            <w:hideMark/>
          </w:tcPr>
          <w:p w14:paraId="21D23EE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4,00%</w:t>
            </w:r>
          </w:p>
        </w:tc>
        <w:tc>
          <w:tcPr>
            <w:tcW w:w="746" w:type="dxa"/>
            <w:tcBorders>
              <w:top w:val="nil"/>
              <w:left w:val="nil"/>
              <w:bottom w:val="single" w:sz="8" w:space="0" w:color="FFFFFF"/>
              <w:right w:val="nil"/>
            </w:tcBorders>
            <w:shd w:val="clear" w:color="000000" w:fill="A7BFDE"/>
            <w:noWrap/>
            <w:vAlign w:val="center"/>
            <w:hideMark/>
          </w:tcPr>
          <w:p w14:paraId="19C41FA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w:t>
            </w:r>
          </w:p>
        </w:tc>
        <w:tc>
          <w:tcPr>
            <w:tcW w:w="766" w:type="dxa"/>
            <w:tcBorders>
              <w:top w:val="nil"/>
              <w:left w:val="nil"/>
              <w:bottom w:val="single" w:sz="8" w:space="0" w:color="FFFFFF"/>
              <w:right w:val="nil"/>
            </w:tcBorders>
            <w:shd w:val="clear" w:color="000000" w:fill="A7BFDE"/>
            <w:noWrap/>
            <w:vAlign w:val="center"/>
            <w:hideMark/>
          </w:tcPr>
          <w:p w14:paraId="13FE12B2"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0,00%</w:t>
            </w:r>
          </w:p>
        </w:tc>
        <w:tc>
          <w:tcPr>
            <w:tcW w:w="648" w:type="dxa"/>
            <w:tcBorders>
              <w:top w:val="nil"/>
              <w:left w:val="nil"/>
              <w:bottom w:val="single" w:sz="8" w:space="0" w:color="FFFFFF"/>
              <w:right w:val="nil"/>
            </w:tcBorders>
            <w:shd w:val="clear" w:color="000000" w:fill="A7BFDE"/>
            <w:noWrap/>
            <w:vAlign w:val="center"/>
            <w:hideMark/>
          </w:tcPr>
          <w:p w14:paraId="151FFAC7"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05" w:type="dxa"/>
            <w:tcBorders>
              <w:top w:val="nil"/>
              <w:left w:val="nil"/>
              <w:bottom w:val="single" w:sz="8" w:space="0" w:color="FFFFFF"/>
              <w:right w:val="nil"/>
            </w:tcBorders>
            <w:shd w:val="clear" w:color="000000" w:fill="A7BFDE"/>
            <w:noWrap/>
            <w:vAlign w:val="center"/>
            <w:hideMark/>
          </w:tcPr>
          <w:p w14:paraId="06E45C0B"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2,60%</w:t>
            </w:r>
          </w:p>
        </w:tc>
        <w:tc>
          <w:tcPr>
            <w:tcW w:w="256" w:type="dxa"/>
            <w:tcBorders>
              <w:top w:val="nil"/>
              <w:left w:val="nil"/>
              <w:bottom w:val="nil"/>
              <w:right w:val="nil"/>
            </w:tcBorders>
            <w:shd w:val="clear" w:color="auto" w:fill="auto"/>
            <w:noWrap/>
            <w:vAlign w:val="bottom"/>
            <w:hideMark/>
          </w:tcPr>
          <w:p w14:paraId="01ABCADF"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A7BFDE"/>
            <w:noWrap/>
            <w:vAlign w:val="center"/>
            <w:hideMark/>
          </w:tcPr>
          <w:p w14:paraId="36927B5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0,91%</w:t>
            </w:r>
          </w:p>
        </w:tc>
      </w:tr>
      <w:tr w:rsidR="00DC1E1A" w:rsidRPr="0065279F" w14:paraId="54B118B1"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6D004490"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Overige specialistische dienstverlening</w:t>
            </w:r>
          </w:p>
        </w:tc>
        <w:tc>
          <w:tcPr>
            <w:tcW w:w="746" w:type="dxa"/>
            <w:tcBorders>
              <w:top w:val="nil"/>
              <w:left w:val="nil"/>
              <w:bottom w:val="single" w:sz="8" w:space="0" w:color="FFFFFF"/>
              <w:right w:val="nil"/>
            </w:tcBorders>
            <w:shd w:val="clear" w:color="000000" w:fill="DBE5F1"/>
            <w:noWrap/>
            <w:vAlign w:val="center"/>
            <w:hideMark/>
          </w:tcPr>
          <w:p w14:paraId="3E53405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w:t>
            </w:r>
          </w:p>
        </w:tc>
        <w:tc>
          <w:tcPr>
            <w:tcW w:w="883" w:type="dxa"/>
            <w:tcBorders>
              <w:top w:val="nil"/>
              <w:left w:val="nil"/>
              <w:bottom w:val="single" w:sz="8" w:space="0" w:color="FFFFFF"/>
              <w:right w:val="nil"/>
            </w:tcBorders>
            <w:shd w:val="clear" w:color="000000" w:fill="DBE5F1"/>
            <w:noWrap/>
            <w:vAlign w:val="center"/>
            <w:hideMark/>
          </w:tcPr>
          <w:p w14:paraId="1AD86FE0"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16,00%</w:t>
            </w:r>
          </w:p>
        </w:tc>
        <w:tc>
          <w:tcPr>
            <w:tcW w:w="746" w:type="dxa"/>
            <w:tcBorders>
              <w:top w:val="nil"/>
              <w:left w:val="nil"/>
              <w:bottom w:val="single" w:sz="8" w:space="0" w:color="FFFFFF"/>
              <w:right w:val="nil"/>
            </w:tcBorders>
            <w:shd w:val="clear" w:color="000000" w:fill="DBE5F1"/>
            <w:noWrap/>
            <w:vAlign w:val="center"/>
            <w:hideMark/>
          </w:tcPr>
          <w:p w14:paraId="7C489A2C"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766" w:type="dxa"/>
            <w:tcBorders>
              <w:top w:val="nil"/>
              <w:left w:val="nil"/>
              <w:bottom w:val="single" w:sz="8" w:space="0" w:color="FFFFFF"/>
              <w:right w:val="nil"/>
            </w:tcBorders>
            <w:shd w:val="clear" w:color="000000" w:fill="DBE5F1"/>
            <w:noWrap/>
            <w:vAlign w:val="center"/>
            <w:hideMark/>
          </w:tcPr>
          <w:p w14:paraId="084F73D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7,10%</w:t>
            </w:r>
          </w:p>
        </w:tc>
        <w:tc>
          <w:tcPr>
            <w:tcW w:w="648" w:type="dxa"/>
            <w:tcBorders>
              <w:top w:val="nil"/>
              <w:left w:val="nil"/>
              <w:bottom w:val="single" w:sz="8" w:space="0" w:color="FFFFFF"/>
              <w:right w:val="nil"/>
            </w:tcBorders>
            <w:shd w:val="clear" w:color="000000" w:fill="DBE5F1"/>
            <w:noWrap/>
            <w:vAlign w:val="center"/>
            <w:hideMark/>
          </w:tcPr>
          <w:p w14:paraId="6B1C8BB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5</w:t>
            </w:r>
          </w:p>
        </w:tc>
        <w:tc>
          <w:tcPr>
            <w:tcW w:w="805" w:type="dxa"/>
            <w:tcBorders>
              <w:top w:val="nil"/>
              <w:left w:val="nil"/>
              <w:bottom w:val="single" w:sz="8" w:space="0" w:color="FFFFFF"/>
              <w:right w:val="nil"/>
            </w:tcBorders>
            <w:shd w:val="clear" w:color="000000" w:fill="DBE5F1"/>
            <w:noWrap/>
            <w:vAlign w:val="center"/>
            <w:hideMark/>
          </w:tcPr>
          <w:p w14:paraId="41291904"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12,80%</w:t>
            </w:r>
          </w:p>
        </w:tc>
        <w:tc>
          <w:tcPr>
            <w:tcW w:w="256" w:type="dxa"/>
            <w:tcBorders>
              <w:top w:val="nil"/>
              <w:left w:val="nil"/>
              <w:bottom w:val="nil"/>
              <w:right w:val="nil"/>
            </w:tcBorders>
            <w:shd w:val="clear" w:color="auto" w:fill="auto"/>
            <w:noWrap/>
            <w:vAlign w:val="bottom"/>
            <w:hideMark/>
          </w:tcPr>
          <w:p w14:paraId="60B17C01"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DBE5F1"/>
            <w:noWrap/>
            <w:vAlign w:val="center"/>
            <w:hideMark/>
          </w:tcPr>
          <w:p w14:paraId="13EF0C2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0,23%</w:t>
            </w:r>
          </w:p>
        </w:tc>
      </w:tr>
      <w:tr w:rsidR="00DC1E1A" w:rsidRPr="0065279F" w14:paraId="7BA021DB"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290D1BD0"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Overige zakelijke dienstverlening</w:t>
            </w:r>
          </w:p>
        </w:tc>
        <w:tc>
          <w:tcPr>
            <w:tcW w:w="746" w:type="dxa"/>
            <w:tcBorders>
              <w:top w:val="nil"/>
              <w:left w:val="nil"/>
              <w:bottom w:val="single" w:sz="8" w:space="0" w:color="FFFFFF"/>
              <w:right w:val="nil"/>
            </w:tcBorders>
            <w:shd w:val="clear" w:color="000000" w:fill="A7BFDE"/>
            <w:noWrap/>
            <w:vAlign w:val="center"/>
            <w:hideMark/>
          </w:tcPr>
          <w:p w14:paraId="76F0C86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83" w:type="dxa"/>
            <w:tcBorders>
              <w:top w:val="nil"/>
              <w:left w:val="nil"/>
              <w:bottom w:val="single" w:sz="8" w:space="0" w:color="FFFFFF"/>
              <w:right w:val="nil"/>
            </w:tcBorders>
            <w:shd w:val="clear" w:color="000000" w:fill="A7BFDE"/>
            <w:noWrap/>
            <w:vAlign w:val="center"/>
            <w:hideMark/>
          </w:tcPr>
          <w:p w14:paraId="0E4559C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4,00%</w:t>
            </w:r>
          </w:p>
        </w:tc>
        <w:tc>
          <w:tcPr>
            <w:tcW w:w="746" w:type="dxa"/>
            <w:tcBorders>
              <w:top w:val="nil"/>
              <w:left w:val="nil"/>
              <w:bottom w:val="single" w:sz="8" w:space="0" w:color="FFFFFF"/>
              <w:right w:val="nil"/>
            </w:tcBorders>
            <w:shd w:val="clear" w:color="000000" w:fill="A7BFDE"/>
            <w:noWrap/>
            <w:vAlign w:val="center"/>
            <w:hideMark/>
          </w:tcPr>
          <w:p w14:paraId="15922E64"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w:t>
            </w:r>
          </w:p>
        </w:tc>
        <w:tc>
          <w:tcPr>
            <w:tcW w:w="766" w:type="dxa"/>
            <w:tcBorders>
              <w:top w:val="nil"/>
              <w:left w:val="nil"/>
              <w:bottom w:val="single" w:sz="8" w:space="0" w:color="FFFFFF"/>
              <w:right w:val="nil"/>
            </w:tcBorders>
            <w:shd w:val="clear" w:color="000000" w:fill="A7BFDE"/>
            <w:noWrap/>
            <w:vAlign w:val="center"/>
            <w:hideMark/>
          </w:tcPr>
          <w:p w14:paraId="240A78EA"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0,00%</w:t>
            </w:r>
          </w:p>
        </w:tc>
        <w:tc>
          <w:tcPr>
            <w:tcW w:w="648" w:type="dxa"/>
            <w:tcBorders>
              <w:top w:val="nil"/>
              <w:left w:val="nil"/>
              <w:bottom w:val="single" w:sz="8" w:space="0" w:color="FFFFFF"/>
              <w:right w:val="nil"/>
            </w:tcBorders>
            <w:shd w:val="clear" w:color="000000" w:fill="A7BFDE"/>
            <w:noWrap/>
            <w:vAlign w:val="center"/>
            <w:hideMark/>
          </w:tcPr>
          <w:p w14:paraId="40CD608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05" w:type="dxa"/>
            <w:tcBorders>
              <w:top w:val="nil"/>
              <w:left w:val="nil"/>
              <w:bottom w:val="single" w:sz="8" w:space="0" w:color="FFFFFF"/>
              <w:right w:val="nil"/>
            </w:tcBorders>
            <w:shd w:val="clear" w:color="000000" w:fill="A7BFDE"/>
            <w:noWrap/>
            <w:vAlign w:val="center"/>
            <w:hideMark/>
          </w:tcPr>
          <w:p w14:paraId="21FD0BB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2,60%</w:t>
            </w:r>
          </w:p>
        </w:tc>
        <w:tc>
          <w:tcPr>
            <w:tcW w:w="256" w:type="dxa"/>
            <w:tcBorders>
              <w:top w:val="nil"/>
              <w:left w:val="nil"/>
              <w:bottom w:val="nil"/>
              <w:right w:val="nil"/>
            </w:tcBorders>
            <w:shd w:val="clear" w:color="auto" w:fill="auto"/>
            <w:noWrap/>
            <w:vAlign w:val="bottom"/>
            <w:hideMark/>
          </w:tcPr>
          <w:p w14:paraId="03B80C55"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A7BFDE"/>
            <w:noWrap/>
            <w:vAlign w:val="center"/>
            <w:hideMark/>
          </w:tcPr>
          <w:p w14:paraId="46BDD4F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20,29%</w:t>
            </w:r>
          </w:p>
        </w:tc>
      </w:tr>
      <w:tr w:rsidR="00DC1E1A" w:rsidRPr="0065279F" w14:paraId="4B83035C"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493FC0C0"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Zorg</w:t>
            </w:r>
          </w:p>
        </w:tc>
        <w:tc>
          <w:tcPr>
            <w:tcW w:w="746" w:type="dxa"/>
            <w:tcBorders>
              <w:top w:val="nil"/>
              <w:left w:val="nil"/>
              <w:bottom w:val="single" w:sz="8" w:space="0" w:color="FFFFFF"/>
              <w:right w:val="nil"/>
            </w:tcBorders>
            <w:shd w:val="clear" w:color="000000" w:fill="DBE5F1"/>
            <w:noWrap/>
            <w:vAlign w:val="center"/>
            <w:hideMark/>
          </w:tcPr>
          <w:p w14:paraId="2DD258B2"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w:t>
            </w:r>
          </w:p>
        </w:tc>
        <w:tc>
          <w:tcPr>
            <w:tcW w:w="883" w:type="dxa"/>
            <w:tcBorders>
              <w:top w:val="nil"/>
              <w:left w:val="nil"/>
              <w:bottom w:val="single" w:sz="8" w:space="0" w:color="FFFFFF"/>
              <w:right w:val="nil"/>
            </w:tcBorders>
            <w:shd w:val="clear" w:color="000000" w:fill="DBE5F1"/>
            <w:noWrap/>
            <w:vAlign w:val="center"/>
            <w:hideMark/>
          </w:tcPr>
          <w:p w14:paraId="79A1816C"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0,00%</w:t>
            </w:r>
          </w:p>
        </w:tc>
        <w:tc>
          <w:tcPr>
            <w:tcW w:w="746" w:type="dxa"/>
            <w:tcBorders>
              <w:top w:val="nil"/>
              <w:left w:val="nil"/>
              <w:bottom w:val="single" w:sz="8" w:space="0" w:color="FFFFFF"/>
              <w:right w:val="nil"/>
            </w:tcBorders>
            <w:shd w:val="clear" w:color="000000" w:fill="DBE5F1"/>
            <w:noWrap/>
            <w:vAlign w:val="center"/>
            <w:hideMark/>
          </w:tcPr>
          <w:p w14:paraId="43EF077E"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766" w:type="dxa"/>
            <w:tcBorders>
              <w:top w:val="nil"/>
              <w:left w:val="nil"/>
              <w:bottom w:val="single" w:sz="8" w:space="0" w:color="FFFFFF"/>
              <w:right w:val="nil"/>
            </w:tcBorders>
            <w:shd w:val="clear" w:color="000000" w:fill="DBE5F1"/>
            <w:noWrap/>
            <w:vAlign w:val="center"/>
            <w:hideMark/>
          </w:tcPr>
          <w:p w14:paraId="43FF3EF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14,30%</w:t>
            </w:r>
          </w:p>
        </w:tc>
        <w:tc>
          <w:tcPr>
            <w:tcW w:w="648" w:type="dxa"/>
            <w:tcBorders>
              <w:top w:val="nil"/>
              <w:left w:val="nil"/>
              <w:bottom w:val="single" w:sz="8" w:space="0" w:color="FFFFFF"/>
              <w:right w:val="nil"/>
            </w:tcBorders>
            <w:shd w:val="clear" w:color="000000" w:fill="DBE5F1"/>
            <w:noWrap/>
            <w:vAlign w:val="center"/>
            <w:hideMark/>
          </w:tcPr>
          <w:p w14:paraId="321F93E6"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805" w:type="dxa"/>
            <w:tcBorders>
              <w:top w:val="nil"/>
              <w:left w:val="nil"/>
              <w:bottom w:val="single" w:sz="8" w:space="0" w:color="FFFFFF"/>
              <w:right w:val="nil"/>
            </w:tcBorders>
            <w:shd w:val="clear" w:color="000000" w:fill="DBE5F1"/>
            <w:noWrap/>
            <w:vAlign w:val="center"/>
            <w:hideMark/>
          </w:tcPr>
          <w:p w14:paraId="0079B64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5,10%</w:t>
            </w:r>
          </w:p>
        </w:tc>
        <w:tc>
          <w:tcPr>
            <w:tcW w:w="256" w:type="dxa"/>
            <w:tcBorders>
              <w:top w:val="nil"/>
              <w:left w:val="nil"/>
              <w:bottom w:val="nil"/>
              <w:right w:val="nil"/>
            </w:tcBorders>
            <w:shd w:val="clear" w:color="auto" w:fill="auto"/>
            <w:noWrap/>
            <w:vAlign w:val="bottom"/>
            <w:hideMark/>
          </w:tcPr>
          <w:p w14:paraId="58534FFC"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DBE5F1"/>
            <w:noWrap/>
            <w:vAlign w:val="center"/>
            <w:hideMark/>
          </w:tcPr>
          <w:p w14:paraId="0F30503E"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8,33%</w:t>
            </w:r>
          </w:p>
        </w:tc>
      </w:tr>
      <w:tr w:rsidR="00DC1E1A" w:rsidRPr="0065279F" w14:paraId="184256E4"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7C24BA08"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Cultuur, sport, recreatie</w:t>
            </w:r>
          </w:p>
        </w:tc>
        <w:tc>
          <w:tcPr>
            <w:tcW w:w="746" w:type="dxa"/>
            <w:tcBorders>
              <w:top w:val="nil"/>
              <w:left w:val="nil"/>
              <w:bottom w:val="single" w:sz="8" w:space="0" w:color="FFFFFF"/>
              <w:right w:val="nil"/>
            </w:tcBorders>
            <w:shd w:val="clear" w:color="000000" w:fill="A7BFDE"/>
            <w:noWrap/>
            <w:vAlign w:val="center"/>
            <w:hideMark/>
          </w:tcPr>
          <w:p w14:paraId="2801CE67"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83" w:type="dxa"/>
            <w:tcBorders>
              <w:top w:val="nil"/>
              <w:left w:val="nil"/>
              <w:bottom w:val="single" w:sz="8" w:space="0" w:color="FFFFFF"/>
              <w:right w:val="nil"/>
            </w:tcBorders>
            <w:shd w:val="clear" w:color="000000" w:fill="A7BFDE"/>
            <w:noWrap/>
            <w:vAlign w:val="center"/>
            <w:hideMark/>
          </w:tcPr>
          <w:p w14:paraId="685804E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4,00%</w:t>
            </w:r>
          </w:p>
        </w:tc>
        <w:tc>
          <w:tcPr>
            <w:tcW w:w="746" w:type="dxa"/>
            <w:tcBorders>
              <w:top w:val="nil"/>
              <w:left w:val="nil"/>
              <w:bottom w:val="single" w:sz="8" w:space="0" w:color="FFFFFF"/>
              <w:right w:val="nil"/>
            </w:tcBorders>
            <w:shd w:val="clear" w:color="000000" w:fill="A7BFDE"/>
            <w:noWrap/>
            <w:vAlign w:val="center"/>
            <w:hideMark/>
          </w:tcPr>
          <w:p w14:paraId="13C0262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w:t>
            </w:r>
          </w:p>
        </w:tc>
        <w:tc>
          <w:tcPr>
            <w:tcW w:w="766" w:type="dxa"/>
            <w:tcBorders>
              <w:top w:val="nil"/>
              <w:left w:val="nil"/>
              <w:bottom w:val="single" w:sz="8" w:space="0" w:color="FFFFFF"/>
              <w:right w:val="nil"/>
            </w:tcBorders>
            <w:shd w:val="clear" w:color="000000" w:fill="A7BFDE"/>
            <w:noWrap/>
            <w:vAlign w:val="center"/>
            <w:hideMark/>
          </w:tcPr>
          <w:p w14:paraId="4D85382E"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0,00%</w:t>
            </w:r>
          </w:p>
        </w:tc>
        <w:tc>
          <w:tcPr>
            <w:tcW w:w="648" w:type="dxa"/>
            <w:tcBorders>
              <w:top w:val="nil"/>
              <w:left w:val="nil"/>
              <w:bottom w:val="single" w:sz="8" w:space="0" w:color="FFFFFF"/>
              <w:right w:val="nil"/>
            </w:tcBorders>
            <w:shd w:val="clear" w:color="000000" w:fill="A7BFDE"/>
            <w:noWrap/>
            <w:vAlign w:val="center"/>
            <w:hideMark/>
          </w:tcPr>
          <w:p w14:paraId="0AC92085"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05" w:type="dxa"/>
            <w:tcBorders>
              <w:top w:val="nil"/>
              <w:left w:val="nil"/>
              <w:bottom w:val="single" w:sz="8" w:space="0" w:color="FFFFFF"/>
              <w:right w:val="nil"/>
            </w:tcBorders>
            <w:shd w:val="clear" w:color="000000" w:fill="A7BFDE"/>
            <w:noWrap/>
            <w:vAlign w:val="center"/>
            <w:hideMark/>
          </w:tcPr>
          <w:p w14:paraId="60F13FB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2,60%</w:t>
            </w:r>
          </w:p>
        </w:tc>
        <w:tc>
          <w:tcPr>
            <w:tcW w:w="256" w:type="dxa"/>
            <w:tcBorders>
              <w:top w:val="nil"/>
              <w:left w:val="nil"/>
              <w:bottom w:val="nil"/>
              <w:right w:val="nil"/>
            </w:tcBorders>
            <w:shd w:val="clear" w:color="auto" w:fill="auto"/>
            <w:noWrap/>
            <w:vAlign w:val="bottom"/>
            <w:hideMark/>
          </w:tcPr>
          <w:p w14:paraId="22255E0B"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A7BFDE"/>
            <w:noWrap/>
            <w:vAlign w:val="center"/>
            <w:hideMark/>
          </w:tcPr>
          <w:p w14:paraId="0E957F53"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3,60%</w:t>
            </w:r>
          </w:p>
        </w:tc>
      </w:tr>
      <w:tr w:rsidR="00DC1E1A" w:rsidRPr="0065279F" w14:paraId="009C5F94" w14:textId="77777777" w:rsidTr="003910BE">
        <w:trPr>
          <w:trHeight w:val="320"/>
        </w:trPr>
        <w:tc>
          <w:tcPr>
            <w:tcW w:w="2799" w:type="dxa"/>
            <w:tcBorders>
              <w:top w:val="nil"/>
              <w:left w:val="nil"/>
              <w:bottom w:val="single" w:sz="8" w:space="0" w:color="FFFFFF"/>
              <w:right w:val="nil"/>
            </w:tcBorders>
            <w:shd w:val="clear" w:color="000000" w:fill="365F91"/>
            <w:noWrap/>
            <w:vAlign w:val="center"/>
            <w:hideMark/>
          </w:tcPr>
          <w:p w14:paraId="440C2419"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Overige dienstverlening</w:t>
            </w:r>
          </w:p>
        </w:tc>
        <w:tc>
          <w:tcPr>
            <w:tcW w:w="746" w:type="dxa"/>
            <w:tcBorders>
              <w:top w:val="nil"/>
              <w:left w:val="nil"/>
              <w:bottom w:val="single" w:sz="8" w:space="0" w:color="FFFFFF"/>
              <w:right w:val="nil"/>
            </w:tcBorders>
            <w:shd w:val="clear" w:color="000000" w:fill="DBE5F1"/>
            <w:noWrap/>
            <w:vAlign w:val="center"/>
            <w:hideMark/>
          </w:tcPr>
          <w:p w14:paraId="20D1A08F"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w:t>
            </w:r>
          </w:p>
        </w:tc>
        <w:tc>
          <w:tcPr>
            <w:tcW w:w="883" w:type="dxa"/>
            <w:tcBorders>
              <w:top w:val="nil"/>
              <w:left w:val="nil"/>
              <w:bottom w:val="single" w:sz="8" w:space="0" w:color="FFFFFF"/>
              <w:right w:val="nil"/>
            </w:tcBorders>
            <w:shd w:val="clear" w:color="000000" w:fill="DBE5F1"/>
            <w:noWrap/>
            <w:vAlign w:val="center"/>
            <w:hideMark/>
          </w:tcPr>
          <w:p w14:paraId="250960BF"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4,00%</w:t>
            </w:r>
          </w:p>
        </w:tc>
        <w:tc>
          <w:tcPr>
            <w:tcW w:w="746" w:type="dxa"/>
            <w:tcBorders>
              <w:top w:val="nil"/>
              <w:left w:val="nil"/>
              <w:bottom w:val="single" w:sz="8" w:space="0" w:color="FFFFFF"/>
              <w:right w:val="nil"/>
            </w:tcBorders>
            <w:shd w:val="clear" w:color="000000" w:fill="DBE5F1"/>
            <w:noWrap/>
            <w:vAlign w:val="center"/>
            <w:hideMark/>
          </w:tcPr>
          <w:p w14:paraId="73D14E35"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w:t>
            </w:r>
          </w:p>
        </w:tc>
        <w:tc>
          <w:tcPr>
            <w:tcW w:w="766" w:type="dxa"/>
            <w:tcBorders>
              <w:top w:val="nil"/>
              <w:left w:val="nil"/>
              <w:bottom w:val="single" w:sz="8" w:space="0" w:color="FFFFFF"/>
              <w:right w:val="nil"/>
            </w:tcBorders>
            <w:shd w:val="clear" w:color="000000" w:fill="DBE5F1"/>
            <w:noWrap/>
            <w:vAlign w:val="center"/>
            <w:hideMark/>
          </w:tcPr>
          <w:p w14:paraId="3FB24AC1"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14,30%</w:t>
            </w:r>
          </w:p>
        </w:tc>
        <w:tc>
          <w:tcPr>
            <w:tcW w:w="648" w:type="dxa"/>
            <w:tcBorders>
              <w:top w:val="nil"/>
              <w:left w:val="nil"/>
              <w:bottom w:val="single" w:sz="8" w:space="0" w:color="FFFFFF"/>
              <w:right w:val="nil"/>
            </w:tcBorders>
            <w:shd w:val="clear" w:color="000000" w:fill="DBE5F1"/>
            <w:noWrap/>
            <w:vAlign w:val="center"/>
            <w:hideMark/>
          </w:tcPr>
          <w:p w14:paraId="35EA9F90"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3</w:t>
            </w:r>
          </w:p>
        </w:tc>
        <w:tc>
          <w:tcPr>
            <w:tcW w:w="805" w:type="dxa"/>
            <w:tcBorders>
              <w:top w:val="nil"/>
              <w:left w:val="nil"/>
              <w:bottom w:val="single" w:sz="8" w:space="0" w:color="FFFFFF"/>
              <w:right w:val="nil"/>
            </w:tcBorders>
            <w:shd w:val="clear" w:color="000000" w:fill="DBE5F1"/>
            <w:noWrap/>
            <w:vAlign w:val="center"/>
            <w:hideMark/>
          </w:tcPr>
          <w:p w14:paraId="04F81BCD"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7,70%</w:t>
            </w:r>
          </w:p>
        </w:tc>
        <w:tc>
          <w:tcPr>
            <w:tcW w:w="256" w:type="dxa"/>
            <w:tcBorders>
              <w:top w:val="nil"/>
              <w:left w:val="nil"/>
              <w:bottom w:val="nil"/>
              <w:right w:val="nil"/>
            </w:tcBorders>
            <w:shd w:val="clear" w:color="auto" w:fill="auto"/>
            <w:noWrap/>
            <w:vAlign w:val="bottom"/>
            <w:hideMark/>
          </w:tcPr>
          <w:p w14:paraId="3D4F3BB3"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DBE5F1"/>
            <w:noWrap/>
            <w:vAlign w:val="center"/>
            <w:hideMark/>
          </w:tcPr>
          <w:p w14:paraId="23B20CA8"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5,35%</w:t>
            </w:r>
          </w:p>
        </w:tc>
      </w:tr>
      <w:tr w:rsidR="00DC1E1A" w:rsidRPr="0065279F" w14:paraId="6EA6C8CD" w14:textId="77777777" w:rsidTr="003910BE">
        <w:trPr>
          <w:trHeight w:val="320"/>
        </w:trPr>
        <w:tc>
          <w:tcPr>
            <w:tcW w:w="2799" w:type="dxa"/>
            <w:tcBorders>
              <w:top w:val="nil"/>
              <w:left w:val="nil"/>
              <w:bottom w:val="nil"/>
              <w:right w:val="nil"/>
            </w:tcBorders>
            <w:shd w:val="clear" w:color="000000" w:fill="365F91"/>
            <w:noWrap/>
            <w:vAlign w:val="center"/>
            <w:hideMark/>
          </w:tcPr>
          <w:p w14:paraId="0A0B5C61" w14:textId="77777777" w:rsidR="00DC1E1A" w:rsidRPr="0065279F" w:rsidRDefault="00DC1E1A" w:rsidP="00E47779">
            <w:pPr>
              <w:spacing w:after="0"/>
              <w:jc w:val="left"/>
              <w:rPr>
                <w:rFonts w:ascii="Calibri" w:eastAsia="Times New Roman" w:hAnsi="Calibri" w:cs="Times New Roman"/>
                <w:color w:val="FFFFFF"/>
                <w:sz w:val="18"/>
                <w:szCs w:val="18"/>
                <w:lang w:val="en-GB" w:eastAsia="en-US"/>
              </w:rPr>
            </w:pPr>
            <w:r w:rsidRPr="0065279F">
              <w:rPr>
                <w:rFonts w:ascii="Calibri" w:eastAsia="Times New Roman" w:hAnsi="Calibri" w:cs="Times New Roman"/>
                <w:color w:val="FFFFFF"/>
                <w:sz w:val="18"/>
                <w:szCs w:val="18"/>
                <w:lang w:val="en-GB" w:eastAsia="en-US"/>
              </w:rPr>
              <w:t>Totaal</w:t>
            </w:r>
          </w:p>
        </w:tc>
        <w:tc>
          <w:tcPr>
            <w:tcW w:w="746" w:type="dxa"/>
            <w:tcBorders>
              <w:top w:val="nil"/>
              <w:left w:val="nil"/>
              <w:bottom w:val="nil"/>
              <w:right w:val="nil"/>
            </w:tcBorders>
            <w:shd w:val="clear" w:color="000000" w:fill="A7BFDE"/>
            <w:noWrap/>
            <w:vAlign w:val="center"/>
            <w:hideMark/>
          </w:tcPr>
          <w:p w14:paraId="70E39DC6"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25</w:t>
            </w:r>
          </w:p>
        </w:tc>
        <w:tc>
          <w:tcPr>
            <w:tcW w:w="883" w:type="dxa"/>
            <w:tcBorders>
              <w:top w:val="nil"/>
              <w:left w:val="nil"/>
              <w:bottom w:val="nil"/>
              <w:right w:val="nil"/>
            </w:tcBorders>
            <w:shd w:val="clear" w:color="000000" w:fill="A7BFDE"/>
            <w:noWrap/>
            <w:vAlign w:val="center"/>
            <w:hideMark/>
          </w:tcPr>
          <w:p w14:paraId="6728A48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100,00%</w:t>
            </w:r>
          </w:p>
        </w:tc>
        <w:tc>
          <w:tcPr>
            <w:tcW w:w="746" w:type="dxa"/>
            <w:tcBorders>
              <w:top w:val="nil"/>
              <w:left w:val="nil"/>
              <w:bottom w:val="nil"/>
              <w:right w:val="nil"/>
            </w:tcBorders>
            <w:shd w:val="clear" w:color="000000" w:fill="A7BFDE"/>
            <w:noWrap/>
            <w:vAlign w:val="center"/>
            <w:hideMark/>
          </w:tcPr>
          <w:p w14:paraId="1D3CF7B6"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14</w:t>
            </w:r>
          </w:p>
        </w:tc>
        <w:tc>
          <w:tcPr>
            <w:tcW w:w="766" w:type="dxa"/>
            <w:tcBorders>
              <w:top w:val="nil"/>
              <w:left w:val="nil"/>
              <w:bottom w:val="nil"/>
              <w:right w:val="nil"/>
            </w:tcBorders>
            <w:shd w:val="clear" w:color="000000" w:fill="A7BFDE"/>
            <w:noWrap/>
            <w:vAlign w:val="center"/>
            <w:hideMark/>
          </w:tcPr>
          <w:p w14:paraId="46F7AFB9"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100,00%</w:t>
            </w:r>
          </w:p>
        </w:tc>
        <w:tc>
          <w:tcPr>
            <w:tcW w:w="648" w:type="dxa"/>
            <w:tcBorders>
              <w:top w:val="nil"/>
              <w:left w:val="nil"/>
              <w:bottom w:val="nil"/>
              <w:right w:val="nil"/>
            </w:tcBorders>
            <w:shd w:val="clear" w:color="000000" w:fill="A7BFDE"/>
            <w:noWrap/>
            <w:vAlign w:val="center"/>
            <w:hideMark/>
          </w:tcPr>
          <w:p w14:paraId="271D254C"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39</w:t>
            </w:r>
          </w:p>
        </w:tc>
        <w:tc>
          <w:tcPr>
            <w:tcW w:w="805" w:type="dxa"/>
            <w:tcBorders>
              <w:top w:val="nil"/>
              <w:left w:val="nil"/>
              <w:bottom w:val="nil"/>
              <w:right w:val="nil"/>
            </w:tcBorders>
            <w:shd w:val="clear" w:color="000000" w:fill="A7BFDE"/>
            <w:noWrap/>
            <w:vAlign w:val="center"/>
            <w:hideMark/>
          </w:tcPr>
          <w:p w14:paraId="242CAD54"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100,00%</w:t>
            </w:r>
          </w:p>
        </w:tc>
        <w:tc>
          <w:tcPr>
            <w:tcW w:w="256" w:type="dxa"/>
            <w:tcBorders>
              <w:top w:val="nil"/>
              <w:left w:val="nil"/>
              <w:bottom w:val="nil"/>
              <w:right w:val="nil"/>
            </w:tcBorders>
            <w:shd w:val="clear" w:color="auto" w:fill="auto"/>
            <w:noWrap/>
            <w:vAlign w:val="bottom"/>
            <w:hideMark/>
          </w:tcPr>
          <w:p w14:paraId="61022563" w14:textId="77777777" w:rsidR="00DC1E1A" w:rsidRPr="0065279F" w:rsidRDefault="00DC1E1A" w:rsidP="003910BE">
            <w:pPr>
              <w:spacing w:after="0"/>
              <w:rPr>
                <w:rFonts w:ascii="Calibri" w:eastAsia="Times New Roman" w:hAnsi="Calibri" w:cs="Times New Roman"/>
                <w:color w:val="000000"/>
                <w:lang w:val="en-GB" w:eastAsia="en-US"/>
              </w:rPr>
            </w:pPr>
          </w:p>
        </w:tc>
        <w:tc>
          <w:tcPr>
            <w:tcW w:w="1021" w:type="dxa"/>
            <w:tcBorders>
              <w:top w:val="nil"/>
              <w:left w:val="nil"/>
              <w:bottom w:val="single" w:sz="8" w:space="0" w:color="FFFFFF"/>
              <w:right w:val="nil"/>
            </w:tcBorders>
            <w:shd w:val="clear" w:color="000000" w:fill="A7BFDE"/>
            <w:noWrap/>
            <w:vAlign w:val="center"/>
            <w:hideMark/>
          </w:tcPr>
          <w:p w14:paraId="2A6137CF" w14:textId="77777777" w:rsidR="00DC1E1A" w:rsidRPr="0065279F" w:rsidRDefault="00DC1E1A" w:rsidP="003910BE">
            <w:pPr>
              <w:spacing w:after="0"/>
              <w:jc w:val="right"/>
              <w:rPr>
                <w:rFonts w:ascii="Calibri" w:eastAsia="Times New Roman" w:hAnsi="Calibri" w:cs="Times New Roman"/>
                <w:color w:val="000000"/>
                <w:sz w:val="18"/>
                <w:szCs w:val="18"/>
                <w:lang w:val="en-GB" w:eastAsia="en-US"/>
              </w:rPr>
            </w:pPr>
            <w:r w:rsidRPr="0065279F">
              <w:rPr>
                <w:rFonts w:ascii="Calibri" w:eastAsia="Times New Roman" w:hAnsi="Calibri" w:cs="Times New Roman"/>
                <w:color w:val="000000"/>
                <w:sz w:val="18"/>
                <w:szCs w:val="18"/>
                <w:lang w:val="en-GB" w:eastAsia="en-US"/>
              </w:rPr>
              <w:t>84,29%</w:t>
            </w:r>
          </w:p>
        </w:tc>
      </w:tr>
    </w:tbl>
    <w:p w14:paraId="0F72610E" w14:textId="77777777" w:rsidR="00DC1E1A" w:rsidRDefault="00DC1E1A" w:rsidP="00DC1E1A"/>
    <w:p w14:paraId="3201FDE0" w14:textId="77777777" w:rsidR="00DC1E1A" w:rsidRPr="00AA41EF" w:rsidRDefault="00DC1E1A" w:rsidP="00DC1E1A">
      <w:pPr>
        <w:rPr>
          <w:color w:val="4F81BD" w:themeColor="accent1"/>
          <w:sz w:val="20"/>
        </w:rPr>
      </w:pPr>
      <w:r w:rsidRPr="00AA41EF">
        <w:rPr>
          <w:b/>
          <w:color w:val="4F81BD" w:themeColor="accent1"/>
          <w:sz w:val="20"/>
        </w:rPr>
        <w:t>Tabel</w:t>
      </w:r>
      <w:r>
        <w:rPr>
          <w:b/>
          <w:color w:val="4F81BD" w:themeColor="accent1"/>
          <w:sz w:val="20"/>
        </w:rPr>
        <w:t xml:space="preserve"> 6.4</w:t>
      </w:r>
      <w:r w:rsidRPr="00AA41EF">
        <w:rPr>
          <w:b/>
          <w:color w:val="4F81BD" w:themeColor="accent1"/>
          <w:sz w:val="20"/>
        </w:rPr>
        <w:t>:</w:t>
      </w:r>
      <w:r w:rsidRPr="00AA41EF">
        <w:rPr>
          <w:color w:val="4F81BD" w:themeColor="accent1"/>
          <w:sz w:val="20"/>
        </w:rPr>
        <w:t xml:space="preserve"> Aantallen respondenten per sbi-</w:t>
      </w:r>
      <w:r>
        <w:rPr>
          <w:color w:val="4F81BD" w:themeColor="accent1"/>
          <w:sz w:val="20"/>
        </w:rPr>
        <w:t>sectie</w:t>
      </w:r>
      <w:r w:rsidRPr="00AA41EF">
        <w:rPr>
          <w:color w:val="4F81BD" w:themeColor="accent1"/>
          <w:sz w:val="20"/>
        </w:rPr>
        <w:t>, uitgesplitst naar spin-offs en overige start-ups.</w:t>
      </w:r>
      <w:r>
        <w:rPr>
          <w:color w:val="4F81BD" w:themeColor="accent1"/>
          <w:sz w:val="20"/>
        </w:rPr>
        <w:t xml:space="preserve"> De meest rechter kolom geeft de percentages per sector voor alle bedrijven in 1998 in de regio’s Woerden en Veenendaal (bijeengevoegd) weer.</w:t>
      </w:r>
    </w:p>
    <w:p w14:paraId="11753F2A" w14:textId="77777777" w:rsidR="00DC1E1A" w:rsidRDefault="00DC1E1A" w:rsidP="00DC1E1A">
      <w:pPr>
        <w:rPr>
          <w:i/>
        </w:rPr>
      </w:pPr>
    </w:p>
    <w:p w14:paraId="5A04D7FE" w14:textId="77777777" w:rsidR="00DC1E1A" w:rsidRDefault="00DC1E1A" w:rsidP="00DC1E1A">
      <w:r>
        <w:t>De grootste sector onder respondenten is de handel, met 28,2% van de bedrijven. Deze sector wordt gevolgd door overige specialistische dienstverlening, informatie &amp; communicatie en de bouwnijverheid. In de bouw en overige specialistische dienstverlening geeft het merendeel van de respondenten aan gebruik te maken van ervaring die bij hun vorige baan is opgedaan. Met de kleine hoeveelheid respondenten en de grote hoeveelheid categorieën is echter niet statistisch aan te tonen dat deze verschillen significant zijn. De mate waarin respondenten zich in sectoren gevestigd hebben wijkt af van de grootte die deze sectoren hadden in 1998, voordat de bedrijven werden opgericht. Voornamelijk de overige specialistische zakelijke dienstverlening is sterk oververtegenwoordigd als sectoren waar respondenten nieuwe bedrijven in hebben opgericht. In mindere mate geldt dit ook voor handel en informatie en communicatie. Dit zijn dan ook sectoren waarvan in hoofdstuk vier en vijf te lezen is dat er een groei in het aantal bedrijven is geweest. Overige zakelijke dienstverlening is daarentegen sterk oververtegenwoordigd.</w:t>
      </w:r>
    </w:p>
    <w:p w14:paraId="06DF0BC9" w14:textId="77777777" w:rsidR="00DC1E1A" w:rsidRPr="00104894" w:rsidRDefault="00DC1E1A" w:rsidP="00DC1E1A">
      <w:r>
        <w:tab/>
        <w:t>Als alleen de spin-off worden vergeleken met de sectoren in 1998, dan wordt voornamelijk het verschil in de zorg veel groter, doordat beide respondenten in de zorg direct vanuit hun studie een kliniek zijn begonnen, en de zorg dus ontbreekt bij spin-offs. Dit geldt ook voor de landbouw, die ontbreekt onder de spin-offs, maar 6,55% van het totale aantal bedrijven in de regio’s bevat. Overige specialistische dienstverlening en handel zijn het sterkst oververtegenwoordigd onder de spin-offs. Bij handel is het opvallend dat veel spin-offs ervaring van binnen de supply-chain putten, maar eerder een niet-handelsfunctie vervulden.</w:t>
      </w:r>
    </w:p>
    <w:p w14:paraId="35D3CFB3" w14:textId="19A0A90E" w:rsidR="00DC1E1A" w:rsidRDefault="00DC1E1A" w:rsidP="00DC1E1A">
      <w:pPr>
        <w:ind w:firstLine="720"/>
      </w:pPr>
      <w:r>
        <w:t>Om te kijken in hoeverre er wel een statistisch verband gevonden kan worden, is er wederom een Chi-kwadraat toets gebruikt</w:t>
      </w:r>
      <w:r w:rsidR="00914B5B">
        <w:t xml:space="preserve"> (zie bijlage 3.11)</w:t>
      </w:r>
      <w:r>
        <w:t>. Het gaat immers om twee categorale variabelen. Om verwachtte waardes van onder de vijf te voorkomen, is het aantal sectoren teruggebracht tot twee. Zonder deze maatregel is een statistische toets op sectoren niet mogelijk, maar met maar twee categorieën verliest de toets sterk in belang. De sectoren zijn verdeeld tussen SBI-klassen tot 4700 en SBI-klassen hierboven. 56,4% van de respondenten valt onder de eerste categorie, terwijl 43,6% in de tweede categorie valt. De eerste groep omvat landbouw, industrie, NUTS-diensten, de bouw en de groothandel. Categorie twee omvat detailhandel, verhuur en alle dienstverlening.</w:t>
      </w:r>
    </w:p>
    <w:p w14:paraId="6CF5DF36" w14:textId="1B2F54AE" w:rsidR="00DC1E1A" w:rsidRDefault="00DC1E1A" w:rsidP="00DC1E1A">
      <w:r>
        <w:tab/>
        <w:t xml:space="preserve"> De verdeling in twee vrijwel even grote groepen zorgt ervoor dat er geen verwachte waardes van onder de vijf zijn, en maakt het gebruik van een Chi-kwadraat toets mogelijk. Het significantieniveau bij één vrijheidsgraad bedraagt 0,872, en ligt dus ruim boven de 0,05. </w:t>
      </w:r>
      <w:r w:rsidR="00F8206C">
        <w:t xml:space="preserve">Respondenten die actief zijn in de sectoren detailhandel, verhuur en dienstverlening </w:t>
      </w:r>
      <w:r w:rsidR="00075A97">
        <w:t>zijn dus niet significant vaker spin-off dan respondenten uit andere sectoren</w:t>
      </w:r>
      <w:r>
        <w:t>. Er is onderzoek met meer respondenten nodig om meer inzicht te krijgen in</w:t>
      </w:r>
      <w:r w:rsidR="00C94930">
        <w:t xml:space="preserve"> de invloed van losse sectoren.</w:t>
      </w:r>
    </w:p>
    <w:p w14:paraId="2F810637" w14:textId="5A25CF9A" w:rsidR="00DC1E1A" w:rsidRDefault="002511AC" w:rsidP="00C94930">
      <w:pPr>
        <w:pStyle w:val="Heading1"/>
      </w:pPr>
      <w:bookmarkStart w:id="86" w:name="_Toc316143598"/>
      <w:bookmarkStart w:id="87" w:name="_Toc337655452"/>
      <w:r>
        <w:t>6.9</w:t>
      </w:r>
      <w:r w:rsidR="00C94930">
        <w:t xml:space="preserve"> </w:t>
      </w:r>
      <w:r w:rsidR="00DC1E1A" w:rsidRPr="008F7B32">
        <w:t xml:space="preserve">Sector </w:t>
      </w:r>
      <w:r w:rsidR="00DC1E1A">
        <w:t>ouderbedrijf</w:t>
      </w:r>
      <w:bookmarkEnd w:id="86"/>
      <w:bookmarkEnd w:id="87"/>
    </w:p>
    <w:p w14:paraId="03D83F88" w14:textId="77777777" w:rsidR="00DC1E1A" w:rsidRDefault="00DC1E1A" w:rsidP="00DC1E1A">
      <w:r w:rsidRPr="004B04DC">
        <w:t>Om een inzicht te krijgen in de rol die spin-offs in de regionale economie spelen is het niet alleen nodig om naar de spin-offs zelf te kijken, maar ook naar de bedrijven waaruit zij voortkomen.</w:t>
      </w:r>
      <w:r>
        <w:t xml:space="preserve"> In tabel 6.5 is gekeken in hoeverre productgerelateerdheid samenhangt met skill-gerelateerdheid. De skill-gerelateerdheid wordt aangeven door het feit dat spin-offs qua vaardigheden en netwerk aansluiten op de andere sector. De productgerelateerdheid wordt aan de hand van SBI codes geïndexeerd. Bedrijven met een identieke viercijferige SBI-code bevinden zich in dezelfde sector. Als er drie cijfers overeen komen is er sprake van een sterke gerelateerdheid, en bij twee overeenkomende cijfers van het SBI van gerelateerde sectoren. Als geen van de cijfers overeenkomt is er ook geen sprake van productrelatie volgens deze methode.</w:t>
      </w:r>
    </w:p>
    <w:p w14:paraId="1A09E5D4" w14:textId="77777777" w:rsidR="00DC1E1A" w:rsidRDefault="00DC1E1A" w:rsidP="00DC1E1A">
      <w:pPr>
        <w:ind w:firstLine="720"/>
      </w:pPr>
      <w:r>
        <w:t>Een kanttekening bij deze manier van indexeren is dat een respondent die aan zowel productie als handel doet, maar stopt met productie, zich in handel van het product specialiseert een volledig andere SBI code krijgt toegeschreven. SBI is dus niet volledig representatief voor de activiteiten van een bedrijf. Hoewel hier niet expliciet naar gevraagd is, gaven vijf respondenten tijdens interviews aan nog steeds in dezelfde supply-chain te opereren als bij hun vorige baan, maar zijn op grond van hun SBI-code niet actief in een gerelateerde sector.</w:t>
      </w:r>
    </w:p>
    <w:p w14:paraId="08C2A9F2" w14:textId="77777777" w:rsidR="00DC1E1A" w:rsidRPr="001C2A62" w:rsidRDefault="00DC1E1A" w:rsidP="00DC1E1A">
      <w:pPr>
        <w:rPr>
          <w:sz w:val="20"/>
        </w:rPr>
      </w:pPr>
    </w:p>
    <w:tbl>
      <w:tblPr>
        <w:tblStyle w:val="ColorfulGrid-Accent1"/>
        <w:tblW w:w="7800" w:type="dxa"/>
        <w:tblLook w:val="04A0" w:firstRow="1" w:lastRow="0" w:firstColumn="1" w:lastColumn="0" w:noHBand="0" w:noVBand="1"/>
      </w:tblPr>
      <w:tblGrid>
        <w:gridCol w:w="1180"/>
        <w:gridCol w:w="494"/>
        <w:gridCol w:w="1126"/>
        <w:gridCol w:w="494"/>
        <w:gridCol w:w="1126"/>
        <w:gridCol w:w="482"/>
        <w:gridCol w:w="1098"/>
        <w:gridCol w:w="549"/>
        <w:gridCol w:w="1251"/>
      </w:tblGrid>
      <w:tr w:rsidR="00DC1E1A" w:rsidRPr="008B700A" w14:paraId="660B4A68" w14:textId="77777777" w:rsidTr="003910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shd w:val="clear" w:color="auto" w:fill="365F91" w:themeFill="accent1" w:themeFillShade="BF"/>
            <w:noWrap/>
            <w:hideMark/>
          </w:tcPr>
          <w:p w14:paraId="2EFE57AC" w14:textId="77777777" w:rsidR="00DC1E1A" w:rsidRPr="008B700A" w:rsidRDefault="00DC1E1A" w:rsidP="003910BE">
            <w:pPr>
              <w:rPr>
                <w:rFonts w:ascii="Cambria" w:eastAsia="Times New Roman" w:hAnsi="Cambria" w:cs="Times New Roman"/>
                <w:color w:val="000000"/>
                <w:sz w:val="18"/>
                <w:szCs w:val="18"/>
                <w:lang w:val="en-GB"/>
              </w:rPr>
            </w:pPr>
          </w:p>
        </w:tc>
        <w:tc>
          <w:tcPr>
            <w:tcW w:w="1620" w:type="dxa"/>
            <w:gridSpan w:val="2"/>
            <w:shd w:val="clear" w:color="auto" w:fill="365F91" w:themeFill="accent1" w:themeFillShade="BF"/>
            <w:noWrap/>
            <w:hideMark/>
          </w:tcPr>
          <w:p w14:paraId="6E762225" w14:textId="77777777" w:rsidR="00DC1E1A" w:rsidRPr="008B700A" w:rsidRDefault="00DC1E1A" w:rsidP="00391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8"/>
                <w:szCs w:val="18"/>
                <w:lang w:val="en-GB"/>
              </w:rPr>
            </w:pPr>
            <w:r w:rsidRPr="008B700A">
              <w:rPr>
                <w:rFonts w:ascii="Calibri" w:eastAsia="Times New Roman" w:hAnsi="Calibri" w:cs="Times New Roman"/>
                <w:color w:val="FFFFFF" w:themeColor="background1"/>
                <w:sz w:val="18"/>
                <w:szCs w:val="18"/>
                <w:lang w:val="en-GB"/>
              </w:rPr>
              <w:t>Zelfde sector</w:t>
            </w:r>
          </w:p>
        </w:tc>
        <w:tc>
          <w:tcPr>
            <w:tcW w:w="1620" w:type="dxa"/>
            <w:gridSpan w:val="2"/>
            <w:shd w:val="clear" w:color="auto" w:fill="365F91" w:themeFill="accent1" w:themeFillShade="BF"/>
            <w:noWrap/>
            <w:hideMark/>
          </w:tcPr>
          <w:p w14:paraId="4508DC47" w14:textId="77777777" w:rsidR="00DC1E1A" w:rsidRPr="008B700A" w:rsidRDefault="00DC1E1A" w:rsidP="00391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8"/>
                <w:szCs w:val="18"/>
                <w:lang w:val="en-GB"/>
              </w:rPr>
            </w:pPr>
            <w:r w:rsidRPr="008B700A">
              <w:rPr>
                <w:rFonts w:ascii="Calibri" w:eastAsia="Times New Roman" w:hAnsi="Calibri" w:cs="Times New Roman"/>
                <w:color w:val="FFFFFF" w:themeColor="background1"/>
                <w:sz w:val="18"/>
                <w:szCs w:val="18"/>
                <w:lang w:val="en-GB"/>
              </w:rPr>
              <w:t>Sterk gerelateerd</w:t>
            </w:r>
          </w:p>
        </w:tc>
        <w:tc>
          <w:tcPr>
            <w:tcW w:w="1580" w:type="dxa"/>
            <w:gridSpan w:val="2"/>
            <w:shd w:val="clear" w:color="auto" w:fill="365F91" w:themeFill="accent1" w:themeFillShade="BF"/>
            <w:noWrap/>
            <w:hideMark/>
          </w:tcPr>
          <w:p w14:paraId="7FF76CED" w14:textId="77777777" w:rsidR="00DC1E1A" w:rsidRPr="008B700A" w:rsidRDefault="00DC1E1A" w:rsidP="00391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8"/>
                <w:szCs w:val="18"/>
                <w:lang w:val="en-GB"/>
              </w:rPr>
            </w:pPr>
            <w:r w:rsidRPr="008B700A">
              <w:rPr>
                <w:rFonts w:ascii="Calibri" w:eastAsia="Times New Roman" w:hAnsi="Calibri" w:cs="Times New Roman"/>
                <w:color w:val="FFFFFF" w:themeColor="background1"/>
                <w:sz w:val="18"/>
                <w:szCs w:val="18"/>
                <w:lang w:val="en-GB"/>
              </w:rPr>
              <w:t>Gerelateerd</w:t>
            </w:r>
          </w:p>
        </w:tc>
        <w:tc>
          <w:tcPr>
            <w:tcW w:w="1800" w:type="dxa"/>
            <w:gridSpan w:val="2"/>
            <w:shd w:val="clear" w:color="auto" w:fill="365F91" w:themeFill="accent1" w:themeFillShade="BF"/>
            <w:noWrap/>
            <w:hideMark/>
          </w:tcPr>
          <w:p w14:paraId="521AB7D5" w14:textId="77777777" w:rsidR="00DC1E1A" w:rsidRPr="008B700A" w:rsidRDefault="00DC1E1A" w:rsidP="003910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sz w:val="18"/>
                <w:szCs w:val="18"/>
                <w:lang w:val="en-GB"/>
              </w:rPr>
            </w:pPr>
            <w:r w:rsidRPr="008B700A">
              <w:rPr>
                <w:rFonts w:ascii="Calibri" w:eastAsia="Times New Roman" w:hAnsi="Calibri" w:cs="Times New Roman"/>
                <w:color w:val="FFFFFF" w:themeColor="background1"/>
                <w:sz w:val="18"/>
                <w:szCs w:val="18"/>
                <w:lang w:val="en-GB"/>
              </w:rPr>
              <w:t>Niet gerelateerd</w:t>
            </w:r>
          </w:p>
        </w:tc>
      </w:tr>
      <w:tr w:rsidR="00DC1E1A" w:rsidRPr="008B700A" w14:paraId="30BBF5F4" w14:textId="77777777" w:rsidTr="003910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14:paraId="5A32646D" w14:textId="77777777" w:rsidR="00DC1E1A" w:rsidRPr="008B700A" w:rsidRDefault="00DC1E1A" w:rsidP="003910BE">
            <w:pPr>
              <w:rPr>
                <w:rFonts w:ascii="Cambria" w:eastAsia="Times New Roman" w:hAnsi="Cambria" w:cs="Times New Roman"/>
                <w:color w:val="000000"/>
                <w:sz w:val="18"/>
                <w:szCs w:val="18"/>
                <w:lang w:val="en-GB"/>
              </w:rPr>
            </w:pPr>
          </w:p>
        </w:tc>
        <w:tc>
          <w:tcPr>
            <w:tcW w:w="494" w:type="dxa"/>
            <w:shd w:val="clear" w:color="auto" w:fill="365F91" w:themeFill="accent1" w:themeFillShade="BF"/>
            <w:noWrap/>
            <w:hideMark/>
          </w:tcPr>
          <w:p w14:paraId="5A4391F9" w14:textId="77777777" w:rsidR="00DC1E1A" w:rsidRPr="001B65C8" w:rsidRDefault="00DC1E1A" w:rsidP="003910B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8"/>
                <w:szCs w:val="18"/>
                <w:lang w:val="en-GB"/>
              </w:rPr>
            </w:pPr>
            <w:r w:rsidRPr="001B65C8">
              <w:rPr>
                <w:rFonts w:eastAsia="Times New Roman" w:cs="Times New Roman"/>
                <w:color w:val="FFFFFF" w:themeColor="background1"/>
                <w:sz w:val="18"/>
                <w:szCs w:val="18"/>
                <w:lang w:val="en-GB"/>
              </w:rPr>
              <w:t>abs</w:t>
            </w:r>
          </w:p>
        </w:tc>
        <w:tc>
          <w:tcPr>
            <w:tcW w:w="1126" w:type="dxa"/>
            <w:shd w:val="clear" w:color="auto" w:fill="365F91" w:themeFill="accent1" w:themeFillShade="BF"/>
            <w:noWrap/>
            <w:hideMark/>
          </w:tcPr>
          <w:p w14:paraId="6D43D845" w14:textId="77777777" w:rsidR="00DC1E1A" w:rsidRPr="001B65C8" w:rsidRDefault="00DC1E1A" w:rsidP="003910B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8"/>
                <w:szCs w:val="18"/>
                <w:lang w:val="en-GB"/>
              </w:rPr>
            </w:pPr>
            <w:r w:rsidRPr="001B65C8">
              <w:rPr>
                <w:rFonts w:eastAsia="Times New Roman" w:cs="Times New Roman"/>
                <w:color w:val="FFFFFF" w:themeColor="background1"/>
                <w:sz w:val="18"/>
                <w:szCs w:val="18"/>
                <w:lang w:val="en-GB"/>
              </w:rPr>
              <w:t>%</w:t>
            </w:r>
          </w:p>
        </w:tc>
        <w:tc>
          <w:tcPr>
            <w:tcW w:w="494" w:type="dxa"/>
            <w:shd w:val="clear" w:color="auto" w:fill="365F91" w:themeFill="accent1" w:themeFillShade="BF"/>
            <w:noWrap/>
            <w:hideMark/>
          </w:tcPr>
          <w:p w14:paraId="5ECCAE99" w14:textId="77777777" w:rsidR="00DC1E1A" w:rsidRPr="001B65C8" w:rsidRDefault="00DC1E1A" w:rsidP="003910B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8"/>
                <w:szCs w:val="18"/>
                <w:lang w:val="en-GB"/>
              </w:rPr>
            </w:pPr>
            <w:r w:rsidRPr="001B65C8">
              <w:rPr>
                <w:rFonts w:eastAsia="Times New Roman" w:cs="Times New Roman"/>
                <w:color w:val="FFFFFF" w:themeColor="background1"/>
                <w:sz w:val="18"/>
                <w:szCs w:val="18"/>
                <w:lang w:val="en-GB"/>
              </w:rPr>
              <w:t>abs</w:t>
            </w:r>
          </w:p>
        </w:tc>
        <w:tc>
          <w:tcPr>
            <w:tcW w:w="1126" w:type="dxa"/>
            <w:shd w:val="clear" w:color="auto" w:fill="365F91" w:themeFill="accent1" w:themeFillShade="BF"/>
            <w:noWrap/>
            <w:hideMark/>
          </w:tcPr>
          <w:p w14:paraId="6D531432" w14:textId="77777777" w:rsidR="00DC1E1A" w:rsidRPr="001B65C8" w:rsidRDefault="00DC1E1A" w:rsidP="003910B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8"/>
                <w:szCs w:val="18"/>
                <w:lang w:val="en-GB"/>
              </w:rPr>
            </w:pPr>
            <w:r w:rsidRPr="001B65C8">
              <w:rPr>
                <w:rFonts w:eastAsia="Times New Roman" w:cs="Times New Roman"/>
                <w:color w:val="FFFFFF" w:themeColor="background1"/>
                <w:sz w:val="18"/>
                <w:szCs w:val="18"/>
                <w:lang w:val="en-GB"/>
              </w:rPr>
              <w:t>%</w:t>
            </w:r>
          </w:p>
        </w:tc>
        <w:tc>
          <w:tcPr>
            <w:tcW w:w="482" w:type="dxa"/>
            <w:shd w:val="clear" w:color="auto" w:fill="365F91" w:themeFill="accent1" w:themeFillShade="BF"/>
            <w:noWrap/>
            <w:hideMark/>
          </w:tcPr>
          <w:p w14:paraId="273AC298" w14:textId="77777777" w:rsidR="00DC1E1A" w:rsidRPr="001B65C8" w:rsidRDefault="00DC1E1A" w:rsidP="003910B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8"/>
                <w:szCs w:val="18"/>
                <w:lang w:val="en-GB"/>
              </w:rPr>
            </w:pPr>
            <w:r w:rsidRPr="001B65C8">
              <w:rPr>
                <w:rFonts w:eastAsia="Times New Roman" w:cs="Times New Roman"/>
                <w:color w:val="FFFFFF" w:themeColor="background1"/>
                <w:sz w:val="18"/>
                <w:szCs w:val="18"/>
                <w:lang w:val="en-GB"/>
              </w:rPr>
              <w:t>abs</w:t>
            </w:r>
          </w:p>
        </w:tc>
        <w:tc>
          <w:tcPr>
            <w:tcW w:w="1098" w:type="dxa"/>
            <w:shd w:val="clear" w:color="auto" w:fill="365F91" w:themeFill="accent1" w:themeFillShade="BF"/>
            <w:noWrap/>
            <w:hideMark/>
          </w:tcPr>
          <w:p w14:paraId="14480196" w14:textId="77777777" w:rsidR="00DC1E1A" w:rsidRPr="001B65C8" w:rsidRDefault="00DC1E1A" w:rsidP="003910B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8"/>
                <w:szCs w:val="18"/>
                <w:lang w:val="en-GB"/>
              </w:rPr>
            </w:pPr>
            <w:r w:rsidRPr="001B65C8">
              <w:rPr>
                <w:rFonts w:eastAsia="Times New Roman" w:cs="Times New Roman"/>
                <w:color w:val="FFFFFF" w:themeColor="background1"/>
                <w:sz w:val="18"/>
                <w:szCs w:val="18"/>
                <w:lang w:val="en-GB"/>
              </w:rPr>
              <w:t>%</w:t>
            </w:r>
          </w:p>
        </w:tc>
        <w:tc>
          <w:tcPr>
            <w:tcW w:w="549" w:type="dxa"/>
            <w:shd w:val="clear" w:color="auto" w:fill="365F91" w:themeFill="accent1" w:themeFillShade="BF"/>
            <w:noWrap/>
            <w:hideMark/>
          </w:tcPr>
          <w:p w14:paraId="29718C18" w14:textId="77777777" w:rsidR="00DC1E1A" w:rsidRPr="001B65C8" w:rsidRDefault="00DC1E1A" w:rsidP="003910B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8"/>
                <w:szCs w:val="18"/>
                <w:lang w:val="en-GB"/>
              </w:rPr>
            </w:pPr>
            <w:r w:rsidRPr="001B65C8">
              <w:rPr>
                <w:rFonts w:eastAsia="Times New Roman" w:cs="Times New Roman"/>
                <w:color w:val="FFFFFF" w:themeColor="background1"/>
                <w:sz w:val="18"/>
                <w:szCs w:val="18"/>
                <w:lang w:val="en-GB"/>
              </w:rPr>
              <w:t>abs</w:t>
            </w:r>
          </w:p>
        </w:tc>
        <w:tc>
          <w:tcPr>
            <w:tcW w:w="1251" w:type="dxa"/>
            <w:shd w:val="clear" w:color="auto" w:fill="365F91" w:themeFill="accent1" w:themeFillShade="BF"/>
            <w:noWrap/>
            <w:hideMark/>
          </w:tcPr>
          <w:p w14:paraId="04183BD4" w14:textId="77777777" w:rsidR="00DC1E1A" w:rsidRPr="001B65C8" w:rsidRDefault="00DC1E1A" w:rsidP="003910B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18"/>
                <w:szCs w:val="18"/>
                <w:lang w:val="en-GB"/>
              </w:rPr>
            </w:pPr>
            <w:r w:rsidRPr="001B65C8">
              <w:rPr>
                <w:rFonts w:eastAsia="Times New Roman" w:cs="Times New Roman"/>
                <w:color w:val="FFFFFF" w:themeColor="background1"/>
                <w:sz w:val="18"/>
                <w:szCs w:val="18"/>
                <w:lang w:val="en-GB"/>
              </w:rPr>
              <w:t>%</w:t>
            </w:r>
          </w:p>
        </w:tc>
      </w:tr>
      <w:tr w:rsidR="00DC1E1A" w:rsidRPr="008B700A" w14:paraId="3D7C1FF4" w14:textId="77777777" w:rsidTr="003910BE">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14:paraId="35D7657D" w14:textId="77777777" w:rsidR="00DC1E1A" w:rsidRPr="008B700A" w:rsidRDefault="00DC1E1A" w:rsidP="003910BE">
            <w:pPr>
              <w:rPr>
                <w:rFonts w:ascii="Calibri" w:eastAsia="Times New Roman" w:hAnsi="Calibri" w:cs="Times New Roman"/>
                <w:sz w:val="18"/>
                <w:szCs w:val="18"/>
                <w:lang w:val="en-GB"/>
              </w:rPr>
            </w:pPr>
            <w:r w:rsidRPr="008B700A">
              <w:rPr>
                <w:rFonts w:ascii="Calibri" w:eastAsia="Times New Roman" w:hAnsi="Calibri" w:cs="Times New Roman"/>
                <w:sz w:val="18"/>
                <w:szCs w:val="18"/>
                <w:lang w:val="en-GB"/>
              </w:rPr>
              <w:t>Spin-off</w:t>
            </w:r>
          </w:p>
        </w:tc>
        <w:tc>
          <w:tcPr>
            <w:tcW w:w="494" w:type="dxa"/>
            <w:noWrap/>
            <w:hideMark/>
          </w:tcPr>
          <w:p w14:paraId="235D29B4"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4</w:t>
            </w:r>
          </w:p>
        </w:tc>
        <w:tc>
          <w:tcPr>
            <w:tcW w:w="1126" w:type="dxa"/>
            <w:noWrap/>
            <w:hideMark/>
          </w:tcPr>
          <w:p w14:paraId="4815A832"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80,00%</w:t>
            </w:r>
          </w:p>
        </w:tc>
        <w:tc>
          <w:tcPr>
            <w:tcW w:w="494" w:type="dxa"/>
            <w:noWrap/>
            <w:hideMark/>
          </w:tcPr>
          <w:p w14:paraId="01E25CC9"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2</w:t>
            </w:r>
          </w:p>
        </w:tc>
        <w:tc>
          <w:tcPr>
            <w:tcW w:w="1126" w:type="dxa"/>
            <w:noWrap/>
            <w:hideMark/>
          </w:tcPr>
          <w:p w14:paraId="640E3D98"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66,67%</w:t>
            </w:r>
          </w:p>
        </w:tc>
        <w:tc>
          <w:tcPr>
            <w:tcW w:w="482" w:type="dxa"/>
            <w:noWrap/>
            <w:hideMark/>
          </w:tcPr>
          <w:p w14:paraId="115DE15E"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3</w:t>
            </w:r>
          </w:p>
        </w:tc>
        <w:tc>
          <w:tcPr>
            <w:tcW w:w="1098" w:type="dxa"/>
            <w:noWrap/>
            <w:hideMark/>
          </w:tcPr>
          <w:p w14:paraId="599B81E7"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75,00%</w:t>
            </w:r>
          </w:p>
        </w:tc>
        <w:tc>
          <w:tcPr>
            <w:tcW w:w="549" w:type="dxa"/>
            <w:noWrap/>
            <w:hideMark/>
          </w:tcPr>
          <w:p w14:paraId="3DD361F2"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17</w:t>
            </w:r>
          </w:p>
        </w:tc>
        <w:tc>
          <w:tcPr>
            <w:tcW w:w="1251" w:type="dxa"/>
            <w:noWrap/>
            <w:hideMark/>
          </w:tcPr>
          <w:p w14:paraId="71615162"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62,96%</w:t>
            </w:r>
          </w:p>
        </w:tc>
      </w:tr>
      <w:tr w:rsidR="00DC1E1A" w:rsidRPr="008B700A" w14:paraId="527B0C10" w14:textId="77777777" w:rsidTr="003910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14:paraId="5DE29726" w14:textId="77777777" w:rsidR="00DC1E1A" w:rsidRPr="008B700A" w:rsidRDefault="00DC1E1A" w:rsidP="003910BE">
            <w:pPr>
              <w:rPr>
                <w:rFonts w:ascii="Calibri" w:eastAsia="Times New Roman" w:hAnsi="Calibri" w:cs="Times New Roman"/>
                <w:sz w:val="18"/>
                <w:szCs w:val="18"/>
                <w:lang w:val="en-GB"/>
              </w:rPr>
            </w:pPr>
            <w:r w:rsidRPr="008B700A">
              <w:rPr>
                <w:rFonts w:ascii="Calibri" w:eastAsia="Times New Roman" w:hAnsi="Calibri" w:cs="Times New Roman"/>
                <w:sz w:val="18"/>
                <w:szCs w:val="18"/>
                <w:lang w:val="en-GB"/>
              </w:rPr>
              <w:t>Start-up</w:t>
            </w:r>
          </w:p>
        </w:tc>
        <w:tc>
          <w:tcPr>
            <w:tcW w:w="494" w:type="dxa"/>
            <w:noWrap/>
            <w:hideMark/>
          </w:tcPr>
          <w:p w14:paraId="58CD7FE5" w14:textId="77777777" w:rsidR="00DC1E1A" w:rsidRPr="008B700A" w:rsidRDefault="00DC1E1A" w:rsidP="003910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w:t>
            </w:r>
          </w:p>
        </w:tc>
        <w:tc>
          <w:tcPr>
            <w:tcW w:w="1126" w:type="dxa"/>
            <w:noWrap/>
            <w:hideMark/>
          </w:tcPr>
          <w:p w14:paraId="5EB04E07" w14:textId="77777777" w:rsidR="00DC1E1A" w:rsidRPr="008B700A" w:rsidRDefault="00DC1E1A" w:rsidP="003910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20,00%</w:t>
            </w:r>
          </w:p>
        </w:tc>
        <w:tc>
          <w:tcPr>
            <w:tcW w:w="494" w:type="dxa"/>
            <w:noWrap/>
            <w:hideMark/>
          </w:tcPr>
          <w:p w14:paraId="2CAE5A94" w14:textId="77777777" w:rsidR="00DC1E1A" w:rsidRPr="008B700A" w:rsidRDefault="00DC1E1A" w:rsidP="003910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w:t>
            </w:r>
          </w:p>
        </w:tc>
        <w:tc>
          <w:tcPr>
            <w:tcW w:w="1126" w:type="dxa"/>
            <w:noWrap/>
            <w:hideMark/>
          </w:tcPr>
          <w:p w14:paraId="37D5B928" w14:textId="77777777" w:rsidR="00DC1E1A" w:rsidRPr="008B700A" w:rsidRDefault="00DC1E1A" w:rsidP="003910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33,33%</w:t>
            </w:r>
          </w:p>
        </w:tc>
        <w:tc>
          <w:tcPr>
            <w:tcW w:w="482" w:type="dxa"/>
            <w:noWrap/>
            <w:hideMark/>
          </w:tcPr>
          <w:p w14:paraId="1D2D01C2" w14:textId="77777777" w:rsidR="00DC1E1A" w:rsidRPr="008B700A" w:rsidRDefault="00DC1E1A" w:rsidP="003910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w:t>
            </w:r>
          </w:p>
        </w:tc>
        <w:tc>
          <w:tcPr>
            <w:tcW w:w="1098" w:type="dxa"/>
            <w:noWrap/>
            <w:hideMark/>
          </w:tcPr>
          <w:p w14:paraId="62A93B3A" w14:textId="77777777" w:rsidR="00DC1E1A" w:rsidRPr="008B700A" w:rsidRDefault="00DC1E1A" w:rsidP="003910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25,00%</w:t>
            </w:r>
          </w:p>
        </w:tc>
        <w:tc>
          <w:tcPr>
            <w:tcW w:w="549" w:type="dxa"/>
            <w:noWrap/>
            <w:hideMark/>
          </w:tcPr>
          <w:p w14:paraId="1152126A" w14:textId="77777777" w:rsidR="00DC1E1A" w:rsidRPr="008B700A" w:rsidRDefault="00DC1E1A" w:rsidP="003910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10</w:t>
            </w:r>
          </w:p>
        </w:tc>
        <w:tc>
          <w:tcPr>
            <w:tcW w:w="1251" w:type="dxa"/>
            <w:noWrap/>
            <w:hideMark/>
          </w:tcPr>
          <w:p w14:paraId="14992708" w14:textId="77777777" w:rsidR="00DC1E1A" w:rsidRPr="008B700A" w:rsidRDefault="00DC1E1A" w:rsidP="003910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37,04%</w:t>
            </w:r>
          </w:p>
        </w:tc>
      </w:tr>
      <w:tr w:rsidR="00DC1E1A" w:rsidRPr="008B700A" w14:paraId="038FC29A" w14:textId="77777777" w:rsidTr="003910BE">
        <w:trPr>
          <w:trHeight w:val="300"/>
        </w:trPr>
        <w:tc>
          <w:tcPr>
            <w:cnfStyle w:val="001000000000" w:firstRow="0" w:lastRow="0" w:firstColumn="1" w:lastColumn="0" w:oddVBand="0" w:evenVBand="0" w:oddHBand="0" w:evenHBand="0" w:firstRowFirstColumn="0" w:firstRowLastColumn="0" w:lastRowFirstColumn="0" w:lastRowLastColumn="0"/>
            <w:tcW w:w="1180" w:type="dxa"/>
            <w:noWrap/>
            <w:hideMark/>
          </w:tcPr>
          <w:p w14:paraId="558A9774" w14:textId="77777777" w:rsidR="00DC1E1A" w:rsidRPr="008B700A" w:rsidRDefault="00DC1E1A" w:rsidP="003910BE">
            <w:pPr>
              <w:rPr>
                <w:rFonts w:ascii="Calibri" w:eastAsia="Times New Roman" w:hAnsi="Calibri" w:cs="Times New Roman"/>
                <w:sz w:val="18"/>
                <w:szCs w:val="18"/>
                <w:lang w:val="en-GB"/>
              </w:rPr>
            </w:pPr>
            <w:r w:rsidRPr="008B700A">
              <w:rPr>
                <w:rFonts w:ascii="Calibri" w:eastAsia="Times New Roman" w:hAnsi="Calibri" w:cs="Times New Roman"/>
                <w:sz w:val="18"/>
                <w:szCs w:val="18"/>
                <w:lang w:val="en-GB"/>
              </w:rPr>
              <w:t>Totaal</w:t>
            </w:r>
          </w:p>
        </w:tc>
        <w:tc>
          <w:tcPr>
            <w:tcW w:w="494" w:type="dxa"/>
            <w:noWrap/>
            <w:hideMark/>
          </w:tcPr>
          <w:p w14:paraId="40E12E95"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5</w:t>
            </w:r>
          </w:p>
        </w:tc>
        <w:tc>
          <w:tcPr>
            <w:tcW w:w="1126" w:type="dxa"/>
            <w:noWrap/>
            <w:hideMark/>
          </w:tcPr>
          <w:p w14:paraId="19C4E41F"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100,00%</w:t>
            </w:r>
          </w:p>
        </w:tc>
        <w:tc>
          <w:tcPr>
            <w:tcW w:w="494" w:type="dxa"/>
            <w:noWrap/>
            <w:hideMark/>
          </w:tcPr>
          <w:p w14:paraId="31703282"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3</w:t>
            </w:r>
          </w:p>
        </w:tc>
        <w:tc>
          <w:tcPr>
            <w:tcW w:w="1126" w:type="dxa"/>
            <w:noWrap/>
            <w:hideMark/>
          </w:tcPr>
          <w:p w14:paraId="384E7660"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100,00%</w:t>
            </w:r>
          </w:p>
        </w:tc>
        <w:tc>
          <w:tcPr>
            <w:tcW w:w="482" w:type="dxa"/>
            <w:noWrap/>
            <w:hideMark/>
          </w:tcPr>
          <w:p w14:paraId="35200FDA"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4</w:t>
            </w:r>
          </w:p>
        </w:tc>
        <w:tc>
          <w:tcPr>
            <w:tcW w:w="1098" w:type="dxa"/>
            <w:noWrap/>
            <w:hideMark/>
          </w:tcPr>
          <w:p w14:paraId="2A0CE2E8"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100,00%</w:t>
            </w:r>
          </w:p>
        </w:tc>
        <w:tc>
          <w:tcPr>
            <w:tcW w:w="549" w:type="dxa"/>
            <w:noWrap/>
            <w:hideMark/>
          </w:tcPr>
          <w:p w14:paraId="4B69A769"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27</w:t>
            </w:r>
          </w:p>
        </w:tc>
        <w:tc>
          <w:tcPr>
            <w:tcW w:w="1251" w:type="dxa"/>
            <w:noWrap/>
            <w:hideMark/>
          </w:tcPr>
          <w:p w14:paraId="2F484BC6" w14:textId="77777777" w:rsidR="00DC1E1A" w:rsidRPr="008B700A" w:rsidRDefault="00DC1E1A" w:rsidP="003910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GB"/>
              </w:rPr>
            </w:pPr>
            <w:r w:rsidRPr="008B700A">
              <w:rPr>
                <w:rFonts w:ascii="Calibri" w:eastAsia="Times New Roman" w:hAnsi="Calibri" w:cs="Times New Roman"/>
                <w:color w:val="000000"/>
                <w:sz w:val="18"/>
                <w:szCs w:val="18"/>
                <w:lang w:val="en-GB"/>
              </w:rPr>
              <w:t>100,00%</w:t>
            </w:r>
          </w:p>
        </w:tc>
      </w:tr>
    </w:tbl>
    <w:p w14:paraId="3D292EFD" w14:textId="77777777" w:rsidR="00DC1E1A" w:rsidRPr="008B700A" w:rsidRDefault="00DC1E1A" w:rsidP="00DC1E1A">
      <w:pPr>
        <w:rPr>
          <w:color w:val="4F81BD" w:themeColor="accent1"/>
          <w:sz w:val="20"/>
        </w:rPr>
      </w:pPr>
      <w:r w:rsidRPr="008B700A">
        <w:rPr>
          <w:b/>
          <w:color w:val="4F81BD" w:themeColor="accent1"/>
          <w:sz w:val="20"/>
        </w:rPr>
        <w:t>Tabel 6.5:</w:t>
      </w:r>
      <w:r w:rsidRPr="008B700A">
        <w:rPr>
          <w:color w:val="4F81BD" w:themeColor="accent1"/>
          <w:sz w:val="20"/>
        </w:rPr>
        <w:t xml:space="preserve"> Spin-offs en start-ups en hun relatie met de sector van het ouderbedrijf</w:t>
      </w:r>
    </w:p>
    <w:p w14:paraId="6FFC7DB8" w14:textId="77777777" w:rsidR="00DC1E1A" w:rsidRDefault="00DC1E1A" w:rsidP="00DC1E1A"/>
    <w:p w14:paraId="446FE591" w14:textId="3409C330" w:rsidR="00DC1E1A" w:rsidRDefault="00DC1E1A" w:rsidP="00DC1E1A">
      <w:r>
        <w:t>De gegevens in tabel 6.5 maken duidelijk dat een meerderheid van de bedrijven die zich richten op dezelfde sector, of een sector die daar qua SBI-code aan gerelateerd is, gebruik kan blijven maken van de ervaring die is opgeda</w:t>
      </w:r>
      <w:r w:rsidR="00F91282">
        <w:t>an. Het blijkt echter ook dat 63</w:t>
      </w:r>
      <w:r>
        <w:t>% van de spin-offs is gaan werken in een sector die qua SBI-code volledig ongerelateerd is aan de sector van het ouder bedrijf. Voor Start-ups die niet aangaven voort te bouwen op hun ervaring is dat 71,4%. De link tussen skill-gerelateerdheid en productgerelateerdheid is dus niet duidelijk aanwezig.</w:t>
      </w:r>
    </w:p>
    <w:p w14:paraId="13C6D0E8" w14:textId="7F0237CB" w:rsidR="00DC1E1A" w:rsidRDefault="00DC1E1A" w:rsidP="00DC1E1A">
      <w:pPr>
        <w:ind w:firstLine="720"/>
      </w:pPr>
      <w:r>
        <w:t>Om een statistische toets te kunnen gebruiken zijn identieke, gerelateerde en sterk gerelateerde sector samengevoegd tot één categorie, die tegenover de ongerelateerde sectoren wordt getoetst in een vierkant kruistabel</w:t>
      </w:r>
      <w:r w:rsidR="00914B5B">
        <w:t xml:space="preserve"> (zie bijlage 3.13)</w:t>
      </w:r>
      <w:r>
        <w:t xml:space="preserve">. Dit levert echter nog steeds een vakvulling op die minder 5 bedraagt, zodat Fisher’s exacte toets moet worden toegepast in plaats van de gebruikelijke chi-kwadraat test. Met een significantie van 0,477 duidt de uitslag van deze toets niet op een significant verschil tussen product gerelateerde en skill-gerelateerde sectoren onder de 39 respondenten. </w:t>
      </w:r>
    </w:p>
    <w:p w14:paraId="4D4916F8" w14:textId="77777777" w:rsidR="00DC1E1A" w:rsidRDefault="00DC1E1A" w:rsidP="00DC1E1A"/>
    <w:p w14:paraId="7479D5FF" w14:textId="0A6541D1" w:rsidR="00023968" w:rsidRDefault="00DC1E1A" w:rsidP="00DC1E1A">
      <w:r>
        <w:t>Hoewel er geen aantoonbare relatie tussen overeenkomende SBI-codes en de kans om spin-off te zijn, is het wel interessant om te kijken welke sectoren de meeste start-ups en spin-offs voortbrengen. In tabel 6.6 is te zien uit welke sectoren werknemers vertrokken om een eigen bedrijf te starten, en welke van hen in staat waren om als spin-off gebruik te maken van ervaringen die zijn opgedaan bij de eerdere werkgever.</w:t>
      </w:r>
    </w:p>
    <w:p w14:paraId="23D0554D" w14:textId="77777777" w:rsidR="00DC1E1A" w:rsidRDefault="00023968" w:rsidP="00DC1E1A">
      <w:r>
        <w:br w:type="column"/>
      </w:r>
    </w:p>
    <w:tbl>
      <w:tblPr>
        <w:tblW w:w="8804" w:type="dxa"/>
        <w:tblInd w:w="93" w:type="dxa"/>
        <w:tblLayout w:type="fixed"/>
        <w:tblLook w:val="04A0" w:firstRow="1" w:lastRow="0" w:firstColumn="1" w:lastColumn="0" w:noHBand="0" w:noVBand="1"/>
      </w:tblPr>
      <w:tblGrid>
        <w:gridCol w:w="3066"/>
        <w:gridCol w:w="712"/>
        <w:gridCol w:w="846"/>
        <w:gridCol w:w="712"/>
        <w:gridCol w:w="846"/>
        <w:gridCol w:w="687"/>
        <w:gridCol w:w="846"/>
        <w:gridCol w:w="245"/>
        <w:gridCol w:w="844"/>
      </w:tblGrid>
      <w:tr w:rsidR="00023968" w:rsidRPr="008F01B7" w14:paraId="5D1565EE" w14:textId="77777777" w:rsidTr="00023968">
        <w:trPr>
          <w:trHeight w:val="320"/>
        </w:trPr>
        <w:tc>
          <w:tcPr>
            <w:tcW w:w="3066" w:type="dxa"/>
            <w:tcBorders>
              <w:top w:val="nil"/>
              <w:left w:val="nil"/>
              <w:bottom w:val="single" w:sz="8" w:space="0" w:color="FFFFFF"/>
              <w:right w:val="nil"/>
            </w:tcBorders>
            <w:shd w:val="clear" w:color="000000" w:fill="365F91"/>
            <w:noWrap/>
            <w:hideMark/>
          </w:tcPr>
          <w:p w14:paraId="01138B8E" w14:textId="77777777" w:rsidR="00023968" w:rsidRPr="008F01B7" w:rsidRDefault="00023968" w:rsidP="003910BE">
            <w:pPr>
              <w:spacing w:after="0"/>
              <w:rPr>
                <w:rFonts w:ascii="Cambria" w:eastAsia="Times New Roman" w:hAnsi="Cambria" w:cs="Times New Roman"/>
                <w:color w:val="000000"/>
                <w:lang w:val="en-GB" w:eastAsia="en-US"/>
              </w:rPr>
            </w:pPr>
            <w:r w:rsidRPr="008F01B7">
              <w:rPr>
                <w:rFonts w:ascii="Cambria" w:eastAsia="Times New Roman" w:hAnsi="Cambria" w:cs="Times New Roman"/>
                <w:color w:val="000000"/>
                <w:lang w:val="en-GB" w:eastAsia="en-US"/>
              </w:rPr>
              <w:t> </w:t>
            </w:r>
          </w:p>
        </w:tc>
        <w:tc>
          <w:tcPr>
            <w:tcW w:w="1558" w:type="dxa"/>
            <w:gridSpan w:val="2"/>
            <w:tcBorders>
              <w:top w:val="nil"/>
              <w:left w:val="nil"/>
              <w:bottom w:val="single" w:sz="8" w:space="0" w:color="FFFFFF"/>
              <w:right w:val="nil"/>
            </w:tcBorders>
            <w:shd w:val="clear" w:color="000000" w:fill="365F91"/>
            <w:noWrap/>
            <w:vAlign w:val="center"/>
            <w:hideMark/>
          </w:tcPr>
          <w:p w14:paraId="760625F5" w14:textId="77777777" w:rsidR="00023968" w:rsidRPr="008F01B7" w:rsidRDefault="00023968" w:rsidP="003910BE">
            <w:pPr>
              <w:spacing w:after="0"/>
              <w:rPr>
                <w:rFonts w:ascii="Calibri" w:eastAsia="Times New Roman" w:hAnsi="Calibri" w:cs="Times New Roman"/>
                <w:b/>
                <w:bCs/>
                <w:color w:val="FFFFFF"/>
                <w:sz w:val="18"/>
                <w:szCs w:val="18"/>
                <w:lang w:val="en-GB" w:eastAsia="en-US"/>
              </w:rPr>
            </w:pPr>
            <w:r w:rsidRPr="008F01B7">
              <w:rPr>
                <w:rFonts w:ascii="Calibri" w:eastAsia="Times New Roman" w:hAnsi="Calibri" w:cs="Times New Roman"/>
                <w:b/>
                <w:bCs/>
                <w:color w:val="FFFFFF"/>
                <w:sz w:val="18"/>
                <w:szCs w:val="18"/>
                <w:lang w:val="en-GB" w:eastAsia="en-US"/>
              </w:rPr>
              <w:t>Spin-off</w:t>
            </w:r>
          </w:p>
          <w:p w14:paraId="7CA0897B" w14:textId="091B43D6" w:rsidR="00023968" w:rsidRPr="008F01B7" w:rsidRDefault="00023968" w:rsidP="003910BE">
            <w:pPr>
              <w:spacing w:after="0"/>
              <w:rPr>
                <w:rFonts w:ascii="Cambria" w:eastAsia="Times New Roman" w:hAnsi="Cambria" w:cs="Times New Roman"/>
                <w:color w:val="000000"/>
                <w:lang w:val="en-GB" w:eastAsia="en-US"/>
              </w:rPr>
            </w:pPr>
            <w:r w:rsidRPr="008F01B7">
              <w:rPr>
                <w:rFonts w:ascii="Cambria" w:eastAsia="Times New Roman" w:hAnsi="Cambria" w:cs="Times New Roman"/>
                <w:color w:val="000000"/>
                <w:lang w:val="en-GB" w:eastAsia="en-US"/>
              </w:rPr>
              <w:t> </w:t>
            </w:r>
          </w:p>
        </w:tc>
        <w:tc>
          <w:tcPr>
            <w:tcW w:w="1558" w:type="dxa"/>
            <w:gridSpan w:val="2"/>
            <w:tcBorders>
              <w:top w:val="nil"/>
              <w:left w:val="nil"/>
              <w:bottom w:val="single" w:sz="8" w:space="0" w:color="FFFFFF"/>
              <w:right w:val="nil"/>
            </w:tcBorders>
            <w:shd w:val="clear" w:color="000000" w:fill="365F91"/>
            <w:noWrap/>
            <w:vAlign w:val="center"/>
            <w:hideMark/>
          </w:tcPr>
          <w:p w14:paraId="72FDBDA9" w14:textId="77777777" w:rsidR="00023968" w:rsidRPr="008F01B7" w:rsidRDefault="00023968" w:rsidP="003910BE">
            <w:pPr>
              <w:spacing w:after="0"/>
              <w:rPr>
                <w:rFonts w:ascii="Calibri" w:eastAsia="Times New Roman" w:hAnsi="Calibri" w:cs="Times New Roman"/>
                <w:b/>
                <w:bCs/>
                <w:color w:val="FFFFFF"/>
                <w:sz w:val="18"/>
                <w:szCs w:val="18"/>
                <w:lang w:val="en-GB" w:eastAsia="en-US"/>
              </w:rPr>
            </w:pPr>
            <w:r w:rsidRPr="008F01B7">
              <w:rPr>
                <w:rFonts w:ascii="Calibri" w:eastAsia="Times New Roman" w:hAnsi="Calibri" w:cs="Times New Roman"/>
                <w:b/>
                <w:bCs/>
                <w:color w:val="FFFFFF"/>
                <w:sz w:val="18"/>
                <w:szCs w:val="18"/>
                <w:lang w:val="en-GB" w:eastAsia="en-US"/>
              </w:rPr>
              <w:t>Start-up</w:t>
            </w:r>
          </w:p>
          <w:p w14:paraId="37C4EA47" w14:textId="47BB2EC3" w:rsidR="00023968" w:rsidRPr="008F01B7" w:rsidRDefault="00023968" w:rsidP="003910BE">
            <w:pPr>
              <w:spacing w:after="0"/>
              <w:rPr>
                <w:rFonts w:ascii="Cambria" w:eastAsia="Times New Roman" w:hAnsi="Cambria" w:cs="Times New Roman"/>
                <w:color w:val="000000"/>
                <w:lang w:val="en-GB" w:eastAsia="en-US"/>
              </w:rPr>
            </w:pPr>
            <w:r w:rsidRPr="008F01B7">
              <w:rPr>
                <w:rFonts w:ascii="Cambria" w:eastAsia="Times New Roman" w:hAnsi="Cambria" w:cs="Times New Roman"/>
                <w:color w:val="000000"/>
                <w:lang w:val="en-GB" w:eastAsia="en-US"/>
              </w:rPr>
              <w:t> </w:t>
            </w:r>
          </w:p>
        </w:tc>
        <w:tc>
          <w:tcPr>
            <w:tcW w:w="1533" w:type="dxa"/>
            <w:gridSpan w:val="2"/>
            <w:tcBorders>
              <w:top w:val="nil"/>
              <w:left w:val="nil"/>
              <w:bottom w:val="single" w:sz="8" w:space="0" w:color="FFFFFF"/>
              <w:right w:val="nil"/>
            </w:tcBorders>
            <w:shd w:val="clear" w:color="000000" w:fill="365F91"/>
            <w:noWrap/>
            <w:vAlign w:val="center"/>
            <w:hideMark/>
          </w:tcPr>
          <w:p w14:paraId="5DC581E6" w14:textId="77777777" w:rsidR="00023968" w:rsidRPr="008F01B7" w:rsidRDefault="00023968" w:rsidP="003910BE">
            <w:pPr>
              <w:spacing w:after="0"/>
              <w:rPr>
                <w:rFonts w:ascii="Calibri" w:eastAsia="Times New Roman" w:hAnsi="Calibri" w:cs="Times New Roman"/>
                <w:b/>
                <w:bCs/>
                <w:color w:val="FFFFFF"/>
                <w:sz w:val="18"/>
                <w:szCs w:val="18"/>
                <w:lang w:val="en-GB" w:eastAsia="en-US"/>
              </w:rPr>
            </w:pPr>
            <w:r w:rsidRPr="008F01B7">
              <w:rPr>
                <w:rFonts w:ascii="Calibri" w:eastAsia="Times New Roman" w:hAnsi="Calibri" w:cs="Times New Roman"/>
                <w:b/>
                <w:bCs/>
                <w:color w:val="FFFFFF"/>
                <w:sz w:val="18"/>
                <w:szCs w:val="18"/>
                <w:lang w:val="en-GB" w:eastAsia="en-US"/>
              </w:rPr>
              <w:t>Totaal</w:t>
            </w:r>
          </w:p>
          <w:p w14:paraId="2D1278A0" w14:textId="36866B0C" w:rsidR="00023968" w:rsidRPr="008F01B7" w:rsidRDefault="00023968" w:rsidP="003910BE">
            <w:pPr>
              <w:spacing w:after="0"/>
              <w:rPr>
                <w:rFonts w:ascii="Cambria" w:eastAsia="Times New Roman" w:hAnsi="Cambria" w:cs="Times New Roman"/>
                <w:color w:val="000000"/>
                <w:lang w:val="en-GB" w:eastAsia="en-US"/>
              </w:rPr>
            </w:pPr>
            <w:r w:rsidRPr="008F01B7">
              <w:rPr>
                <w:rFonts w:ascii="Cambria" w:eastAsia="Times New Roman" w:hAnsi="Cambria" w:cs="Times New Roman"/>
                <w:color w:val="000000"/>
                <w:lang w:val="en-GB" w:eastAsia="en-US"/>
              </w:rPr>
              <w:t> </w:t>
            </w:r>
          </w:p>
        </w:tc>
        <w:tc>
          <w:tcPr>
            <w:tcW w:w="245" w:type="dxa"/>
            <w:tcBorders>
              <w:top w:val="nil"/>
              <w:left w:val="nil"/>
              <w:bottom w:val="nil"/>
              <w:right w:val="nil"/>
            </w:tcBorders>
            <w:shd w:val="clear" w:color="auto" w:fill="auto"/>
            <w:noWrap/>
            <w:vAlign w:val="bottom"/>
            <w:hideMark/>
          </w:tcPr>
          <w:p w14:paraId="38AA4BAC" w14:textId="77777777" w:rsidR="00023968" w:rsidRPr="008F01B7" w:rsidRDefault="00023968"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365F91"/>
            <w:noWrap/>
            <w:hideMark/>
          </w:tcPr>
          <w:p w14:paraId="7825CC23" w14:textId="699AB668" w:rsidR="00023968" w:rsidRPr="008F01B7" w:rsidRDefault="00023968" w:rsidP="003910BE">
            <w:pPr>
              <w:spacing w:after="0"/>
              <w:rPr>
                <w:rFonts w:ascii="Calibri" w:eastAsia="Times New Roman" w:hAnsi="Calibri" w:cs="Times New Roman"/>
                <w:b/>
                <w:bCs/>
                <w:color w:val="FFFFFF"/>
                <w:sz w:val="18"/>
                <w:szCs w:val="18"/>
                <w:lang w:val="en-GB" w:eastAsia="en-US"/>
              </w:rPr>
            </w:pPr>
            <w:r>
              <w:rPr>
                <w:rFonts w:ascii="Calibri" w:eastAsia="Times New Roman" w:hAnsi="Calibri" w:cs="Times New Roman"/>
                <w:b/>
                <w:bCs/>
                <w:color w:val="FFFFFF"/>
                <w:sz w:val="18"/>
                <w:szCs w:val="18"/>
                <w:lang w:val="en-GB" w:eastAsia="en-US"/>
              </w:rPr>
              <w:t>Totaal regio 1998</w:t>
            </w:r>
          </w:p>
        </w:tc>
      </w:tr>
      <w:tr w:rsidR="00DC1E1A" w:rsidRPr="008F01B7" w14:paraId="0D831B3C" w14:textId="77777777" w:rsidTr="00023968">
        <w:trPr>
          <w:trHeight w:val="320"/>
        </w:trPr>
        <w:tc>
          <w:tcPr>
            <w:tcW w:w="3066" w:type="dxa"/>
            <w:tcBorders>
              <w:top w:val="nil"/>
              <w:left w:val="nil"/>
              <w:bottom w:val="single" w:sz="8" w:space="0" w:color="FFFFFF"/>
              <w:right w:val="nil"/>
            </w:tcBorders>
            <w:shd w:val="clear" w:color="000000" w:fill="365F91"/>
            <w:noWrap/>
            <w:hideMark/>
          </w:tcPr>
          <w:p w14:paraId="18F4482F" w14:textId="77777777" w:rsidR="00DC1E1A" w:rsidRPr="008F01B7" w:rsidRDefault="00DC1E1A" w:rsidP="003910BE">
            <w:pPr>
              <w:spacing w:after="0"/>
              <w:rPr>
                <w:rFonts w:ascii="Cambria" w:eastAsia="Times New Roman" w:hAnsi="Cambria" w:cs="Times New Roman"/>
                <w:color w:val="000000"/>
                <w:lang w:val="en-GB" w:eastAsia="en-US"/>
              </w:rPr>
            </w:pPr>
            <w:r w:rsidRPr="008F01B7">
              <w:rPr>
                <w:rFonts w:ascii="Cambria" w:eastAsia="Times New Roman" w:hAnsi="Cambria" w:cs="Times New Roman"/>
                <w:color w:val="000000"/>
                <w:lang w:val="en-GB" w:eastAsia="en-US"/>
              </w:rPr>
              <w:t> </w:t>
            </w:r>
          </w:p>
        </w:tc>
        <w:tc>
          <w:tcPr>
            <w:tcW w:w="712" w:type="dxa"/>
            <w:tcBorders>
              <w:top w:val="nil"/>
              <w:left w:val="nil"/>
              <w:bottom w:val="single" w:sz="8" w:space="0" w:color="FFFFFF"/>
              <w:right w:val="nil"/>
            </w:tcBorders>
            <w:shd w:val="clear" w:color="000000" w:fill="365F91"/>
            <w:noWrap/>
            <w:vAlign w:val="center"/>
            <w:hideMark/>
          </w:tcPr>
          <w:p w14:paraId="6E81FC0D" w14:textId="77777777" w:rsidR="00DC1E1A" w:rsidRPr="008F01B7" w:rsidRDefault="00DC1E1A" w:rsidP="003910BE">
            <w:pPr>
              <w:spacing w:after="0"/>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sbs</w:t>
            </w:r>
          </w:p>
        </w:tc>
        <w:tc>
          <w:tcPr>
            <w:tcW w:w="846" w:type="dxa"/>
            <w:tcBorders>
              <w:top w:val="nil"/>
              <w:left w:val="nil"/>
              <w:bottom w:val="single" w:sz="8" w:space="0" w:color="FFFFFF"/>
              <w:right w:val="nil"/>
            </w:tcBorders>
            <w:shd w:val="clear" w:color="000000" w:fill="365F91"/>
            <w:noWrap/>
            <w:vAlign w:val="center"/>
            <w:hideMark/>
          </w:tcPr>
          <w:p w14:paraId="0BAF7BC8" w14:textId="77777777" w:rsidR="00DC1E1A" w:rsidRPr="008F01B7" w:rsidRDefault="00DC1E1A" w:rsidP="003910BE">
            <w:pPr>
              <w:spacing w:after="0"/>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w:t>
            </w:r>
          </w:p>
        </w:tc>
        <w:tc>
          <w:tcPr>
            <w:tcW w:w="712" w:type="dxa"/>
            <w:tcBorders>
              <w:top w:val="nil"/>
              <w:left w:val="nil"/>
              <w:bottom w:val="single" w:sz="8" w:space="0" w:color="FFFFFF"/>
              <w:right w:val="nil"/>
            </w:tcBorders>
            <w:shd w:val="clear" w:color="000000" w:fill="365F91"/>
            <w:noWrap/>
            <w:vAlign w:val="center"/>
            <w:hideMark/>
          </w:tcPr>
          <w:p w14:paraId="662C6146" w14:textId="77777777" w:rsidR="00DC1E1A" w:rsidRPr="008F01B7" w:rsidRDefault="00DC1E1A" w:rsidP="003910BE">
            <w:pPr>
              <w:spacing w:after="0"/>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abs</w:t>
            </w:r>
          </w:p>
        </w:tc>
        <w:tc>
          <w:tcPr>
            <w:tcW w:w="846" w:type="dxa"/>
            <w:tcBorders>
              <w:top w:val="nil"/>
              <w:left w:val="nil"/>
              <w:bottom w:val="single" w:sz="8" w:space="0" w:color="FFFFFF"/>
              <w:right w:val="nil"/>
            </w:tcBorders>
            <w:shd w:val="clear" w:color="000000" w:fill="365F91"/>
            <w:noWrap/>
            <w:vAlign w:val="center"/>
            <w:hideMark/>
          </w:tcPr>
          <w:p w14:paraId="4F9CAE6B" w14:textId="77777777" w:rsidR="00DC1E1A" w:rsidRPr="008F01B7" w:rsidRDefault="00DC1E1A" w:rsidP="003910BE">
            <w:pPr>
              <w:spacing w:after="0"/>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w:t>
            </w:r>
          </w:p>
        </w:tc>
        <w:tc>
          <w:tcPr>
            <w:tcW w:w="687" w:type="dxa"/>
            <w:tcBorders>
              <w:top w:val="nil"/>
              <w:left w:val="nil"/>
              <w:bottom w:val="single" w:sz="8" w:space="0" w:color="FFFFFF"/>
              <w:right w:val="nil"/>
            </w:tcBorders>
            <w:shd w:val="clear" w:color="000000" w:fill="365F91"/>
            <w:noWrap/>
            <w:vAlign w:val="center"/>
            <w:hideMark/>
          </w:tcPr>
          <w:p w14:paraId="48DC1F9A" w14:textId="77777777" w:rsidR="00DC1E1A" w:rsidRPr="008F01B7" w:rsidRDefault="00DC1E1A" w:rsidP="003910BE">
            <w:pPr>
              <w:spacing w:after="0"/>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abs</w:t>
            </w:r>
          </w:p>
        </w:tc>
        <w:tc>
          <w:tcPr>
            <w:tcW w:w="846" w:type="dxa"/>
            <w:tcBorders>
              <w:top w:val="nil"/>
              <w:left w:val="nil"/>
              <w:bottom w:val="single" w:sz="8" w:space="0" w:color="FFFFFF"/>
              <w:right w:val="nil"/>
            </w:tcBorders>
            <w:shd w:val="clear" w:color="000000" w:fill="365F91"/>
            <w:noWrap/>
            <w:vAlign w:val="center"/>
            <w:hideMark/>
          </w:tcPr>
          <w:p w14:paraId="3FB543E4" w14:textId="77777777" w:rsidR="00DC1E1A" w:rsidRPr="008F01B7" w:rsidRDefault="00DC1E1A" w:rsidP="003910BE">
            <w:pPr>
              <w:spacing w:after="0"/>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w:t>
            </w:r>
          </w:p>
        </w:tc>
        <w:tc>
          <w:tcPr>
            <w:tcW w:w="245" w:type="dxa"/>
            <w:tcBorders>
              <w:top w:val="nil"/>
              <w:left w:val="nil"/>
              <w:bottom w:val="nil"/>
              <w:right w:val="nil"/>
            </w:tcBorders>
            <w:shd w:val="clear" w:color="auto" w:fill="auto"/>
            <w:noWrap/>
            <w:vAlign w:val="bottom"/>
            <w:hideMark/>
          </w:tcPr>
          <w:p w14:paraId="27FA5FB7"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365F91"/>
            <w:noWrap/>
            <w:vAlign w:val="center"/>
            <w:hideMark/>
          </w:tcPr>
          <w:p w14:paraId="4B36B9CF" w14:textId="77777777" w:rsidR="00DC1E1A" w:rsidRPr="008F01B7" w:rsidRDefault="00DC1E1A" w:rsidP="003910BE">
            <w:pPr>
              <w:spacing w:after="0"/>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w:t>
            </w:r>
          </w:p>
        </w:tc>
      </w:tr>
      <w:tr w:rsidR="00DC1E1A" w:rsidRPr="008F01B7" w14:paraId="5DAD0E73"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79B888E3"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Bouw</w:t>
            </w:r>
          </w:p>
        </w:tc>
        <w:tc>
          <w:tcPr>
            <w:tcW w:w="712" w:type="dxa"/>
            <w:tcBorders>
              <w:top w:val="nil"/>
              <w:left w:val="nil"/>
              <w:bottom w:val="single" w:sz="8" w:space="0" w:color="FFFFFF"/>
              <w:right w:val="nil"/>
            </w:tcBorders>
            <w:shd w:val="clear" w:color="000000" w:fill="DBE5F1"/>
            <w:noWrap/>
            <w:vAlign w:val="center"/>
            <w:hideMark/>
          </w:tcPr>
          <w:p w14:paraId="3768603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3</w:t>
            </w:r>
          </w:p>
        </w:tc>
        <w:tc>
          <w:tcPr>
            <w:tcW w:w="846" w:type="dxa"/>
            <w:tcBorders>
              <w:top w:val="nil"/>
              <w:left w:val="nil"/>
              <w:bottom w:val="single" w:sz="8" w:space="0" w:color="FFFFFF"/>
              <w:right w:val="nil"/>
            </w:tcBorders>
            <w:shd w:val="clear" w:color="000000" w:fill="DBE5F1"/>
            <w:noWrap/>
            <w:vAlign w:val="center"/>
            <w:hideMark/>
          </w:tcPr>
          <w:p w14:paraId="3A408356"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12,00%</w:t>
            </w:r>
          </w:p>
        </w:tc>
        <w:tc>
          <w:tcPr>
            <w:tcW w:w="712" w:type="dxa"/>
            <w:tcBorders>
              <w:top w:val="nil"/>
              <w:left w:val="nil"/>
              <w:bottom w:val="single" w:sz="8" w:space="0" w:color="FFFFFF"/>
              <w:right w:val="nil"/>
            </w:tcBorders>
            <w:shd w:val="clear" w:color="000000" w:fill="DBE5F1"/>
            <w:noWrap/>
            <w:vAlign w:val="center"/>
            <w:hideMark/>
          </w:tcPr>
          <w:p w14:paraId="57FB5428"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w:t>
            </w:r>
          </w:p>
        </w:tc>
        <w:tc>
          <w:tcPr>
            <w:tcW w:w="846" w:type="dxa"/>
            <w:tcBorders>
              <w:top w:val="nil"/>
              <w:left w:val="nil"/>
              <w:bottom w:val="single" w:sz="8" w:space="0" w:color="FFFFFF"/>
              <w:right w:val="nil"/>
            </w:tcBorders>
            <w:shd w:val="clear" w:color="000000" w:fill="DBE5F1"/>
            <w:noWrap/>
            <w:vAlign w:val="center"/>
            <w:hideMark/>
          </w:tcPr>
          <w:p w14:paraId="5FD85B2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14,29%</w:t>
            </w:r>
          </w:p>
        </w:tc>
        <w:tc>
          <w:tcPr>
            <w:tcW w:w="687" w:type="dxa"/>
            <w:tcBorders>
              <w:top w:val="nil"/>
              <w:left w:val="nil"/>
              <w:bottom w:val="single" w:sz="8" w:space="0" w:color="FFFFFF"/>
              <w:right w:val="nil"/>
            </w:tcBorders>
            <w:shd w:val="clear" w:color="000000" w:fill="DBE5F1"/>
            <w:noWrap/>
            <w:vAlign w:val="center"/>
            <w:hideMark/>
          </w:tcPr>
          <w:p w14:paraId="0A2E7C42"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5</w:t>
            </w:r>
          </w:p>
        </w:tc>
        <w:tc>
          <w:tcPr>
            <w:tcW w:w="846" w:type="dxa"/>
            <w:tcBorders>
              <w:top w:val="nil"/>
              <w:left w:val="nil"/>
              <w:bottom w:val="single" w:sz="8" w:space="0" w:color="FFFFFF"/>
              <w:right w:val="nil"/>
            </w:tcBorders>
            <w:shd w:val="clear" w:color="000000" w:fill="DBE5F1"/>
            <w:noWrap/>
            <w:vAlign w:val="center"/>
            <w:hideMark/>
          </w:tcPr>
          <w:p w14:paraId="3461983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12,82%</w:t>
            </w:r>
          </w:p>
        </w:tc>
        <w:tc>
          <w:tcPr>
            <w:tcW w:w="245" w:type="dxa"/>
            <w:tcBorders>
              <w:top w:val="nil"/>
              <w:left w:val="nil"/>
              <w:bottom w:val="nil"/>
              <w:right w:val="nil"/>
            </w:tcBorders>
            <w:shd w:val="clear" w:color="auto" w:fill="auto"/>
            <w:noWrap/>
            <w:vAlign w:val="bottom"/>
            <w:hideMark/>
          </w:tcPr>
          <w:p w14:paraId="1F193E37"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DBE5F1"/>
            <w:noWrap/>
            <w:vAlign w:val="center"/>
            <w:hideMark/>
          </w:tcPr>
          <w:p w14:paraId="26747B5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11,87%</w:t>
            </w:r>
          </w:p>
        </w:tc>
      </w:tr>
      <w:tr w:rsidR="00DC1E1A" w:rsidRPr="008F01B7" w14:paraId="7611FAC1"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53103B0D"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Financiële instellingen</w:t>
            </w:r>
          </w:p>
        </w:tc>
        <w:tc>
          <w:tcPr>
            <w:tcW w:w="712" w:type="dxa"/>
            <w:tcBorders>
              <w:top w:val="nil"/>
              <w:left w:val="nil"/>
              <w:bottom w:val="single" w:sz="8" w:space="0" w:color="FFFFFF"/>
              <w:right w:val="nil"/>
            </w:tcBorders>
            <w:shd w:val="clear" w:color="000000" w:fill="A7BFDE"/>
            <w:noWrap/>
            <w:vAlign w:val="center"/>
            <w:hideMark/>
          </w:tcPr>
          <w:p w14:paraId="30B6436E"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w:t>
            </w:r>
          </w:p>
        </w:tc>
        <w:tc>
          <w:tcPr>
            <w:tcW w:w="846" w:type="dxa"/>
            <w:tcBorders>
              <w:top w:val="nil"/>
              <w:left w:val="nil"/>
              <w:bottom w:val="single" w:sz="8" w:space="0" w:color="FFFFFF"/>
              <w:right w:val="nil"/>
            </w:tcBorders>
            <w:shd w:val="clear" w:color="000000" w:fill="A7BFDE"/>
            <w:noWrap/>
            <w:vAlign w:val="center"/>
            <w:hideMark/>
          </w:tcPr>
          <w:p w14:paraId="5B45A76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0,00%</w:t>
            </w:r>
          </w:p>
        </w:tc>
        <w:tc>
          <w:tcPr>
            <w:tcW w:w="712" w:type="dxa"/>
            <w:tcBorders>
              <w:top w:val="nil"/>
              <w:left w:val="nil"/>
              <w:bottom w:val="single" w:sz="8" w:space="0" w:color="FFFFFF"/>
              <w:right w:val="nil"/>
            </w:tcBorders>
            <w:shd w:val="clear" w:color="000000" w:fill="A7BFDE"/>
            <w:noWrap/>
            <w:vAlign w:val="center"/>
            <w:hideMark/>
          </w:tcPr>
          <w:p w14:paraId="1A340F75"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5A41CAB4"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7,14%</w:t>
            </w:r>
          </w:p>
        </w:tc>
        <w:tc>
          <w:tcPr>
            <w:tcW w:w="687" w:type="dxa"/>
            <w:tcBorders>
              <w:top w:val="nil"/>
              <w:left w:val="nil"/>
              <w:bottom w:val="single" w:sz="8" w:space="0" w:color="FFFFFF"/>
              <w:right w:val="nil"/>
            </w:tcBorders>
            <w:shd w:val="clear" w:color="000000" w:fill="A7BFDE"/>
            <w:noWrap/>
            <w:vAlign w:val="center"/>
            <w:hideMark/>
          </w:tcPr>
          <w:p w14:paraId="290A3502"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07A04A7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2,56%</w:t>
            </w:r>
          </w:p>
        </w:tc>
        <w:tc>
          <w:tcPr>
            <w:tcW w:w="245" w:type="dxa"/>
            <w:tcBorders>
              <w:top w:val="nil"/>
              <w:left w:val="nil"/>
              <w:bottom w:val="nil"/>
              <w:right w:val="nil"/>
            </w:tcBorders>
            <w:shd w:val="clear" w:color="auto" w:fill="auto"/>
            <w:noWrap/>
            <w:vAlign w:val="bottom"/>
            <w:hideMark/>
          </w:tcPr>
          <w:p w14:paraId="2B56A987"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A7BFDE"/>
            <w:noWrap/>
            <w:vAlign w:val="center"/>
            <w:hideMark/>
          </w:tcPr>
          <w:p w14:paraId="36B26D25"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1,09%</w:t>
            </w:r>
          </w:p>
        </w:tc>
      </w:tr>
      <w:tr w:rsidR="00DC1E1A" w:rsidRPr="008F01B7" w14:paraId="37127CE1"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2ACDC7E8"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Handel</w:t>
            </w:r>
          </w:p>
        </w:tc>
        <w:tc>
          <w:tcPr>
            <w:tcW w:w="712" w:type="dxa"/>
            <w:tcBorders>
              <w:top w:val="nil"/>
              <w:left w:val="nil"/>
              <w:bottom w:val="single" w:sz="8" w:space="0" w:color="FFFFFF"/>
              <w:right w:val="nil"/>
            </w:tcBorders>
            <w:shd w:val="clear" w:color="000000" w:fill="DBE5F1"/>
            <w:noWrap/>
            <w:vAlign w:val="center"/>
            <w:hideMark/>
          </w:tcPr>
          <w:p w14:paraId="337AEA9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w:t>
            </w:r>
          </w:p>
        </w:tc>
        <w:tc>
          <w:tcPr>
            <w:tcW w:w="846" w:type="dxa"/>
            <w:tcBorders>
              <w:top w:val="nil"/>
              <w:left w:val="nil"/>
              <w:bottom w:val="single" w:sz="8" w:space="0" w:color="FFFFFF"/>
              <w:right w:val="nil"/>
            </w:tcBorders>
            <w:shd w:val="clear" w:color="000000" w:fill="DBE5F1"/>
            <w:noWrap/>
            <w:vAlign w:val="center"/>
            <w:hideMark/>
          </w:tcPr>
          <w:p w14:paraId="0D87995A"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16,00%</w:t>
            </w:r>
          </w:p>
        </w:tc>
        <w:tc>
          <w:tcPr>
            <w:tcW w:w="712" w:type="dxa"/>
            <w:tcBorders>
              <w:top w:val="nil"/>
              <w:left w:val="nil"/>
              <w:bottom w:val="single" w:sz="8" w:space="0" w:color="FFFFFF"/>
              <w:right w:val="nil"/>
            </w:tcBorders>
            <w:shd w:val="clear" w:color="000000" w:fill="DBE5F1"/>
            <w:noWrap/>
            <w:vAlign w:val="center"/>
            <w:hideMark/>
          </w:tcPr>
          <w:p w14:paraId="2612BF0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38374543"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7,14%</w:t>
            </w:r>
          </w:p>
        </w:tc>
        <w:tc>
          <w:tcPr>
            <w:tcW w:w="687" w:type="dxa"/>
            <w:tcBorders>
              <w:top w:val="nil"/>
              <w:left w:val="nil"/>
              <w:bottom w:val="single" w:sz="8" w:space="0" w:color="FFFFFF"/>
              <w:right w:val="nil"/>
            </w:tcBorders>
            <w:shd w:val="clear" w:color="000000" w:fill="DBE5F1"/>
            <w:noWrap/>
            <w:vAlign w:val="center"/>
            <w:hideMark/>
          </w:tcPr>
          <w:p w14:paraId="3B68ED63"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5</w:t>
            </w:r>
          </w:p>
        </w:tc>
        <w:tc>
          <w:tcPr>
            <w:tcW w:w="846" w:type="dxa"/>
            <w:tcBorders>
              <w:top w:val="nil"/>
              <w:left w:val="nil"/>
              <w:bottom w:val="single" w:sz="8" w:space="0" w:color="FFFFFF"/>
              <w:right w:val="nil"/>
            </w:tcBorders>
            <w:shd w:val="clear" w:color="000000" w:fill="DBE5F1"/>
            <w:noWrap/>
            <w:vAlign w:val="center"/>
            <w:hideMark/>
          </w:tcPr>
          <w:p w14:paraId="4367C4D5"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12,82%</w:t>
            </w:r>
          </w:p>
        </w:tc>
        <w:tc>
          <w:tcPr>
            <w:tcW w:w="245" w:type="dxa"/>
            <w:tcBorders>
              <w:top w:val="nil"/>
              <w:left w:val="nil"/>
              <w:bottom w:val="nil"/>
              <w:right w:val="nil"/>
            </w:tcBorders>
            <w:shd w:val="clear" w:color="auto" w:fill="auto"/>
            <w:noWrap/>
            <w:vAlign w:val="bottom"/>
            <w:hideMark/>
          </w:tcPr>
          <w:p w14:paraId="7EF6FF5C"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DBE5F1"/>
            <w:noWrap/>
            <w:vAlign w:val="center"/>
            <w:hideMark/>
          </w:tcPr>
          <w:p w14:paraId="64AF6069"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18,54%</w:t>
            </w:r>
          </w:p>
        </w:tc>
      </w:tr>
      <w:tr w:rsidR="00DC1E1A" w:rsidRPr="008F01B7" w14:paraId="4147DFE9"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5B4D8A52"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Horeca</w:t>
            </w:r>
          </w:p>
        </w:tc>
        <w:tc>
          <w:tcPr>
            <w:tcW w:w="712" w:type="dxa"/>
            <w:tcBorders>
              <w:top w:val="nil"/>
              <w:left w:val="nil"/>
              <w:bottom w:val="single" w:sz="8" w:space="0" w:color="FFFFFF"/>
              <w:right w:val="nil"/>
            </w:tcBorders>
            <w:shd w:val="clear" w:color="000000" w:fill="A7BFDE"/>
            <w:noWrap/>
            <w:vAlign w:val="center"/>
            <w:hideMark/>
          </w:tcPr>
          <w:p w14:paraId="48C049AD"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13D73C2E"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4,00%</w:t>
            </w:r>
          </w:p>
        </w:tc>
        <w:tc>
          <w:tcPr>
            <w:tcW w:w="712" w:type="dxa"/>
            <w:tcBorders>
              <w:top w:val="nil"/>
              <w:left w:val="nil"/>
              <w:bottom w:val="single" w:sz="8" w:space="0" w:color="FFFFFF"/>
              <w:right w:val="nil"/>
            </w:tcBorders>
            <w:shd w:val="clear" w:color="000000" w:fill="A7BFDE"/>
            <w:noWrap/>
            <w:vAlign w:val="center"/>
            <w:hideMark/>
          </w:tcPr>
          <w:p w14:paraId="432C6B6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w:t>
            </w:r>
          </w:p>
        </w:tc>
        <w:tc>
          <w:tcPr>
            <w:tcW w:w="846" w:type="dxa"/>
            <w:tcBorders>
              <w:top w:val="nil"/>
              <w:left w:val="nil"/>
              <w:bottom w:val="single" w:sz="8" w:space="0" w:color="FFFFFF"/>
              <w:right w:val="nil"/>
            </w:tcBorders>
            <w:shd w:val="clear" w:color="000000" w:fill="A7BFDE"/>
            <w:noWrap/>
            <w:vAlign w:val="center"/>
            <w:hideMark/>
          </w:tcPr>
          <w:p w14:paraId="1A204AB2"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0,00%</w:t>
            </w:r>
          </w:p>
        </w:tc>
        <w:tc>
          <w:tcPr>
            <w:tcW w:w="687" w:type="dxa"/>
            <w:tcBorders>
              <w:top w:val="nil"/>
              <w:left w:val="nil"/>
              <w:bottom w:val="single" w:sz="8" w:space="0" w:color="FFFFFF"/>
              <w:right w:val="nil"/>
            </w:tcBorders>
            <w:shd w:val="clear" w:color="000000" w:fill="A7BFDE"/>
            <w:noWrap/>
            <w:vAlign w:val="center"/>
            <w:hideMark/>
          </w:tcPr>
          <w:p w14:paraId="63DE5C10"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647EC400"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2,56%</w:t>
            </w:r>
          </w:p>
        </w:tc>
        <w:tc>
          <w:tcPr>
            <w:tcW w:w="245" w:type="dxa"/>
            <w:tcBorders>
              <w:top w:val="nil"/>
              <w:left w:val="nil"/>
              <w:bottom w:val="nil"/>
              <w:right w:val="nil"/>
            </w:tcBorders>
            <w:shd w:val="clear" w:color="auto" w:fill="auto"/>
            <w:noWrap/>
            <w:vAlign w:val="bottom"/>
            <w:hideMark/>
          </w:tcPr>
          <w:p w14:paraId="6E322D4E"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A7BFDE"/>
            <w:noWrap/>
            <w:vAlign w:val="center"/>
            <w:hideMark/>
          </w:tcPr>
          <w:p w14:paraId="16010C7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2,69%</w:t>
            </w:r>
          </w:p>
        </w:tc>
      </w:tr>
      <w:tr w:rsidR="00DC1E1A" w:rsidRPr="008F01B7" w14:paraId="0DE9549C"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7D65CDB3"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Industrie</w:t>
            </w:r>
          </w:p>
        </w:tc>
        <w:tc>
          <w:tcPr>
            <w:tcW w:w="712" w:type="dxa"/>
            <w:tcBorders>
              <w:top w:val="nil"/>
              <w:left w:val="nil"/>
              <w:bottom w:val="single" w:sz="8" w:space="0" w:color="FFFFFF"/>
              <w:right w:val="nil"/>
            </w:tcBorders>
            <w:shd w:val="clear" w:color="000000" w:fill="DBE5F1"/>
            <w:noWrap/>
            <w:vAlign w:val="center"/>
            <w:hideMark/>
          </w:tcPr>
          <w:p w14:paraId="459146FC"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w:t>
            </w:r>
          </w:p>
        </w:tc>
        <w:tc>
          <w:tcPr>
            <w:tcW w:w="846" w:type="dxa"/>
            <w:tcBorders>
              <w:top w:val="nil"/>
              <w:left w:val="nil"/>
              <w:bottom w:val="single" w:sz="8" w:space="0" w:color="FFFFFF"/>
              <w:right w:val="nil"/>
            </w:tcBorders>
            <w:shd w:val="clear" w:color="000000" w:fill="DBE5F1"/>
            <w:noWrap/>
            <w:vAlign w:val="center"/>
            <w:hideMark/>
          </w:tcPr>
          <w:p w14:paraId="715D0E3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8,00%</w:t>
            </w:r>
          </w:p>
        </w:tc>
        <w:tc>
          <w:tcPr>
            <w:tcW w:w="712" w:type="dxa"/>
            <w:tcBorders>
              <w:top w:val="nil"/>
              <w:left w:val="nil"/>
              <w:bottom w:val="single" w:sz="8" w:space="0" w:color="FFFFFF"/>
              <w:right w:val="nil"/>
            </w:tcBorders>
            <w:shd w:val="clear" w:color="000000" w:fill="DBE5F1"/>
            <w:noWrap/>
            <w:vAlign w:val="center"/>
            <w:hideMark/>
          </w:tcPr>
          <w:p w14:paraId="19F7E1BA"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559B4C73"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7,14%</w:t>
            </w:r>
          </w:p>
        </w:tc>
        <w:tc>
          <w:tcPr>
            <w:tcW w:w="687" w:type="dxa"/>
            <w:tcBorders>
              <w:top w:val="nil"/>
              <w:left w:val="nil"/>
              <w:bottom w:val="single" w:sz="8" w:space="0" w:color="FFFFFF"/>
              <w:right w:val="nil"/>
            </w:tcBorders>
            <w:shd w:val="clear" w:color="000000" w:fill="DBE5F1"/>
            <w:noWrap/>
            <w:vAlign w:val="center"/>
            <w:hideMark/>
          </w:tcPr>
          <w:p w14:paraId="41D0B43D"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3</w:t>
            </w:r>
          </w:p>
        </w:tc>
        <w:tc>
          <w:tcPr>
            <w:tcW w:w="846" w:type="dxa"/>
            <w:tcBorders>
              <w:top w:val="nil"/>
              <w:left w:val="nil"/>
              <w:bottom w:val="single" w:sz="8" w:space="0" w:color="FFFFFF"/>
              <w:right w:val="nil"/>
            </w:tcBorders>
            <w:shd w:val="clear" w:color="000000" w:fill="DBE5F1"/>
            <w:noWrap/>
            <w:vAlign w:val="center"/>
            <w:hideMark/>
          </w:tcPr>
          <w:p w14:paraId="7E9F678A"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7,69%</w:t>
            </w:r>
          </w:p>
        </w:tc>
        <w:tc>
          <w:tcPr>
            <w:tcW w:w="245" w:type="dxa"/>
            <w:tcBorders>
              <w:top w:val="nil"/>
              <w:left w:val="nil"/>
              <w:bottom w:val="nil"/>
              <w:right w:val="nil"/>
            </w:tcBorders>
            <w:shd w:val="clear" w:color="auto" w:fill="auto"/>
            <w:noWrap/>
            <w:vAlign w:val="bottom"/>
            <w:hideMark/>
          </w:tcPr>
          <w:p w14:paraId="4454221A"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DBE5F1"/>
            <w:noWrap/>
            <w:vAlign w:val="center"/>
            <w:hideMark/>
          </w:tcPr>
          <w:p w14:paraId="6AAD1AC8"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4,61%</w:t>
            </w:r>
          </w:p>
        </w:tc>
      </w:tr>
      <w:tr w:rsidR="00DC1E1A" w:rsidRPr="008F01B7" w14:paraId="5DDCB03F"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4B5F9201"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Informatie en communicatie</w:t>
            </w:r>
          </w:p>
        </w:tc>
        <w:tc>
          <w:tcPr>
            <w:tcW w:w="712" w:type="dxa"/>
            <w:tcBorders>
              <w:top w:val="nil"/>
              <w:left w:val="nil"/>
              <w:bottom w:val="single" w:sz="8" w:space="0" w:color="FFFFFF"/>
              <w:right w:val="nil"/>
            </w:tcBorders>
            <w:shd w:val="clear" w:color="000000" w:fill="A7BFDE"/>
            <w:noWrap/>
            <w:vAlign w:val="center"/>
            <w:hideMark/>
          </w:tcPr>
          <w:p w14:paraId="2C710615"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w:t>
            </w:r>
          </w:p>
        </w:tc>
        <w:tc>
          <w:tcPr>
            <w:tcW w:w="846" w:type="dxa"/>
            <w:tcBorders>
              <w:top w:val="nil"/>
              <w:left w:val="nil"/>
              <w:bottom w:val="single" w:sz="8" w:space="0" w:color="FFFFFF"/>
              <w:right w:val="nil"/>
            </w:tcBorders>
            <w:shd w:val="clear" w:color="000000" w:fill="A7BFDE"/>
            <w:noWrap/>
            <w:vAlign w:val="center"/>
            <w:hideMark/>
          </w:tcPr>
          <w:p w14:paraId="070325AE"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16,00%</w:t>
            </w:r>
          </w:p>
        </w:tc>
        <w:tc>
          <w:tcPr>
            <w:tcW w:w="712" w:type="dxa"/>
            <w:tcBorders>
              <w:top w:val="nil"/>
              <w:left w:val="nil"/>
              <w:bottom w:val="single" w:sz="8" w:space="0" w:color="FFFFFF"/>
              <w:right w:val="nil"/>
            </w:tcBorders>
            <w:shd w:val="clear" w:color="000000" w:fill="A7BFDE"/>
            <w:noWrap/>
            <w:vAlign w:val="center"/>
            <w:hideMark/>
          </w:tcPr>
          <w:p w14:paraId="1EC933B8"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27D1D37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7,14%</w:t>
            </w:r>
          </w:p>
        </w:tc>
        <w:tc>
          <w:tcPr>
            <w:tcW w:w="687" w:type="dxa"/>
            <w:tcBorders>
              <w:top w:val="nil"/>
              <w:left w:val="nil"/>
              <w:bottom w:val="single" w:sz="8" w:space="0" w:color="FFFFFF"/>
              <w:right w:val="nil"/>
            </w:tcBorders>
            <w:shd w:val="clear" w:color="000000" w:fill="A7BFDE"/>
            <w:noWrap/>
            <w:vAlign w:val="center"/>
            <w:hideMark/>
          </w:tcPr>
          <w:p w14:paraId="37AA49D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5</w:t>
            </w:r>
          </w:p>
        </w:tc>
        <w:tc>
          <w:tcPr>
            <w:tcW w:w="846" w:type="dxa"/>
            <w:tcBorders>
              <w:top w:val="nil"/>
              <w:left w:val="nil"/>
              <w:bottom w:val="single" w:sz="8" w:space="0" w:color="FFFFFF"/>
              <w:right w:val="nil"/>
            </w:tcBorders>
            <w:shd w:val="clear" w:color="000000" w:fill="A7BFDE"/>
            <w:noWrap/>
            <w:vAlign w:val="center"/>
            <w:hideMark/>
          </w:tcPr>
          <w:p w14:paraId="1AE0374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12,82%</w:t>
            </w:r>
          </w:p>
        </w:tc>
        <w:tc>
          <w:tcPr>
            <w:tcW w:w="245" w:type="dxa"/>
            <w:tcBorders>
              <w:top w:val="nil"/>
              <w:left w:val="nil"/>
              <w:bottom w:val="nil"/>
              <w:right w:val="nil"/>
            </w:tcBorders>
            <w:shd w:val="clear" w:color="auto" w:fill="auto"/>
            <w:noWrap/>
            <w:vAlign w:val="bottom"/>
            <w:hideMark/>
          </w:tcPr>
          <w:p w14:paraId="26B5FED5"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A7BFDE"/>
            <w:noWrap/>
            <w:vAlign w:val="center"/>
            <w:hideMark/>
          </w:tcPr>
          <w:p w14:paraId="2EFDE8E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4,76%</w:t>
            </w:r>
          </w:p>
        </w:tc>
      </w:tr>
      <w:tr w:rsidR="00DC1E1A" w:rsidRPr="008F01B7" w14:paraId="4146C2BE"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766241EA"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Landbouw</w:t>
            </w:r>
          </w:p>
        </w:tc>
        <w:tc>
          <w:tcPr>
            <w:tcW w:w="712" w:type="dxa"/>
            <w:tcBorders>
              <w:top w:val="nil"/>
              <w:left w:val="nil"/>
              <w:bottom w:val="single" w:sz="8" w:space="0" w:color="FFFFFF"/>
              <w:right w:val="nil"/>
            </w:tcBorders>
            <w:shd w:val="clear" w:color="000000" w:fill="DBE5F1"/>
            <w:noWrap/>
            <w:vAlign w:val="center"/>
            <w:hideMark/>
          </w:tcPr>
          <w:p w14:paraId="3287B6D4"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1B7DB092"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4,00%</w:t>
            </w:r>
          </w:p>
        </w:tc>
        <w:tc>
          <w:tcPr>
            <w:tcW w:w="712" w:type="dxa"/>
            <w:tcBorders>
              <w:top w:val="nil"/>
              <w:left w:val="nil"/>
              <w:bottom w:val="single" w:sz="8" w:space="0" w:color="FFFFFF"/>
              <w:right w:val="nil"/>
            </w:tcBorders>
            <w:shd w:val="clear" w:color="000000" w:fill="DBE5F1"/>
            <w:noWrap/>
            <w:vAlign w:val="center"/>
            <w:hideMark/>
          </w:tcPr>
          <w:p w14:paraId="3FEB847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w:t>
            </w:r>
          </w:p>
        </w:tc>
        <w:tc>
          <w:tcPr>
            <w:tcW w:w="846" w:type="dxa"/>
            <w:tcBorders>
              <w:top w:val="nil"/>
              <w:left w:val="nil"/>
              <w:bottom w:val="single" w:sz="8" w:space="0" w:color="FFFFFF"/>
              <w:right w:val="nil"/>
            </w:tcBorders>
            <w:shd w:val="clear" w:color="000000" w:fill="DBE5F1"/>
            <w:noWrap/>
            <w:vAlign w:val="center"/>
            <w:hideMark/>
          </w:tcPr>
          <w:p w14:paraId="4944ADC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0,00%</w:t>
            </w:r>
          </w:p>
        </w:tc>
        <w:tc>
          <w:tcPr>
            <w:tcW w:w="687" w:type="dxa"/>
            <w:tcBorders>
              <w:top w:val="nil"/>
              <w:left w:val="nil"/>
              <w:bottom w:val="single" w:sz="8" w:space="0" w:color="FFFFFF"/>
              <w:right w:val="nil"/>
            </w:tcBorders>
            <w:shd w:val="clear" w:color="000000" w:fill="DBE5F1"/>
            <w:noWrap/>
            <w:vAlign w:val="center"/>
            <w:hideMark/>
          </w:tcPr>
          <w:p w14:paraId="6ACAA29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7ACDA1F9"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2,56%</w:t>
            </w:r>
          </w:p>
        </w:tc>
        <w:tc>
          <w:tcPr>
            <w:tcW w:w="245" w:type="dxa"/>
            <w:tcBorders>
              <w:top w:val="nil"/>
              <w:left w:val="nil"/>
              <w:bottom w:val="nil"/>
              <w:right w:val="nil"/>
            </w:tcBorders>
            <w:shd w:val="clear" w:color="auto" w:fill="auto"/>
            <w:noWrap/>
            <w:vAlign w:val="bottom"/>
            <w:hideMark/>
          </w:tcPr>
          <w:p w14:paraId="3DCBC32B"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DBE5F1"/>
            <w:noWrap/>
            <w:vAlign w:val="center"/>
            <w:hideMark/>
          </w:tcPr>
          <w:p w14:paraId="4D0B303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6,55%</w:t>
            </w:r>
          </w:p>
        </w:tc>
      </w:tr>
      <w:tr w:rsidR="00DC1E1A" w:rsidRPr="008F01B7" w14:paraId="7CCAA2C8"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52A9D567"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Onderwijs</w:t>
            </w:r>
          </w:p>
        </w:tc>
        <w:tc>
          <w:tcPr>
            <w:tcW w:w="712" w:type="dxa"/>
            <w:tcBorders>
              <w:top w:val="nil"/>
              <w:left w:val="nil"/>
              <w:bottom w:val="single" w:sz="8" w:space="0" w:color="FFFFFF"/>
              <w:right w:val="nil"/>
            </w:tcBorders>
            <w:shd w:val="clear" w:color="000000" w:fill="A7BFDE"/>
            <w:noWrap/>
            <w:vAlign w:val="center"/>
            <w:hideMark/>
          </w:tcPr>
          <w:p w14:paraId="586CBD36"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w:t>
            </w:r>
          </w:p>
        </w:tc>
        <w:tc>
          <w:tcPr>
            <w:tcW w:w="846" w:type="dxa"/>
            <w:tcBorders>
              <w:top w:val="nil"/>
              <w:left w:val="nil"/>
              <w:bottom w:val="single" w:sz="8" w:space="0" w:color="FFFFFF"/>
              <w:right w:val="nil"/>
            </w:tcBorders>
            <w:shd w:val="clear" w:color="000000" w:fill="A7BFDE"/>
            <w:noWrap/>
            <w:vAlign w:val="center"/>
            <w:hideMark/>
          </w:tcPr>
          <w:p w14:paraId="5EA3B6ED"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8,00%</w:t>
            </w:r>
          </w:p>
        </w:tc>
        <w:tc>
          <w:tcPr>
            <w:tcW w:w="712" w:type="dxa"/>
            <w:tcBorders>
              <w:top w:val="nil"/>
              <w:left w:val="nil"/>
              <w:bottom w:val="single" w:sz="8" w:space="0" w:color="FFFFFF"/>
              <w:right w:val="nil"/>
            </w:tcBorders>
            <w:shd w:val="clear" w:color="000000" w:fill="A7BFDE"/>
            <w:noWrap/>
            <w:vAlign w:val="center"/>
            <w:hideMark/>
          </w:tcPr>
          <w:p w14:paraId="49AD9B08"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2421623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7,14%</w:t>
            </w:r>
          </w:p>
        </w:tc>
        <w:tc>
          <w:tcPr>
            <w:tcW w:w="687" w:type="dxa"/>
            <w:tcBorders>
              <w:top w:val="nil"/>
              <w:left w:val="nil"/>
              <w:bottom w:val="single" w:sz="8" w:space="0" w:color="FFFFFF"/>
              <w:right w:val="nil"/>
            </w:tcBorders>
            <w:shd w:val="clear" w:color="000000" w:fill="A7BFDE"/>
            <w:noWrap/>
            <w:vAlign w:val="center"/>
            <w:hideMark/>
          </w:tcPr>
          <w:p w14:paraId="2FC0B4F0"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3</w:t>
            </w:r>
          </w:p>
        </w:tc>
        <w:tc>
          <w:tcPr>
            <w:tcW w:w="846" w:type="dxa"/>
            <w:tcBorders>
              <w:top w:val="nil"/>
              <w:left w:val="nil"/>
              <w:bottom w:val="single" w:sz="8" w:space="0" w:color="FFFFFF"/>
              <w:right w:val="nil"/>
            </w:tcBorders>
            <w:shd w:val="clear" w:color="000000" w:fill="A7BFDE"/>
            <w:noWrap/>
            <w:vAlign w:val="center"/>
            <w:hideMark/>
          </w:tcPr>
          <w:p w14:paraId="0EEA2B70"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7,69%</w:t>
            </w:r>
          </w:p>
        </w:tc>
        <w:tc>
          <w:tcPr>
            <w:tcW w:w="245" w:type="dxa"/>
            <w:tcBorders>
              <w:top w:val="nil"/>
              <w:left w:val="nil"/>
              <w:bottom w:val="nil"/>
              <w:right w:val="nil"/>
            </w:tcBorders>
            <w:shd w:val="clear" w:color="auto" w:fill="auto"/>
            <w:noWrap/>
            <w:vAlign w:val="bottom"/>
            <w:hideMark/>
          </w:tcPr>
          <w:p w14:paraId="48912FC5"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A7BFDE"/>
            <w:noWrap/>
            <w:vAlign w:val="center"/>
            <w:hideMark/>
          </w:tcPr>
          <w:p w14:paraId="04E2685E"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4,39%</w:t>
            </w:r>
          </w:p>
        </w:tc>
      </w:tr>
      <w:tr w:rsidR="00DC1E1A" w:rsidRPr="008F01B7" w14:paraId="4721AFF3"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04D3BB2F"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Onroerend goed</w:t>
            </w:r>
          </w:p>
        </w:tc>
        <w:tc>
          <w:tcPr>
            <w:tcW w:w="712" w:type="dxa"/>
            <w:tcBorders>
              <w:top w:val="nil"/>
              <w:left w:val="nil"/>
              <w:bottom w:val="single" w:sz="8" w:space="0" w:color="FFFFFF"/>
              <w:right w:val="nil"/>
            </w:tcBorders>
            <w:shd w:val="clear" w:color="000000" w:fill="DBE5F1"/>
            <w:noWrap/>
            <w:vAlign w:val="center"/>
            <w:hideMark/>
          </w:tcPr>
          <w:p w14:paraId="49C0BC89"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020DB209"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4,00%</w:t>
            </w:r>
          </w:p>
        </w:tc>
        <w:tc>
          <w:tcPr>
            <w:tcW w:w="712" w:type="dxa"/>
            <w:tcBorders>
              <w:top w:val="nil"/>
              <w:left w:val="nil"/>
              <w:bottom w:val="single" w:sz="8" w:space="0" w:color="FFFFFF"/>
              <w:right w:val="nil"/>
            </w:tcBorders>
            <w:shd w:val="clear" w:color="000000" w:fill="DBE5F1"/>
            <w:noWrap/>
            <w:vAlign w:val="center"/>
            <w:hideMark/>
          </w:tcPr>
          <w:p w14:paraId="6273A3B6"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095C6FEA"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7,14%</w:t>
            </w:r>
          </w:p>
        </w:tc>
        <w:tc>
          <w:tcPr>
            <w:tcW w:w="687" w:type="dxa"/>
            <w:tcBorders>
              <w:top w:val="nil"/>
              <w:left w:val="nil"/>
              <w:bottom w:val="single" w:sz="8" w:space="0" w:color="FFFFFF"/>
              <w:right w:val="nil"/>
            </w:tcBorders>
            <w:shd w:val="clear" w:color="000000" w:fill="DBE5F1"/>
            <w:noWrap/>
            <w:vAlign w:val="center"/>
            <w:hideMark/>
          </w:tcPr>
          <w:p w14:paraId="3A3E129D"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w:t>
            </w:r>
          </w:p>
        </w:tc>
        <w:tc>
          <w:tcPr>
            <w:tcW w:w="846" w:type="dxa"/>
            <w:tcBorders>
              <w:top w:val="nil"/>
              <w:left w:val="nil"/>
              <w:bottom w:val="single" w:sz="8" w:space="0" w:color="FFFFFF"/>
              <w:right w:val="nil"/>
            </w:tcBorders>
            <w:shd w:val="clear" w:color="000000" w:fill="DBE5F1"/>
            <w:noWrap/>
            <w:vAlign w:val="center"/>
            <w:hideMark/>
          </w:tcPr>
          <w:p w14:paraId="7A5CEA1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5,13%</w:t>
            </w:r>
          </w:p>
        </w:tc>
        <w:tc>
          <w:tcPr>
            <w:tcW w:w="245" w:type="dxa"/>
            <w:tcBorders>
              <w:top w:val="nil"/>
              <w:left w:val="nil"/>
              <w:bottom w:val="nil"/>
              <w:right w:val="nil"/>
            </w:tcBorders>
            <w:shd w:val="clear" w:color="auto" w:fill="auto"/>
            <w:noWrap/>
            <w:vAlign w:val="bottom"/>
            <w:hideMark/>
          </w:tcPr>
          <w:p w14:paraId="598EA657"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DBE5F1"/>
            <w:noWrap/>
            <w:vAlign w:val="center"/>
            <w:hideMark/>
          </w:tcPr>
          <w:p w14:paraId="509033D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0,91%</w:t>
            </w:r>
          </w:p>
        </w:tc>
      </w:tr>
      <w:tr w:rsidR="00DC1E1A" w:rsidRPr="008F01B7" w14:paraId="447D5059"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7267C5E1"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Openbaar bestuur</w:t>
            </w:r>
          </w:p>
        </w:tc>
        <w:tc>
          <w:tcPr>
            <w:tcW w:w="712" w:type="dxa"/>
            <w:tcBorders>
              <w:top w:val="nil"/>
              <w:left w:val="nil"/>
              <w:bottom w:val="single" w:sz="8" w:space="0" w:color="FFFFFF"/>
              <w:right w:val="nil"/>
            </w:tcBorders>
            <w:shd w:val="clear" w:color="000000" w:fill="A7BFDE"/>
            <w:noWrap/>
            <w:vAlign w:val="center"/>
            <w:hideMark/>
          </w:tcPr>
          <w:p w14:paraId="121F495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554C7693"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4,00%</w:t>
            </w:r>
          </w:p>
        </w:tc>
        <w:tc>
          <w:tcPr>
            <w:tcW w:w="712" w:type="dxa"/>
            <w:tcBorders>
              <w:top w:val="nil"/>
              <w:left w:val="nil"/>
              <w:bottom w:val="single" w:sz="8" w:space="0" w:color="FFFFFF"/>
              <w:right w:val="nil"/>
            </w:tcBorders>
            <w:shd w:val="clear" w:color="000000" w:fill="A7BFDE"/>
            <w:noWrap/>
            <w:vAlign w:val="center"/>
            <w:hideMark/>
          </w:tcPr>
          <w:p w14:paraId="716DD08C"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w:t>
            </w:r>
          </w:p>
        </w:tc>
        <w:tc>
          <w:tcPr>
            <w:tcW w:w="846" w:type="dxa"/>
            <w:tcBorders>
              <w:top w:val="nil"/>
              <w:left w:val="nil"/>
              <w:bottom w:val="single" w:sz="8" w:space="0" w:color="FFFFFF"/>
              <w:right w:val="nil"/>
            </w:tcBorders>
            <w:shd w:val="clear" w:color="000000" w:fill="A7BFDE"/>
            <w:noWrap/>
            <w:vAlign w:val="center"/>
            <w:hideMark/>
          </w:tcPr>
          <w:p w14:paraId="1CE68153"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0,00%</w:t>
            </w:r>
          </w:p>
        </w:tc>
        <w:tc>
          <w:tcPr>
            <w:tcW w:w="687" w:type="dxa"/>
            <w:tcBorders>
              <w:top w:val="nil"/>
              <w:left w:val="nil"/>
              <w:bottom w:val="single" w:sz="8" w:space="0" w:color="FFFFFF"/>
              <w:right w:val="nil"/>
            </w:tcBorders>
            <w:shd w:val="clear" w:color="000000" w:fill="A7BFDE"/>
            <w:noWrap/>
            <w:vAlign w:val="center"/>
            <w:hideMark/>
          </w:tcPr>
          <w:p w14:paraId="51FC075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4CB3A685"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2,56%</w:t>
            </w:r>
          </w:p>
        </w:tc>
        <w:tc>
          <w:tcPr>
            <w:tcW w:w="245" w:type="dxa"/>
            <w:tcBorders>
              <w:top w:val="nil"/>
              <w:left w:val="nil"/>
              <w:bottom w:val="nil"/>
              <w:right w:val="nil"/>
            </w:tcBorders>
            <w:shd w:val="clear" w:color="auto" w:fill="auto"/>
            <w:noWrap/>
            <w:vAlign w:val="bottom"/>
            <w:hideMark/>
          </w:tcPr>
          <w:p w14:paraId="23082272"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A7BFDE"/>
            <w:noWrap/>
            <w:vAlign w:val="center"/>
            <w:hideMark/>
          </w:tcPr>
          <w:p w14:paraId="0A1E38F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0,23%</w:t>
            </w:r>
          </w:p>
        </w:tc>
      </w:tr>
      <w:tr w:rsidR="00DC1E1A" w:rsidRPr="008F01B7" w14:paraId="4AA5D2AE"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16804BA3"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Overige dienstverlening</w:t>
            </w:r>
          </w:p>
        </w:tc>
        <w:tc>
          <w:tcPr>
            <w:tcW w:w="712" w:type="dxa"/>
            <w:tcBorders>
              <w:top w:val="nil"/>
              <w:left w:val="nil"/>
              <w:bottom w:val="single" w:sz="8" w:space="0" w:color="FFFFFF"/>
              <w:right w:val="nil"/>
            </w:tcBorders>
            <w:shd w:val="clear" w:color="000000" w:fill="DBE5F1"/>
            <w:noWrap/>
            <w:vAlign w:val="center"/>
            <w:hideMark/>
          </w:tcPr>
          <w:p w14:paraId="52E275DE"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54D0B4B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4,00%</w:t>
            </w:r>
          </w:p>
        </w:tc>
        <w:tc>
          <w:tcPr>
            <w:tcW w:w="712" w:type="dxa"/>
            <w:tcBorders>
              <w:top w:val="nil"/>
              <w:left w:val="nil"/>
              <w:bottom w:val="single" w:sz="8" w:space="0" w:color="FFFFFF"/>
              <w:right w:val="nil"/>
            </w:tcBorders>
            <w:shd w:val="clear" w:color="000000" w:fill="DBE5F1"/>
            <w:noWrap/>
            <w:vAlign w:val="center"/>
            <w:hideMark/>
          </w:tcPr>
          <w:p w14:paraId="65B0CB7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w:t>
            </w:r>
          </w:p>
        </w:tc>
        <w:tc>
          <w:tcPr>
            <w:tcW w:w="846" w:type="dxa"/>
            <w:tcBorders>
              <w:top w:val="nil"/>
              <w:left w:val="nil"/>
              <w:bottom w:val="single" w:sz="8" w:space="0" w:color="FFFFFF"/>
              <w:right w:val="nil"/>
            </w:tcBorders>
            <w:shd w:val="clear" w:color="000000" w:fill="DBE5F1"/>
            <w:noWrap/>
            <w:vAlign w:val="center"/>
            <w:hideMark/>
          </w:tcPr>
          <w:p w14:paraId="4A7B1E13"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0,00%</w:t>
            </w:r>
          </w:p>
        </w:tc>
        <w:tc>
          <w:tcPr>
            <w:tcW w:w="687" w:type="dxa"/>
            <w:tcBorders>
              <w:top w:val="nil"/>
              <w:left w:val="nil"/>
              <w:bottom w:val="single" w:sz="8" w:space="0" w:color="FFFFFF"/>
              <w:right w:val="nil"/>
            </w:tcBorders>
            <w:shd w:val="clear" w:color="000000" w:fill="DBE5F1"/>
            <w:noWrap/>
            <w:vAlign w:val="center"/>
            <w:hideMark/>
          </w:tcPr>
          <w:p w14:paraId="703DAA6C"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08BFE42E"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2,56%</w:t>
            </w:r>
          </w:p>
        </w:tc>
        <w:tc>
          <w:tcPr>
            <w:tcW w:w="245" w:type="dxa"/>
            <w:tcBorders>
              <w:top w:val="nil"/>
              <w:left w:val="nil"/>
              <w:bottom w:val="nil"/>
              <w:right w:val="nil"/>
            </w:tcBorders>
            <w:shd w:val="clear" w:color="auto" w:fill="auto"/>
            <w:noWrap/>
            <w:vAlign w:val="bottom"/>
            <w:hideMark/>
          </w:tcPr>
          <w:p w14:paraId="44A15E66"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DBE5F1"/>
            <w:noWrap/>
            <w:vAlign w:val="center"/>
            <w:hideMark/>
          </w:tcPr>
          <w:p w14:paraId="7DAF56E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5,35%</w:t>
            </w:r>
          </w:p>
        </w:tc>
      </w:tr>
      <w:tr w:rsidR="00DC1E1A" w:rsidRPr="008F01B7" w14:paraId="19AEBE8F"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5690334D"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Specialistische zakelijke dienstverlening</w:t>
            </w:r>
          </w:p>
        </w:tc>
        <w:tc>
          <w:tcPr>
            <w:tcW w:w="712" w:type="dxa"/>
            <w:tcBorders>
              <w:top w:val="nil"/>
              <w:left w:val="nil"/>
              <w:bottom w:val="single" w:sz="8" w:space="0" w:color="FFFFFF"/>
              <w:right w:val="nil"/>
            </w:tcBorders>
            <w:shd w:val="clear" w:color="000000" w:fill="A7BFDE"/>
            <w:noWrap/>
            <w:vAlign w:val="center"/>
            <w:hideMark/>
          </w:tcPr>
          <w:p w14:paraId="750D05DC"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A7BFDE"/>
            <w:noWrap/>
            <w:vAlign w:val="center"/>
            <w:hideMark/>
          </w:tcPr>
          <w:p w14:paraId="0FA6B08D"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4,00%</w:t>
            </w:r>
          </w:p>
        </w:tc>
        <w:tc>
          <w:tcPr>
            <w:tcW w:w="712" w:type="dxa"/>
            <w:tcBorders>
              <w:top w:val="nil"/>
              <w:left w:val="nil"/>
              <w:bottom w:val="single" w:sz="8" w:space="0" w:color="FFFFFF"/>
              <w:right w:val="nil"/>
            </w:tcBorders>
            <w:shd w:val="clear" w:color="000000" w:fill="A7BFDE"/>
            <w:noWrap/>
            <w:vAlign w:val="center"/>
            <w:hideMark/>
          </w:tcPr>
          <w:p w14:paraId="08CFCCC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w:t>
            </w:r>
          </w:p>
        </w:tc>
        <w:tc>
          <w:tcPr>
            <w:tcW w:w="846" w:type="dxa"/>
            <w:tcBorders>
              <w:top w:val="nil"/>
              <w:left w:val="nil"/>
              <w:bottom w:val="single" w:sz="8" w:space="0" w:color="FFFFFF"/>
              <w:right w:val="nil"/>
            </w:tcBorders>
            <w:shd w:val="clear" w:color="000000" w:fill="A7BFDE"/>
            <w:noWrap/>
            <w:vAlign w:val="center"/>
            <w:hideMark/>
          </w:tcPr>
          <w:p w14:paraId="26F04ABC"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14,29%</w:t>
            </w:r>
          </w:p>
        </w:tc>
        <w:tc>
          <w:tcPr>
            <w:tcW w:w="687" w:type="dxa"/>
            <w:tcBorders>
              <w:top w:val="nil"/>
              <w:left w:val="nil"/>
              <w:bottom w:val="single" w:sz="8" w:space="0" w:color="FFFFFF"/>
              <w:right w:val="nil"/>
            </w:tcBorders>
            <w:shd w:val="clear" w:color="000000" w:fill="A7BFDE"/>
            <w:noWrap/>
            <w:vAlign w:val="center"/>
            <w:hideMark/>
          </w:tcPr>
          <w:p w14:paraId="6B6FD09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3</w:t>
            </w:r>
          </w:p>
        </w:tc>
        <w:tc>
          <w:tcPr>
            <w:tcW w:w="846" w:type="dxa"/>
            <w:tcBorders>
              <w:top w:val="nil"/>
              <w:left w:val="nil"/>
              <w:bottom w:val="single" w:sz="8" w:space="0" w:color="FFFFFF"/>
              <w:right w:val="nil"/>
            </w:tcBorders>
            <w:shd w:val="clear" w:color="000000" w:fill="A7BFDE"/>
            <w:noWrap/>
            <w:vAlign w:val="center"/>
            <w:hideMark/>
          </w:tcPr>
          <w:p w14:paraId="3BA2C0F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7,69%</w:t>
            </w:r>
          </w:p>
        </w:tc>
        <w:tc>
          <w:tcPr>
            <w:tcW w:w="245" w:type="dxa"/>
            <w:tcBorders>
              <w:top w:val="nil"/>
              <w:left w:val="nil"/>
              <w:bottom w:val="nil"/>
              <w:right w:val="nil"/>
            </w:tcBorders>
            <w:shd w:val="clear" w:color="auto" w:fill="auto"/>
            <w:noWrap/>
            <w:vAlign w:val="bottom"/>
            <w:hideMark/>
          </w:tcPr>
          <w:p w14:paraId="6DD2C5AF"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A7BFDE"/>
            <w:noWrap/>
            <w:vAlign w:val="center"/>
            <w:hideMark/>
          </w:tcPr>
          <w:p w14:paraId="49F6BC9D"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20,29%</w:t>
            </w:r>
          </w:p>
        </w:tc>
      </w:tr>
      <w:tr w:rsidR="00DC1E1A" w:rsidRPr="008F01B7" w14:paraId="1BB6E02A"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5FD14086"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Student</w:t>
            </w:r>
          </w:p>
        </w:tc>
        <w:tc>
          <w:tcPr>
            <w:tcW w:w="712" w:type="dxa"/>
            <w:tcBorders>
              <w:top w:val="nil"/>
              <w:left w:val="nil"/>
              <w:bottom w:val="single" w:sz="8" w:space="0" w:color="FFFFFF"/>
              <w:right w:val="nil"/>
            </w:tcBorders>
            <w:shd w:val="clear" w:color="000000" w:fill="DBE5F1"/>
            <w:noWrap/>
            <w:vAlign w:val="center"/>
            <w:hideMark/>
          </w:tcPr>
          <w:p w14:paraId="79A546F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w:t>
            </w:r>
          </w:p>
        </w:tc>
        <w:tc>
          <w:tcPr>
            <w:tcW w:w="846" w:type="dxa"/>
            <w:tcBorders>
              <w:top w:val="nil"/>
              <w:left w:val="nil"/>
              <w:bottom w:val="single" w:sz="8" w:space="0" w:color="FFFFFF"/>
              <w:right w:val="nil"/>
            </w:tcBorders>
            <w:shd w:val="clear" w:color="000000" w:fill="DBE5F1"/>
            <w:noWrap/>
            <w:vAlign w:val="center"/>
            <w:hideMark/>
          </w:tcPr>
          <w:p w14:paraId="549F8BD4"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0,00%</w:t>
            </w:r>
          </w:p>
        </w:tc>
        <w:tc>
          <w:tcPr>
            <w:tcW w:w="712" w:type="dxa"/>
            <w:tcBorders>
              <w:top w:val="nil"/>
              <w:left w:val="nil"/>
              <w:bottom w:val="single" w:sz="8" w:space="0" w:color="FFFFFF"/>
              <w:right w:val="nil"/>
            </w:tcBorders>
            <w:shd w:val="clear" w:color="000000" w:fill="DBE5F1"/>
            <w:noWrap/>
            <w:vAlign w:val="center"/>
            <w:hideMark/>
          </w:tcPr>
          <w:p w14:paraId="07C41CA9"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3</w:t>
            </w:r>
          </w:p>
        </w:tc>
        <w:tc>
          <w:tcPr>
            <w:tcW w:w="846" w:type="dxa"/>
            <w:tcBorders>
              <w:top w:val="nil"/>
              <w:left w:val="nil"/>
              <w:bottom w:val="single" w:sz="8" w:space="0" w:color="FFFFFF"/>
              <w:right w:val="nil"/>
            </w:tcBorders>
            <w:shd w:val="clear" w:color="000000" w:fill="DBE5F1"/>
            <w:noWrap/>
            <w:vAlign w:val="center"/>
            <w:hideMark/>
          </w:tcPr>
          <w:p w14:paraId="098C2E4E"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21,43%</w:t>
            </w:r>
          </w:p>
        </w:tc>
        <w:tc>
          <w:tcPr>
            <w:tcW w:w="687" w:type="dxa"/>
            <w:tcBorders>
              <w:top w:val="nil"/>
              <w:left w:val="nil"/>
              <w:bottom w:val="single" w:sz="8" w:space="0" w:color="FFFFFF"/>
              <w:right w:val="nil"/>
            </w:tcBorders>
            <w:shd w:val="clear" w:color="000000" w:fill="DBE5F1"/>
            <w:noWrap/>
            <w:vAlign w:val="center"/>
            <w:hideMark/>
          </w:tcPr>
          <w:p w14:paraId="61D90E92"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3</w:t>
            </w:r>
          </w:p>
        </w:tc>
        <w:tc>
          <w:tcPr>
            <w:tcW w:w="846" w:type="dxa"/>
            <w:tcBorders>
              <w:top w:val="nil"/>
              <w:left w:val="nil"/>
              <w:bottom w:val="single" w:sz="8" w:space="0" w:color="FFFFFF"/>
              <w:right w:val="nil"/>
            </w:tcBorders>
            <w:shd w:val="clear" w:color="000000" w:fill="DBE5F1"/>
            <w:noWrap/>
            <w:vAlign w:val="center"/>
            <w:hideMark/>
          </w:tcPr>
          <w:p w14:paraId="5F10E5A2"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7,69%</w:t>
            </w:r>
          </w:p>
        </w:tc>
        <w:tc>
          <w:tcPr>
            <w:tcW w:w="245" w:type="dxa"/>
            <w:tcBorders>
              <w:top w:val="nil"/>
              <w:left w:val="nil"/>
              <w:bottom w:val="nil"/>
              <w:right w:val="nil"/>
            </w:tcBorders>
            <w:shd w:val="clear" w:color="auto" w:fill="auto"/>
            <w:noWrap/>
            <w:vAlign w:val="bottom"/>
            <w:hideMark/>
          </w:tcPr>
          <w:p w14:paraId="26465597"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DBE5F1"/>
            <w:noWrap/>
            <w:vAlign w:val="center"/>
            <w:hideMark/>
          </w:tcPr>
          <w:p w14:paraId="734E3E3F"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w:t>
            </w:r>
          </w:p>
        </w:tc>
      </w:tr>
      <w:tr w:rsidR="00DC1E1A" w:rsidRPr="008F01B7" w14:paraId="565CE0DD"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51C266AD"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Verhuur en overige zakelijke dienstverlening</w:t>
            </w:r>
          </w:p>
        </w:tc>
        <w:tc>
          <w:tcPr>
            <w:tcW w:w="712" w:type="dxa"/>
            <w:tcBorders>
              <w:top w:val="nil"/>
              <w:left w:val="nil"/>
              <w:bottom w:val="single" w:sz="8" w:space="0" w:color="FFFFFF"/>
              <w:right w:val="nil"/>
            </w:tcBorders>
            <w:shd w:val="clear" w:color="000000" w:fill="A7BFDE"/>
            <w:noWrap/>
            <w:vAlign w:val="center"/>
            <w:hideMark/>
          </w:tcPr>
          <w:p w14:paraId="29E9D643"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w:t>
            </w:r>
          </w:p>
        </w:tc>
        <w:tc>
          <w:tcPr>
            <w:tcW w:w="846" w:type="dxa"/>
            <w:tcBorders>
              <w:top w:val="nil"/>
              <w:left w:val="nil"/>
              <w:bottom w:val="single" w:sz="8" w:space="0" w:color="FFFFFF"/>
              <w:right w:val="nil"/>
            </w:tcBorders>
            <w:shd w:val="clear" w:color="000000" w:fill="A7BFDE"/>
            <w:noWrap/>
            <w:vAlign w:val="center"/>
            <w:hideMark/>
          </w:tcPr>
          <w:p w14:paraId="0ACD92E6"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16,00%</w:t>
            </w:r>
          </w:p>
        </w:tc>
        <w:tc>
          <w:tcPr>
            <w:tcW w:w="712" w:type="dxa"/>
            <w:tcBorders>
              <w:top w:val="nil"/>
              <w:left w:val="nil"/>
              <w:bottom w:val="single" w:sz="8" w:space="0" w:color="FFFFFF"/>
              <w:right w:val="nil"/>
            </w:tcBorders>
            <w:shd w:val="clear" w:color="000000" w:fill="A7BFDE"/>
            <w:noWrap/>
            <w:vAlign w:val="center"/>
            <w:hideMark/>
          </w:tcPr>
          <w:p w14:paraId="0B892AC5"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w:t>
            </w:r>
          </w:p>
        </w:tc>
        <w:tc>
          <w:tcPr>
            <w:tcW w:w="846" w:type="dxa"/>
            <w:tcBorders>
              <w:top w:val="nil"/>
              <w:left w:val="nil"/>
              <w:bottom w:val="single" w:sz="8" w:space="0" w:color="FFFFFF"/>
              <w:right w:val="nil"/>
            </w:tcBorders>
            <w:shd w:val="clear" w:color="000000" w:fill="A7BFDE"/>
            <w:noWrap/>
            <w:vAlign w:val="center"/>
            <w:hideMark/>
          </w:tcPr>
          <w:p w14:paraId="283A774C"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0,00%</w:t>
            </w:r>
          </w:p>
        </w:tc>
        <w:tc>
          <w:tcPr>
            <w:tcW w:w="687" w:type="dxa"/>
            <w:tcBorders>
              <w:top w:val="nil"/>
              <w:left w:val="nil"/>
              <w:bottom w:val="single" w:sz="8" w:space="0" w:color="FFFFFF"/>
              <w:right w:val="nil"/>
            </w:tcBorders>
            <w:shd w:val="clear" w:color="000000" w:fill="A7BFDE"/>
            <w:noWrap/>
            <w:vAlign w:val="center"/>
            <w:hideMark/>
          </w:tcPr>
          <w:p w14:paraId="65FF6D22"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w:t>
            </w:r>
          </w:p>
        </w:tc>
        <w:tc>
          <w:tcPr>
            <w:tcW w:w="846" w:type="dxa"/>
            <w:tcBorders>
              <w:top w:val="nil"/>
              <w:left w:val="nil"/>
              <w:bottom w:val="single" w:sz="8" w:space="0" w:color="FFFFFF"/>
              <w:right w:val="nil"/>
            </w:tcBorders>
            <w:shd w:val="clear" w:color="000000" w:fill="A7BFDE"/>
            <w:noWrap/>
            <w:vAlign w:val="center"/>
            <w:hideMark/>
          </w:tcPr>
          <w:p w14:paraId="130A98F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10,26%</w:t>
            </w:r>
          </w:p>
        </w:tc>
        <w:tc>
          <w:tcPr>
            <w:tcW w:w="245" w:type="dxa"/>
            <w:tcBorders>
              <w:top w:val="nil"/>
              <w:left w:val="nil"/>
              <w:bottom w:val="nil"/>
              <w:right w:val="nil"/>
            </w:tcBorders>
            <w:shd w:val="clear" w:color="auto" w:fill="auto"/>
            <w:noWrap/>
            <w:vAlign w:val="bottom"/>
            <w:hideMark/>
          </w:tcPr>
          <w:p w14:paraId="189B90AE"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A7BFDE"/>
            <w:noWrap/>
            <w:vAlign w:val="center"/>
            <w:hideMark/>
          </w:tcPr>
          <w:p w14:paraId="230A1F3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4,59%</w:t>
            </w:r>
          </w:p>
        </w:tc>
      </w:tr>
      <w:tr w:rsidR="00DC1E1A" w:rsidRPr="008F01B7" w14:paraId="6F3EE107" w14:textId="77777777" w:rsidTr="00023968">
        <w:trPr>
          <w:trHeight w:val="320"/>
        </w:trPr>
        <w:tc>
          <w:tcPr>
            <w:tcW w:w="3066" w:type="dxa"/>
            <w:tcBorders>
              <w:top w:val="nil"/>
              <w:left w:val="nil"/>
              <w:bottom w:val="single" w:sz="8" w:space="0" w:color="FFFFFF"/>
              <w:right w:val="nil"/>
            </w:tcBorders>
            <w:shd w:val="clear" w:color="000000" w:fill="365F91"/>
            <w:noWrap/>
            <w:vAlign w:val="center"/>
            <w:hideMark/>
          </w:tcPr>
          <w:p w14:paraId="442B7499"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Vervoer en opslag</w:t>
            </w:r>
          </w:p>
        </w:tc>
        <w:tc>
          <w:tcPr>
            <w:tcW w:w="712" w:type="dxa"/>
            <w:tcBorders>
              <w:top w:val="nil"/>
              <w:left w:val="nil"/>
              <w:bottom w:val="single" w:sz="8" w:space="0" w:color="FFFFFF"/>
              <w:right w:val="nil"/>
            </w:tcBorders>
            <w:shd w:val="clear" w:color="000000" w:fill="DBE5F1"/>
            <w:noWrap/>
            <w:vAlign w:val="center"/>
            <w:hideMark/>
          </w:tcPr>
          <w:p w14:paraId="5224E427"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w:t>
            </w:r>
          </w:p>
        </w:tc>
        <w:tc>
          <w:tcPr>
            <w:tcW w:w="846" w:type="dxa"/>
            <w:tcBorders>
              <w:top w:val="nil"/>
              <w:left w:val="nil"/>
              <w:bottom w:val="single" w:sz="8" w:space="0" w:color="FFFFFF"/>
              <w:right w:val="nil"/>
            </w:tcBorders>
            <w:shd w:val="clear" w:color="000000" w:fill="DBE5F1"/>
            <w:noWrap/>
            <w:vAlign w:val="center"/>
            <w:hideMark/>
          </w:tcPr>
          <w:p w14:paraId="6C518C73"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0,00%</w:t>
            </w:r>
          </w:p>
        </w:tc>
        <w:tc>
          <w:tcPr>
            <w:tcW w:w="712" w:type="dxa"/>
            <w:tcBorders>
              <w:top w:val="nil"/>
              <w:left w:val="nil"/>
              <w:bottom w:val="single" w:sz="8" w:space="0" w:color="FFFFFF"/>
              <w:right w:val="nil"/>
            </w:tcBorders>
            <w:shd w:val="clear" w:color="000000" w:fill="DBE5F1"/>
            <w:noWrap/>
            <w:vAlign w:val="center"/>
            <w:hideMark/>
          </w:tcPr>
          <w:p w14:paraId="0F860148"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22EBD10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7,14%</w:t>
            </w:r>
          </w:p>
        </w:tc>
        <w:tc>
          <w:tcPr>
            <w:tcW w:w="687" w:type="dxa"/>
            <w:tcBorders>
              <w:top w:val="nil"/>
              <w:left w:val="nil"/>
              <w:bottom w:val="single" w:sz="8" w:space="0" w:color="FFFFFF"/>
              <w:right w:val="nil"/>
            </w:tcBorders>
            <w:shd w:val="clear" w:color="000000" w:fill="DBE5F1"/>
            <w:noWrap/>
            <w:vAlign w:val="center"/>
            <w:hideMark/>
          </w:tcPr>
          <w:p w14:paraId="4BBF5B14"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w:t>
            </w:r>
          </w:p>
        </w:tc>
        <w:tc>
          <w:tcPr>
            <w:tcW w:w="846" w:type="dxa"/>
            <w:tcBorders>
              <w:top w:val="nil"/>
              <w:left w:val="nil"/>
              <w:bottom w:val="single" w:sz="8" w:space="0" w:color="FFFFFF"/>
              <w:right w:val="nil"/>
            </w:tcBorders>
            <w:shd w:val="clear" w:color="000000" w:fill="DBE5F1"/>
            <w:noWrap/>
            <w:vAlign w:val="center"/>
            <w:hideMark/>
          </w:tcPr>
          <w:p w14:paraId="0715DE1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2,56%</w:t>
            </w:r>
          </w:p>
        </w:tc>
        <w:tc>
          <w:tcPr>
            <w:tcW w:w="245" w:type="dxa"/>
            <w:tcBorders>
              <w:top w:val="nil"/>
              <w:left w:val="nil"/>
              <w:bottom w:val="nil"/>
              <w:right w:val="nil"/>
            </w:tcBorders>
            <w:shd w:val="clear" w:color="auto" w:fill="auto"/>
            <w:noWrap/>
            <w:vAlign w:val="bottom"/>
            <w:hideMark/>
          </w:tcPr>
          <w:p w14:paraId="6CF4F6CF"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single" w:sz="8" w:space="0" w:color="FFFFFF"/>
              <w:right w:val="nil"/>
            </w:tcBorders>
            <w:shd w:val="clear" w:color="000000" w:fill="DBE5F1"/>
            <w:noWrap/>
            <w:vAlign w:val="center"/>
            <w:hideMark/>
          </w:tcPr>
          <w:p w14:paraId="0CAD4BBA"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2,01%</w:t>
            </w:r>
          </w:p>
        </w:tc>
      </w:tr>
      <w:tr w:rsidR="00DC1E1A" w:rsidRPr="008F01B7" w14:paraId="174CFE5E" w14:textId="77777777" w:rsidTr="00023968">
        <w:trPr>
          <w:trHeight w:val="300"/>
        </w:trPr>
        <w:tc>
          <w:tcPr>
            <w:tcW w:w="3066" w:type="dxa"/>
            <w:tcBorders>
              <w:top w:val="nil"/>
              <w:left w:val="nil"/>
              <w:bottom w:val="nil"/>
              <w:right w:val="nil"/>
            </w:tcBorders>
            <w:shd w:val="clear" w:color="000000" w:fill="365F91"/>
            <w:noWrap/>
            <w:vAlign w:val="center"/>
            <w:hideMark/>
          </w:tcPr>
          <w:p w14:paraId="5A4BCE2A" w14:textId="77777777" w:rsidR="00DC1E1A" w:rsidRPr="008F01B7" w:rsidRDefault="00DC1E1A" w:rsidP="00E47779">
            <w:pPr>
              <w:spacing w:after="0"/>
              <w:jc w:val="left"/>
              <w:rPr>
                <w:rFonts w:ascii="Calibri" w:eastAsia="Times New Roman" w:hAnsi="Calibri" w:cs="Times New Roman"/>
                <w:color w:val="FFFFFF"/>
                <w:sz w:val="18"/>
                <w:szCs w:val="18"/>
                <w:lang w:val="en-GB" w:eastAsia="en-US"/>
              </w:rPr>
            </w:pPr>
            <w:r w:rsidRPr="008F01B7">
              <w:rPr>
                <w:rFonts w:ascii="Calibri" w:eastAsia="Times New Roman" w:hAnsi="Calibri" w:cs="Times New Roman"/>
                <w:color w:val="FFFFFF"/>
                <w:sz w:val="18"/>
                <w:szCs w:val="18"/>
                <w:lang w:val="en-GB" w:eastAsia="en-US"/>
              </w:rPr>
              <w:t>Totaal</w:t>
            </w:r>
          </w:p>
        </w:tc>
        <w:tc>
          <w:tcPr>
            <w:tcW w:w="712" w:type="dxa"/>
            <w:tcBorders>
              <w:top w:val="nil"/>
              <w:left w:val="nil"/>
              <w:bottom w:val="nil"/>
              <w:right w:val="nil"/>
            </w:tcBorders>
            <w:shd w:val="clear" w:color="000000" w:fill="A7BFDE"/>
            <w:noWrap/>
            <w:vAlign w:val="center"/>
            <w:hideMark/>
          </w:tcPr>
          <w:p w14:paraId="29310E94"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25</w:t>
            </w:r>
          </w:p>
        </w:tc>
        <w:tc>
          <w:tcPr>
            <w:tcW w:w="846" w:type="dxa"/>
            <w:tcBorders>
              <w:top w:val="nil"/>
              <w:left w:val="nil"/>
              <w:bottom w:val="nil"/>
              <w:right w:val="nil"/>
            </w:tcBorders>
            <w:shd w:val="clear" w:color="000000" w:fill="A7BFDE"/>
            <w:noWrap/>
            <w:vAlign w:val="center"/>
            <w:hideMark/>
          </w:tcPr>
          <w:p w14:paraId="5A091E21"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100,00%</w:t>
            </w:r>
          </w:p>
        </w:tc>
        <w:tc>
          <w:tcPr>
            <w:tcW w:w="712" w:type="dxa"/>
            <w:tcBorders>
              <w:top w:val="nil"/>
              <w:left w:val="nil"/>
              <w:bottom w:val="nil"/>
              <w:right w:val="nil"/>
            </w:tcBorders>
            <w:shd w:val="clear" w:color="000000" w:fill="A7BFDE"/>
            <w:noWrap/>
            <w:vAlign w:val="center"/>
            <w:hideMark/>
          </w:tcPr>
          <w:p w14:paraId="2AD5B414"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14</w:t>
            </w:r>
          </w:p>
        </w:tc>
        <w:tc>
          <w:tcPr>
            <w:tcW w:w="846" w:type="dxa"/>
            <w:tcBorders>
              <w:top w:val="nil"/>
              <w:left w:val="nil"/>
              <w:bottom w:val="nil"/>
              <w:right w:val="nil"/>
            </w:tcBorders>
            <w:shd w:val="clear" w:color="000000" w:fill="A7BFDE"/>
            <w:noWrap/>
            <w:vAlign w:val="center"/>
            <w:hideMark/>
          </w:tcPr>
          <w:p w14:paraId="636A1FCE"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100,00%</w:t>
            </w:r>
          </w:p>
        </w:tc>
        <w:tc>
          <w:tcPr>
            <w:tcW w:w="687" w:type="dxa"/>
            <w:tcBorders>
              <w:top w:val="nil"/>
              <w:left w:val="nil"/>
              <w:bottom w:val="nil"/>
              <w:right w:val="nil"/>
            </w:tcBorders>
            <w:shd w:val="clear" w:color="000000" w:fill="A7BFDE"/>
            <w:noWrap/>
            <w:vAlign w:val="center"/>
            <w:hideMark/>
          </w:tcPr>
          <w:p w14:paraId="7953190B"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39</w:t>
            </w:r>
          </w:p>
        </w:tc>
        <w:tc>
          <w:tcPr>
            <w:tcW w:w="846" w:type="dxa"/>
            <w:tcBorders>
              <w:top w:val="nil"/>
              <w:left w:val="nil"/>
              <w:bottom w:val="nil"/>
              <w:right w:val="nil"/>
            </w:tcBorders>
            <w:shd w:val="clear" w:color="000000" w:fill="A7BFDE"/>
            <w:noWrap/>
            <w:vAlign w:val="center"/>
            <w:hideMark/>
          </w:tcPr>
          <w:p w14:paraId="03F4BAD4"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100,00%</w:t>
            </w:r>
          </w:p>
        </w:tc>
        <w:tc>
          <w:tcPr>
            <w:tcW w:w="245" w:type="dxa"/>
            <w:tcBorders>
              <w:top w:val="nil"/>
              <w:left w:val="nil"/>
              <w:bottom w:val="nil"/>
              <w:right w:val="nil"/>
            </w:tcBorders>
            <w:shd w:val="clear" w:color="auto" w:fill="auto"/>
            <w:noWrap/>
            <w:vAlign w:val="bottom"/>
            <w:hideMark/>
          </w:tcPr>
          <w:p w14:paraId="5EB005FE" w14:textId="77777777" w:rsidR="00DC1E1A" w:rsidRPr="008F01B7" w:rsidRDefault="00DC1E1A" w:rsidP="003910BE">
            <w:pPr>
              <w:spacing w:after="0"/>
              <w:rPr>
                <w:rFonts w:ascii="Calibri" w:eastAsia="Times New Roman" w:hAnsi="Calibri" w:cs="Times New Roman"/>
                <w:color w:val="000000"/>
                <w:lang w:val="en-GB" w:eastAsia="en-US"/>
              </w:rPr>
            </w:pPr>
          </w:p>
        </w:tc>
        <w:tc>
          <w:tcPr>
            <w:tcW w:w="844" w:type="dxa"/>
            <w:tcBorders>
              <w:top w:val="nil"/>
              <w:left w:val="nil"/>
              <w:bottom w:val="nil"/>
              <w:right w:val="nil"/>
            </w:tcBorders>
            <w:shd w:val="clear" w:color="000000" w:fill="A7BFDE"/>
            <w:noWrap/>
            <w:vAlign w:val="center"/>
            <w:hideMark/>
          </w:tcPr>
          <w:p w14:paraId="21E2DD35" w14:textId="77777777" w:rsidR="00DC1E1A" w:rsidRPr="008F01B7" w:rsidRDefault="00DC1E1A" w:rsidP="003910BE">
            <w:pPr>
              <w:spacing w:after="0"/>
              <w:jc w:val="right"/>
              <w:rPr>
                <w:rFonts w:ascii="Calibri" w:eastAsia="Times New Roman" w:hAnsi="Calibri" w:cs="Times New Roman"/>
                <w:color w:val="000000"/>
                <w:sz w:val="18"/>
                <w:szCs w:val="18"/>
                <w:lang w:val="en-GB" w:eastAsia="en-US"/>
              </w:rPr>
            </w:pPr>
            <w:r w:rsidRPr="008F01B7">
              <w:rPr>
                <w:rFonts w:ascii="Calibri" w:eastAsia="Times New Roman" w:hAnsi="Calibri" w:cs="Times New Roman"/>
                <w:color w:val="000000"/>
                <w:sz w:val="18"/>
                <w:szCs w:val="18"/>
                <w:lang w:val="en-GB" w:eastAsia="en-US"/>
              </w:rPr>
              <w:t>87,88%</w:t>
            </w:r>
          </w:p>
        </w:tc>
      </w:tr>
    </w:tbl>
    <w:p w14:paraId="7FC713E4" w14:textId="77777777" w:rsidR="00DC1E1A" w:rsidRDefault="00DC1E1A" w:rsidP="00DC1E1A">
      <w:pPr>
        <w:rPr>
          <w:b/>
          <w:color w:val="4F81BD" w:themeColor="accent1"/>
          <w:sz w:val="20"/>
        </w:rPr>
      </w:pPr>
    </w:p>
    <w:p w14:paraId="1353176E" w14:textId="77777777" w:rsidR="00DC1E1A" w:rsidRPr="00401D3E" w:rsidRDefault="00DC1E1A" w:rsidP="00DC1E1A">
      <w:pPr>
        <w:rPr>
          <w:color w:val="4F81BD" w:themeColor="accent1"/>
          <w:sz w:val="20"/>
        </w:rPr>
      </w:pPr>
      <w:r w:rsidRPr="00401D3E">
        <w:rPr>
          <w:b/>
          <w:color w:val="4F81BD" w:themeColor="accent1"/>
          <w:sz w:val="20"/>
        </w:rPr>
        <w:t>Tabel 6.6:</w:t>
      </w:r>
      <w:r w:rsidRPr="00401D3E">
        <w:rPr>
          <w:color w:val="4F81BD" w:themeColor="accent1"/>
          <w:sz w:val="20"/>
        </w:rPr>
        <w:t xml:space="preserve"> De sectoren, per SBI klasse, waar ondernemers werk</w:t>
      </w:r>
      <w:r>
        <w:rPr>
          <w:color w:val="4F81BD" w:themeColor="accent1"/>
          <w:sz w:val="20"/>
        </w:rPr>
        <w:t>t</w:t>
      </w:r>
      <w:r w:rsidRPr="00401D3E">
        <w:rPr>
          <w:color w:val="4F81BD" w:themeColor="accent1"/>
          <w:sz w:val="20"/>
        </w:rPr>
        <w:t>en voordat zij hun bedrijf startten.</w:t>
      </w:r>
      <w:r>
        <w:rPr>
          <w:color w:val="4F81BD" w:themeColor="accent1"/>
          <w:sz w:val="20"/>
        </w:rPr>
        <w:t xml:space="preserve"> De meest rechter kolom geeft de percentages per sector voor alle bedrijven in 1998 in de regio’s Woerden en Veenendaal (bijeengevoegd) weer.</w:t>
      </w:r>
    </w:p>
    <w:p w14:paraId="75B68557" w14:textId="77777777" w:rsidR="00DC1E1A" w:rsidRDefault="00DC1E1A" w:rsidP="00DC1E1A"/>
    <w:p w14:paraId="76264527" w14:textId="77777777" w:rsidR="00DC1E1A" w:rsidRDefault="00DC1E1A" w:rsidP="00DC1E1A">
      <w:r>
        <w:t>De sectoren die de meeste respondenten voortbrachten zijn bouw, handel en informatie en communicatie. De verdeling van respondenten over de sectoren is daarmee vrijwel gelijk aan de grootte die de sectoren in de totale economie van de regio’s in 1998, voordat de bedrijven werden opgericht, hadden. Handel en overige zakelijke dienstverlening zijn respectievelijk 5,7% en 12,6% ondervertegenwoordigd, en informatie en communicatie 8,1% oververtegenwoordigd. Andere sectoren wijken minder dan 5% af van de totale hoeveelheid bedrijven in de regio’s.</w:t>
      </w:r>
    </w:p>
    <w:p w14:paraId="3537CE66" w14:textId="77777777" w:rsidR="00DC1E1A" w:rsidRDefault="00DC1E1A" w:rsidP="00DC1E1A">
      <w:pPr>
        <w:ind w:firstLine="720"/>
      </w:pPr>
      <w:r>
        <w:t>De sectoren met de meeste spin-offs zijn handel, informatie en communicatie en verhuur en overige zakelijke dienstverlening. In deze laatste sector zijn zelfs alle vier de respondenten spin-off. In handel en informatie en communicatie geldt dit voor vier van de vijf bedrijven. De sectoren waar respondenten minder gebruik bleven maken van hun eerdere ervaring zijn specialistische zakelijke dienstverlening (één van de drie) en bouw (drie van de vijf). De manier waarop spin-offs over de sectoren zijn verdeeld benaderd de verdeling van bedrijven in 1998 nog sterker dan die van het totaal aantal respondenten. De enige sectoren die meer dan 5% afwijkt ten opzichte van het totale bedrijfsaanbod in de regio’s zijn verhuur en overige zakelijke dienstverlening, met 5,7% oververtegenwoordiging, de zorg en landbouw. Deze laatste twee sectoren komen niet onder de ondervraagde starters voor, maar beslaan respectievelijk 8,33% en 6,55%% van de bedrijfsvestigingen in de regio’s Woerden en Veenendaal. Buiten deze twee sectoren komen de sectoren die spin-offs genereren vrijwel overeen qua grootte met de sectoren die al groot zijn in de onderzoeksregio’s.</w:t>
      </w:r>
    </w:p>
    <w:p w14:paraId="38F5E1D1" w14:textId="13236CF2" w:rsidR="00DC1E1A" w:rsidRDefault="00DC1E1A" w:rsidP="00DC1E1A">
      <w:pPr>
        <w:ind w:firstLine="720"/>
      </w:pPr>
      <w:r w:rsidRPr="00605174">
        <w:t>Om te kijken sommige sectoren meer spin-offs genereren dan anderen is ook getoetst of de SBI-code van het ouderbedrijf invloed heeft op de kans dat een bedrijf dat door de werknemers gesticht is oom daadwerkelijk de opgedane ervaring benut</w:t>
      </w:r>
      <w:r w:rsidR="00914B5B">
        <w:t xml:space="preserve"> (zie bijlage 1.12)</w:t>
      </w:r>
      <w:r w:rsidRPr="00605174">
        <w:t xml:space="preserve">. </w:t>
      </w:r>
      <w:r>
        <w:t>Omdat dit aan de hand van een Chi-kwadraat toets gedaan is, zijn de SBI-codes op dezelfde manier verdeeld als bij de vorige toets naar SBI-code. Dit keer zijn de drie ondernemers die eerder student waren, en de ondernemer die niet wilde zeggen waar hij eerder werkte meegenomen in de eerste groep. De eerste groep omvat 46,2% van de respondenten, de tweede groep 53,8.</w:t>
      </w:r>
    </w:p>
    <w:p w14:paraId="4BE4E2B2" w14:textId="2D299320" w:rsidR="00DC1E1A" w:rsidRDefault="00DC1E1A" w:rsidP="00DC1E1A">
      <w:r>
        <w:tab/>
        <w:t xml:space="preserve">Ondanks deze twee grote groepen is er toch een verwachtte waarde van onder de vijf, zodat er gebruik wordt gemaakt van Fisher’s exacte toets. De significantie hiervan bedraagt 1,00, </w:t>
      </w:r>
      <w:r w:rsidR="00CA27BA">
        <w:t>en dus is de sector van het ouderbedrijf niet significant van invloed op de kans dat een bedrijf een spin-off is.</w:t>
      </w:r>
    </w:p>
    <w:p w14:paraId="065C81A0" w14:textId="42F90204" w:rsidR="00DC1E1A" w:rsidRDefault="002511AC" w:rsidP="00C94930">
      <w:pPr>
        <w:pStyle w:val="Heading1"/>
      </w:pPr>
      <w:bookmarkStart w:id="88" w:name="_Toc316143599"/>
      <w:bookmarkStart w:id="89" w:name="_Toc337655453"/>
      <w:r>
        <w:t>6.10</w:t>
      </w:r>
      <w:r w:rsidR="00C94930">
        <w:t xml:space="preserve"> </w:t>
      </w:r>
      <w:r w:rsidR="00DC1E1A">
        <w:t>Vorige functie ondernemer</w:t>
      </w:r>
      <w:bookmarkEnd w:id="88"/>
      <w:bookmarkEnd w:id="89"/>
    </w:p>
    <w:p w14:paraId="25E58702" w14:textId="77777777" w:rsidR="00DC1E1A" w:rsidRDefault="00DC1E1A" w:rsidP="00DC1E1A">
      <w:r>
        <w:t>De sector waarin iemand werkzaam is geeft aan wat voor soort eindproduct of service de respondent meewerkte, maar dit zegt weinig over het werk dat de respondent zelf deed. Daarom is ook gevraagd of de respondenten als vorige werk ondernemer of werkgever waren, en als zij werknemer waren, of zij een managementfunctie hebben. Vaardigheden als ondernemer of manager zijn van ondernemers in iedere sector vereist. Daarom wordt in deze paragraaf gekeken of ervaring als ondernemer of manager invloed heeft op de bruikbare kennis die ondernemers hebben bij het starten van hun bedrijf.</w:t>
      </w:r>
    </w:p>
    <w:p w14:paraId="71790DD2" w14:textId="77777777" w:rsidR="00DC1E1A" w:rsidRPr="00322C57" w:rsidRDefault="00DC1E1A" w:rsidP="00DC1E1A"/>
    <w:p w14:paraId="4C143709" w14:textId="77777777" w:rsidR="00DC1E1A" w:rsidRDefault="00DC1E1A" w:rsidP="00DC1E1A">
      <w:r>
        <w:rPr>
          <w:noProof/>
          <w:lang w:val="en-US" w:eastAsia="en-US"/>
        </w:rPr>
        <w:drawing>
          <wp:inline distT="0" distB="0" distL="0" distR="0" wp14:anchorId="0E52655A" wp14:editId="75D1DDF0">
            <wp:extent cx="4572000" cy="2743200"/>
            <wp:effectExtent l="0" t="0" r="25400"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9036F3" w14:textId="6771DAD5" w:rsidR="00DC1E1A" w:rsidRPr="00DA5F29" w:rsidRDefault="002511AC" w:rsidP="00DC1E1A">
      <w:pPr>
        <w:rPr>
          <w:color w:val="4F81BD" w:themeColor="accent1"/>
          <w:sz w:val="20"/>
        </w:rPr>
      </w:pPr>
      <w:r>
        <w:rPr>
          <w:b/>
          <w:color w:val="4F81BD" w:themeColor="accent1"/>
          <w:sz w:val="20"/>
        </w:rPr>
        <w:t>Afbeelding 6.9</w:t>
      </w:r>
      <w:r w:rsidR="00DC1E1A" w:rsidRPr="00DA5F29">
        <w:rPr>
          <w:b/>
          <w:color w:val="4F81BD" w:themeColor="accent1"/>
          <w:sz w:val="20"/>
        </w:rPr>
        <w:t>:</w:t>
      </w:r>
      <w:r w:rsidR="00DC1E1A" w:rsidRPr="00DA5F29">
        <w:rPr>
          <w:color w:val="4F81BD" w:themeColor="accent1"/>
          <w:sz w:val="20"/>
        </w:rPr>
        <w:t xml:space="preserve"> Verhouding tussen start-ups en spin-offs naar achtergrond van de bedrijfsoprichter.</w:t>
      </w:r>
    </w:p>
    <w:p w14:paraId="3D98EA95" w14:textId="77777777" w:rsidR="00DC1E1A" w:rsidRDefault="00DC1E1A" w:rsidP="00DC1E1A"/>
    <w:p w14:paraId="2E6C3BF5" w14:textId="77777777" w:rsidR="00DC1E1A" w:rsidRDefault="00DC1E1A" w:rsidP="00DC1E1A">
      <w:r>
        <w:t>De resultaten in afbeelding 6.2 laten zien dat ervaring als ondernemer of als manager door alle respondenten die hierover beschikken als voordeel gezien wordt. Ook 45,5% van de 22 ondernemers die eerder geen managementfunctie had gaf aan gebruik te kunnen maken van ervaring die bij hun vorige werkgever is opgedaan. Tot slot waren drie ondernemers student, zonder eerdere fulltime werkervaring voor hun ondernemerschap.</w:t>
      </w:r>
    </w:p>
    <w:p w14:paraId="363A7D19" w14:textId="51173FAD" w:rsidR="00DC1E1A" w:rsidRDefault="00DC1E1A" w:rsidP="00C94930">
      <w:pPr>
        <w:ind w:firstLine="720"/>
      </w:pPr>
      <w:r>
        <w:t>Om de significantie van managementervaring aan te geven, is gebruik gemaakt de van de Chi-kwadraat toets en zijn de groepen ondernemer en managementervaring samengevoegd</w:t>
      </w:r>
      <w:r w:rsidR="00914B5B">
        <w:t xml:space="preserve"> (zie bijlage 1.14)</w:t>
      </w:r>
      <w:r>
        <w:t>. Ook student en werknemer overig zijn samengevoegd, zodat de test geen vakvulling van onder de vijf bevat, en aangeeft of management ervaring een rol speelt (ook ondernemers zijn immer managers). De significantie bedraagt 0,035 bij één vrijheidsgraad, dus minder dan 0,05. Hierdoor kan met 95% zekerheid gezegd worden dat ondernemers die eerder een managersfunctie hadden of al ondernemer waren vaker kennis uit eerdere ervaring hergebruiken. De bijbehorende phi-waarde van 0,337 geeft aan dat het verband matig sterk is.</w:t>
      </w:r>
    </w:p>
    <w:p w14:paraId="7CDE0BE2" w14:textId="107BFC83" w:rsidR="00DC1E1A" w:rsidRDefault="002511AC" w:rsidP="00C94930">
      <w:pPr>
        <w:pStyle w:val="Heading1"/>
      </w:pPr>
      <w:bookmarkStart w:id="90" w:name="_Toc316143600"/>
      <w:bookmarkStart w:id="91" w:name="_Toc337655454"/>
      <w:r>
        <w:t>6.11</w:t>
      </w:r>
      <w:r w:rsidR="00C94930">
        <w:t xml:space="preserve"> </w:t>
      </w:r>
      <w:r w:rsidR="00DC1E1A">
        <w:t>Interviews</w:t>
      </w:r>
      <w:bookmarkEnd w:id="90"/>
      <w:bookmarkEnd w:id="91"/>
    </w:p>
    <w:p w14:paraId="6D7ADB34" w14:textId="31BB3142" w:rsidR="00DC1E1A" w:rsidRDefault="00DC1E1A" w:rsidP="00DC1E1A">
      <w:r>
        <w:t xml:space="preserve">Voor een gedetailleerder beeld </w:t>
      </w:r>
      <w:r w:rsidR="008A53EF">
        <w:t>van</w:t>
      </w:r>
      <w:r>
        <w:t xml:space="preserve"> spin-offs is er met de volgende drie respondenten uitgebreider gesproken dan de standaard vragenlijst</w:t>
      </w:r>
      <w:r w:rsidR="00D77BA1">
        <w:t xml:space="preserve"> van het telefoononderzoek</w:t>
      </w:r>
      <w:r>
        <w:t>. Zo wordt ook duidelijk hoe spin-offs zich in de praktijk gedragen. De vragenlijst en interviews zijn te vinden in bijlage 2.1, de volledige transcripties in bijlagen 2.2-2.4.</w:t>
      </w:r>
    </w:p>
    <w:p w14:paraId="1D384EB5" w14:textId="77777777" w:rsidR="00DC1E1A" w:rsidRDefault="00DC1E1A" w:rsidP="00DC1E1A">
      <w:pPr>
        <w:ind w:firstLine="720"/>
      </w:pPr>
      <w:r>
        <w:t>Wolswinkel was eerst directeur (maar niet de oprichter) van een bedrijf dat meubels maakte en heeft nu een bedrijf dat metaal bewerkt. Wolswinkel’s bedrijf, opgericht als Wolswinkel Lasertech, maar nu WeMetal genoemd, is het grootste bedrijf dat gereageerd heeft in het onderzoek, en is tussen 2003 en 2013 gegroeid tot vijftien fulltime werknemers. Het tweede interview was met van Lieshout, die eerder afdelingsmanager bij de bijenkorf was en nu een eigen juwelier heeft. Het laatste interview was met Diepeveen, die eerder reparaties uitvoerde voor het grote infrastructurele bedrijf KWS, en nu met een eigen bedrijf kleine wegenreparaties uitvoert.</w:t>
      </w:r>
    </w:p>
    <w:p w14:paraId="14303020" w14:textId="77777777" w:rsidR="00DC1E1A" w:rsidRDefault="00DC1E1A" w:rsidP="00DC1E1A"/>
    <w:p w14:paraId="17B30236" w14:textId="77777777" w:rsidR="00DC1E1A" w:rsidRPr="00776B4E" w:rsidRDefault="00DC1E1A" w:rsidP="00C94930">
      <w:pPr>
        <w:pStyle w:val="Heading2"/>
      </w:pPr>
      <w:r>
        <w:t>Rede voor spin-off</w:t>
      </w:r>
    </w:p>
    <w:p w14:paraId="49688924" w14:textId="77777777" w:rsidR="00DC1E1A" w:rsidRDefault="00DC1E1A" w:rsidP="00DC1E1A">
      <w:r>
        <w:t>De rede voor het starten van de nieuwe bedrijven verschilde bij de drie geïnterviewden. De meubelfabriek waar Wolswinkel werkte had moeite om klanten te vinden voor hun producten, en ondanks uitbreidingen naar het buitenland ging het bedrijf failliet. Hoewel de meubelfabriek een doorstart kon maken onder een Zweeds bedrijf dat winkelinterieurs ontwikkeld, had Wolswinkel het bedrijf bij het faillissement verlaten. Hij zag meer potentie in de productietechnieken dan in de producten waar hij eerder mee werkte. Daarom besloot hij een nieuw bedrijf op te richten dat niet langer zelf producten ontwikkelt om vervolgens te verkopen, maar om alleen nog productiewerk uit te voeren in opdracht van derden. In het begin draaide zijn bedrijf voornamelijk om een nieuw model lasersnijder, waar Wolswinkel in het laatste jaar bij de meubelfabrikant mee had leren werken. Om nieuwe orders binnen te halen en klanten tevreden te houden is het bedrijf langzaam uitgebreid met steeds meer metaalbewerkingsmethoden: “nu proberen we We-Metal zoveel mogelijk te laten groeien en steeds meer te flexibiliseren in onze productie”.</w:t>
      </w:r>
    </w:p>
    <w:p w14:paraId="4A61F468" w14:textId="77777777" w:rsidR="00DC1E1A" w:rsidRDefault="00DC1E1A" w:rsidP="00DC1E1A">
      <w:r>
        <w:tab/>
        <w:t>Lieshout werkte als afdelingsmanager op de afdeling accessoires van de Bijenkorf in Utrecht, maar verlangde naar meer autonomie, en meer persoonlijk werk dan zij bij het warenhuis had: “Met zo’n kleine winkel kan je veel meer zelf bedenken, zelf beslissen. En je bent gewoon veel meer met klanten bezig. Het is persoonlijker”. Daarom besloot zij een kleinschalige juwelierswinkel te beginnen in Wijk bij Duurstede, waar zij haar eigen smaak een grotere rol kon laten spelen in het assortiment en meer persoonlijk advies aan klanten kon geven.</w:t>
      </w:r>
    </w:p>
    <w:p w14:paraId="2AEA1AD1" w14:textId="77777777" w:rsidR="00DC1E1A" w:rsidRDefault="00DC1E1A" w:rsidP="00DC1E1A">
      <w:r>
        <w:tab/>
        <w:t>Diepeveen werkte als medewerker bij KWS wegenbouw, waar hij reparaties aan asfalt uitvoerde. KWS besloot zich echter alleen nog met nieuwbouw en grootschalig onderhoud van wegen bezig te gaan houden. Diepeveen doet nog steeds dezelfde reparaties als hij voor KWS uitvoerde, “…de kleine gaatjes, de spoedoperaties, die heb ik overgenomen.” Hij doet dit nu zelfstandig, met eigen materiaal dat hij deels van KWS overnam. Ook verwijst KWS nog steeds klanten door naar Diepeveen, wanneer zij kleinschalige schade aan asfalt melden.</w:t>
      </w:r>
    </w:p>
    <w:p w14:paraId="72138004" w14:textId="480D68E9" w:rsidR="00DC1E1A" w:rsidRDefault="00DC1E1A" w:rsidP="00DC1E1A">
      <w:pPr>
        <w:ind w:firstLine="720"/>
      </w:pPr>
      <w:r>
        <w:t>Uit twee van de interviews blijkt dus dat het verlaten van het vorige werk uit gedwongen omstandigheden voortkomt (faillissement, het stopzetten van een service)</w:t>
      </w:r>
      <w:r w:rsidR="001D52C9">
        <w:t xml:space="preserve">. Deze bedrijven worden gerekend tot de </w:t>
      </w:r>
      <w:r w:rsidR="001D52C9">
        <w:rPr>
          <w:i/>
        </w:rPr>
        <w:t>push</w:t>
      </w:r>
      <w:r w:rsidR="001D52C9">
        <w:t xml:space="preserve"> spin-offs, die in onderzoek van Eriksson en Kuhn (2005) aanzienlijk minder goed presteerden dan andere starters</w:t>
      </w:r>
      <w:r>
        <w:t xml:space="preserve">. Alleen </w:t>
      </w:r>
      <w:r w:rsidR="00EA1600">
        <w:t xml:space="preserve">stopte haar baan vrijwillig </w:t>
      </w:r>
      <w:r>
        <w:t>met vooraf het idee om een eigen bedrijf te starten</w:t>
      </w:r>
      <w:r w:rsidR="001D52C9">
        <w:t xml:space="preserve"> en kan </w:t>
      </w:r>
      <w:r w:rsidR="002F0334">
        <w:t>t</w:t>
      </w:r>
      <w:r w:rsidR="001D52C9">
        <w:t xml:space="preserve">ot de </w:t>
      </w:r>
      <w:r w:rsidR="001D52C9">
        <w:rPr>
          <w:i/>
        </w:rPr>
        <w:t>push</w:t>
      </w:r>
      <w:r w:rsidR="001D52C9">
        <w:t xml:space="preserve"> spin-offs worden gerekend</w:t>
      </w:r>
      <w:r>
        <w:t>.</w:t>
      </w:r>
    </w:p>
    <w:p w14:paraId="71230D37" w14:textId="77777777" w:rsidR="00DC1E1A" w:rsidRDefault="00DC1E1A" w:rsidP="00DC1E1A"/>
    <w:p w14:paraId="68BEE93E" w14:textId="77777777" w:rsidR="00DC1E1A" w:rsidRPr="00032892" w:rsidRDefault="00DC1E1A" w:rsidP="00C94930">
      <w:pPr>
        <w:pStyle w:val="Heading2"/>
      </w:pPr>
      <w:r>
        <w:t>Voordelen spin-offs</w:t>
      </w:r>
    </w:p>
    <w:p w14:paraId="7F06EFDF" w14:textId="77777777" w:rsidR="00DC1E1A" w:rsidRDefault="00DC1E1A" w:rsidP="00DC1E1A">
      <w:r>
        <w:t>Uit elk van de drie interviews bleek dat de ervaring met processen vanuit de vorige werkgever van belang was in het nieuwe bedrijf. Voormalig directeur Wolswinkel en voormalig afdelingsleidster Lieshout konden gebruikmaken van hun al ontwikkelde leidinggevende capaciteiten. Diepeveen was wel gewend de leiding te hebben bij reparaties in groepsverband, maar hoefde hierbij niet na te denken over administratie, eigen apparatuur of personeel. Wel konden zowel Diepeveen als Wolswinkel gebruik blijven maken van dezelfde technieken en machines als waar zij bij hun vorige baan mee hadden leren werken. Diepeveen: “Die machine heb ik overgenomen, het werk is nog hetzelfde”. Bij het werk dat Lieshout doet komt geen techniek kijken, maar ervaring met in- en verkoop komt van pas. Ook kennis van de producten en ook opgedane klantvriendelijkheid kon zij blijven inzetten toen zij onafhankelijk werd van de Bijenkorf.</w:t>
      </w:r>
    </w:p>
    <w:p w14:paraId="482D43FC" w14:textId="77777777" w:rsidR="00DC1E1A" w:rsidRDefault="00DC1E1A" w:rsidP="00DC1E1A">
      <w:r>
        <w:tab/>
        <w:t xml:space="preserve">Samen met kennis van producten leerde Lieshout ook kennismaken met de leveranciers waar zij nu nog mee te maken heeft “De merken die we hier verkopen hadden we ook bij de Bijenkorf, dus met die merken ben ik gewoon verder gegaan”. Buiten deze mensen hebben sociale contacten vanuit haar tijd bij de Bijenkorf echter geen belang in haar huidige winkel. Zowel Diepeveen als Wolswinkel hebben personeel dat zij leerden kennen bij het vorige bedrijf waar zij werkten. Daarnaast geldt KWS nog als belangrijk </w:t>
      </w:r>
      <w:r>
        <w:rPr>
          <w:i/>
        </w:rPr>
        <w:t>social capital</w:t>
      </w:r>
      <w:r>
        <w:t xml:space="preserve"> voor Diepeveen door het doorsturen van klanten die een kleine of snelle reparatie nodig hebben.</w:t>
      </w:r>
    </w:p>
    <w:p w14:paraId="0B95EBB3" w14:textId="77777777" w:rsidR="00DC1E1A" w:rsidRDefault="00DC1E1A" w:rsidP="00DC1E1A">
      <w:r>
        <w:tab/>
        <w:t>Hoewel Wolswinkel al de leiding had over een bedrijf voordat hij zelf een nieuwe onderneming startte, kon Diepeveen niet uit managementervaring putten.  Hierdoor moest hij zelf uitvinden hoe hij zijn financiën en personeelszaken moest regelen. Hij geeft echter aan geen grote problemen gehad te hebben bij de overstap van werknemer naar werkgever. Wel kost het vinden van klanten hem nu meer moeite: “Bij KWS kreeg je gewoon een opdracht, nu moet je die opdrachten zelf vinden (…) dus ik heb wat foldertjes laten drukken, en [web]site laten maken”.</w:t>
      </w:r>
    </w:p>
    <w:p w14:paraId="117FDAA4" w14:textId="77777777" w:rsidR="00DC1E1A" w:rsidRPr="009E1D16" w:rsidRDefault="00DC1E1A" w:rsidP="00DC1E1A">
      <w:pPr>
        <w:ind w:firstLine="720"/>
        <w:rPr>
          <w:u w:val="single"/>
        </w:rPr>
      </w:pPr>
      <w:r>
        <w:t>Als middelmanagement bij de Bijenkorf had Lieshout wel ervaring met personeel en inkoop, maar het leiden van een kleine eigen winkel is toch anders dan een afdeling binnen een grote organisatie. “Met een grote organisatie als de Bijenkorf heb je toch wel veel meer ruimte om in te kopen, om geld uit te geven. Ik kan hier geen grote partijen nemen voor extra kortingen.” Ook het financieren van maanden dat de winkel minder goed loopt is een probleem waar ze bij de Bijenkorf niet mee te maken had.</w:t>
      </w:r>
    </w:p>
    <w:p w14:paraId="70F38A49" w14:textId="77777777" w:rsidR="00DC1E1A" w:rsidRDefault="00DC1E1A" w:rsidP="00DC1E1A">
      <w:r>
        <w:tab/>
        <w:t xml:space="preserve"> </w:t>
      </w:r>
    </w:p>
    <w:p w14:paraId="4A0D0203" w14:textId="77777777" w:rsidR="00DC1E1A" w:rsidRPr="00032892" w:rsidRDefault="00DC1E1A" w:rsidP="00C94930">
      <w:pPr>
        <w:pStyle w:val="Heading2"/>
      </w:pPr>
      <w:r>
        <w:t>Locatiekeuze</w:t>
      </w:r>
    </w:p>
    <w:p w14:paraId="701311B7" w14:textId="77777777" w:rsidR="00DC1E1A" w:rsidRDefault="00DC1E1A" w:rsidP="00DC1E1A">
      <w:r>
        <w:t xml:space="preserve">De drie ondernemers die zijn geïnterviewd, zijn gevestigd in regio Veenendaal. Wolswinkel werkte hiervoor ook al in regio Veenendaal, in Woudenberg, en heeft zijn huidige bedrijf in Renswoude gevestigd. Ook Diepeveen is nu in Renswoude gevestigd, maar werkte hiervoor voornamelijk vanuit Zwijndrecht, in Zuid-Holland. Zowel bij zijn vorige baan als met zijn huidige bedrijf rijdt hij door heel Nederland heen en is de bedrijfslocatie voornamelijk een opslagplaats. Lieshout heeft haar winkel in Wijk bij Duurstede gevestigd, een kleine dertig kilometer van de Bijenkorf waar zij daarvoor in Utrecht werkte. </w:t>
      </w:r>
    </w:p>
    <w:p w14:paraId="269B9783" w14:textId="627E98BC" w:rsidR="00DC1E1A" w:rsidRDefault="00DC1E1A" w:rsidP="00DC1E1A">
      <w:pPr>
        <w:ind w:firstLine="720"/>
      </w:pPr>
      <w:r>
        <w:t>Uit de drie interviews bleek dat alle geïnterviewden hun nieuwe bedrijf in de omgeving van hun huis hebben opgericht. Dit wordt als een groot voordeel gezien. Diepeveen: “Ik heb hier mijn huis, mijn leven, en dit is dichtbij”. Voor Lieshout gold hiernaast als belangrijke voorwaarde dat er lokale een markt moest zijn voor een kleine juwelier. “In Utrecht zijn ook al genoeg van dit soort winkels”. Ook was het vinden een aantrekkelijk pand in een winkelgebied een belangrijke factor voor haar. “Het heeft hier ook iets gezelligs, da</w:t>
      </w:r>
      <w:r w:rsidR="006C7696">
        <w:t>ar heb ik het ook wel op uitgezo</w:t>
      </w:r>
      <w:r>
        <w:t>cht”.</w:t>
      </w:r>
    </w:p>
    <w:p w14:paraId="3A104426" w14:textId="77777777" w:rsidR="00DC1E1A" w:rsidRDefault="00DC1E1A" w:rsidP="00DC1E1A">
      <w:pPr>
        <w:ind w:firstLine="720"/>
      </w:pPr>
      <w:r>
        <w:t>De klanten van zowel Diepeveen zitten echter niet altijd in de directe omgeving, hoewel de spoedopdrachten wel vaak uit de omgeving komen, en hij meer werk van vaste klanten krijgt die vaak relatief dichtbij zitten. Klanten komen echter maar zelden naar Diepeveen zelf toe: “Vaak ga ik bij hen langs, of we doen het alleen aan de telefoon en met e-mail”.</w:t>
      </w:r>
    </w:p>
    <w:p w14:paraId="1D132B31" w14:textId="44331C43" w:rsidR="00DC1E1A" w:rsidRDefault="00DC1E1A" w:rsidP="00DC1E1A">
      <w:pPr>
        <w:ind w:firstLine="720"/>
      </w:pPr>
      <w:r>
        <w:t>Voor Wolswinkel maakt geografie helemaal niet uit als het contact met klanten betreft. Dit bedrijf heeft zelfs veel opdrachtgevers in het buitenland. “Die zie je over internet, spreek je aan de telefoon”. Wolswinkel en Diepeveen zijn dus minder afhankelijk van de lokale markt. Hoewel Diepeveen zijn klanten binnen rij-afstand te vinden zijn, gaf de nabijheid van zijn woning als enige rede voor de locatiekeuze. Wolswinkel wilde de bedrijfslocatie niet alleen dicht bij zijn eigen huis, maar ook bij het personeel dat eerder bij hem werkte bij ISC. Daarnaast moest er genoeg ruimte op het bedrijventerrein zijn voor de plannen van Wolswinkel. Door een bedrijventerrein te kiezen waar nog genoeg ruimte over was, kon hij in 2013 zijn bedrijfspand uitbreiden met een tweede productiehal.</w:t>
      </w:r>
    </w:p>
    <w:p w14:paraId="036CB1EC" w14:textId="77777777" w:rsidR="00DC1E1A" w:rsidRDefault="00DC1E1A" w:rsidP="00DC1E1A"/>
    <w:p w14:paraId="618349A4" w14:textId="569C6E78" w:rsidR="008768AF" w:rsidRDefault="00DC1E1A" w:rsidP="006B55BB">
      <w:r>
        <w:t>Hoewel de drie geïnterviewde oprichters</w:t>
      </w:r>
      <w:r w:rsidR="001A7EFF">
        <w:t xml:space="preserve"> van</w:t>
      </w:r>
      <w:r>
        <w:t xml:space="preserve"> spin-offs in dezelfde regio gestart zijn, zijn er dus grote verschillen in de mate waarop hun vorig werk het huidige bedrijf beïnvloedt heeft. Wolswinkel zijn nieuwe bedrijf is niet productgerelateerd aan het vorig werk wat hij deed, en bevindt zich dus in een nieuwe sector op SBI-niveau, maar het werk is wel technisch gerelateerd.  Zijn We-metal diversifieert juist zoveel mogelijk in producten die gemaakt worden, zolang het productieproces bij het bedrijf past. Hij is wel uit op verdere groei van het bedrijf. Wolswinkel is daarmee een duidelijk voorbeeld van een ondernemer die zo veel </w:t>
      </w:r>
      <w:r w:rsidR="008768AF">
        <w:t>mogelijk wil</w:t>
      </w:r>
      <w:r>
        <w:t xml:space="preserve"> profiteren van de kennis die hij in zijn loopbaan heeft opgedaan</w:t>
      </w:r>
      <w:r w:rsidR="008768AF">
        <w:t>. Van de geïnterviewde ondernemers is Wolswinkel</w:t>
      </w:r>
      <w:r w:rsidR="003F3B92">
        <w:t xml:space="preserve"> ondanks de start als </w:t>
      </w:r>
      <w:r w:rsidR="003F3B92">
        <w:rPr>
          <w:i/>
        </w:rPr>
        <w:t>push</w:t>
      </w:r>
      <w:r w:rsidR="003F3B92">
        <w:t xml:space="preserve"> spin-off</w:t>
      </w:r>
      <w:r w:rsidR="008768AF">
        <w:t xml:space="preserve"> het duidelijkste voorbeeld van innovatie op basis van bestaande </w:t>
      </w:r>
      <w:r w:rsidR="008768AF" w:rsidRPr="008768AF">
        <w:rPr>
          <w:i/>
        </w:rPr>
        <w:t>skills</w:t>
      </w:r>
      <w:r w:rsidR="008768AF">
        <w:t xml:space="preserve"> en netwerk. WeMetal</w:t>
      </w:r>
      <w:r w:rsidR="001D52C9">
        <w:t xml:space="preserve"> b</w:t>
      </w:r>
      <w:r w:rsidR="008768AF">
        <w:t>ouwt deze kennis verder uit door steeds nieuwe productie methodes in het portofolio te voegen en in werkgelegenheid te groeien.</w:t>
      </w:r>
    </w:p>
    <w:p w14:paraId="2A527D29" w14:textId="3CEED950" w:rsidR="00C9734D" w:rsidRDefault="00DC1E1A" w:rsidP="00C9734D">
      <w:pPr>
        <w:ind w:firstLine="720"/>
      </w:pPr>
      <w:r>
        <w:t xml:space="preserve">Diepeveen en van Lieshout zijn op een kleinere schaal een eigen bedrijf begonnen in dezelfde sector als hun werkgever. Van Diepeveen zet zijn eerdere werk voort als afzonderlijk bedrijf, zonder verdere ambities. Voor van Lieshout is de kleinschaligheid juist de rede dat </w:t>
      </w:r>
      <w:r w:rsidR="00C94930">
        <w:t>zij een eigen winkel oprichtte.</w:t>
      </w:r>
    </w:p>
    <w:p w14:paraId="39985899" w14:textId="20C83D92" w:rsidR="00C9734D" w:rsidRDefault="00C9734D" w:rsidP="00C9734D">
      <w:pPr>
        <w:pStyle w:val="Heading1"/>
      </w:pPr>
      <w:bookmarkStart w:id="92" w:name="_Toc337655455"/>
      <w:r>
        <w:t>6.12 Conclusie</w:t>
      </w:r>
      <w:bookmarkEnd w:id="92"/>
    </w:p>
    <w:p w14:paraId="3213B2A5" w14:textId="453739C4" w:rsidR="00C9734D" w:rsidRDefault="00C9734D" w:rsidP="00C9734D">
      <w:r>
        <w:t xml:space="preserve">Het is door de kleine respons niet mogelijk om </w:t>
      </w:r>
      <w:r w:rsidR="00495B14">
        <w:t xml:space="preserve">uitspraken te doen over gerelateerde variëteit. </w:t>
      </w:r>
      <w:r w:rsidR="00D127A9">
        <w:t>Hoewel respondenten wel daadwerkelijk kennis gebruikten die zij in de vorige stap van hun carrière hebben opgedaan, maar verbanden tussen verschillende sectoren waren niet aan te tonen.</w:t>
      </w:r>
      <w:r w:rsidR="008C53E4">
        <w:t xml:space="preserve"> Een tweede oorzaak is dat veel ondernemers buiten de regio werkten voordat zij een eigen bedrijf startten. Hierdoor komt de kennis die zij hebben bij het starten van hun bedrijf van buiten de regio en houdt deze kennis weinig verband met de kennis binnen regio Woerden of Veenendaal.</w:t>
      </w:r>
      <w:r w:rsidR="00D127A9">
        <w:t xml:space="preserve"> De omvang van een sector in 1998 lijkt de beste indicator te zijn voor het aantal spi</w:t>
      </w:r>
      <w:r w:rsidR="008C53E4">
        <w:t>n-offs dat wordt voortgebracht.</w:t>
      </w:r>
    </w:p>
    <w:p w14:paraId="1C2F2D1F" w14:textId="69865067" w:rsidR="00E87390" w:rsidRPr="00C9734D" w:rsidRDefault="00E87390" w:rsidP="00C9734D">
      <w:r>
        <w:tab/>
        <w:t>De interviews onderschrijven dat veel ondernemers eerder werkten buiten regio Woerden of Veenendaal. Veel mensen die in deze regio wonen werken buiten de regio, maar als zij zelf een bedrijf starten doen zij dit bij hun woonplaats.</w:t>
      </w:r>
      <w:r w:rsidR="00E6319C">
        <w:t xml:space="preserve"> </w:t>
      </w:r>
      <w:r w:rsidR="00D44904">
        <w:t>Ook het belang van kennis uit de vorige stap van de carrière van ondernemers kwam hier terug.</w:t>
      </w:r>
    </w:p>
    <w:p w14:paraId="30EDBFA6" w14:textId="75191D61" w:rsidR="00C67B68" w:rsidRPr="006B55BB" w:rsidRDefault="00C67B68" w:rsidP="00C94930">
      <w:pPr>
        <w:pStyle w:val="Title"/>
      </w:pPr>
      <w:r>
        <w:br w:type="column"/>
      </w:r>
      <w:bookmarkStart w:id="93" w:name="_Toc316143601"/>
      <w:bookmarkStart w:id="94" w:name="_Toc337655456"/>
      <w:r w:rsidR="00C94930">
        <w:t xml:space="preserve">7 Conclusie en </w:t>
      </w:r>
      <w:r w:rsidR="002C088C">
        <w:t>discussie</w:t>
      </w:r>
      <w:bookmarkEnd w:id="93"/>
      <w:bookmarkEnd w:id="94"/>
    </w:p>
    <w:p w14:paraId="5940DA5C" w14:textId="70B7B268" w:rsidR="00C94930" w:rsidRDefault="003749C6" w:rsidP="00C94930">
      <w:pPr>
        <w:pStyle w:val="Heading1"/>
      </w:pPr>
      <w:bookmarkStart w:id="95" w:name="_Toc316143602"/>
      <w:bookmarkStart w:id="96" w:name="_Toc337655457"/>
      <w:r>
        <w:t xml:space="preserve">7.1 </w:t>
      </w:r>
      <w:r w:rsidR="00C94930">
        <w:t>Conclusie</w:t>
      </w:r>
      <w:bookmarkEnd w:id="95"/>
      <w:bookmarkEnd w:id="96"/>
    </w:p>
    <w:p w14:paraId="02F002D1" w14:textId="72A3CC69" w:rsidR="00C94930" w:rsidRDefault="00F85F29" w:rsidP="00C94930">
      <w:r>
        <w:t>Dit onderzoek is erop gericht om meer helderheid te scheppen in de rol die spin-offs spelen in het behoud van kennis en vaardigheden binnen een regio</w:t>
      </w:r>
      <w:r w:rsidR="00CB6F26">
        <w:t xml:space="preserve"> en op deze basis de economie van regio Woerden en regio Veenendaal te analyseren.</w:t>
      </w:r>
    </w:p>
    <w:p w14:paraId="4DA5EA4A" w14:textId="6556B874" w:rsidR="00E55DFB" w:rsidRDefault="00901260" w:rsidP="00901260">
      <w:pPr>
        <w:ind w:firstLine="720"/>
      </w:pPr>
      <w:r>
        <w:t>De context van dit onderzoek zijn de</w:t>
      </w:r>
      <w:r w:rsidR="00ED0692">
        <w:t xml:space="preserve"> regio’s Woerden en Veenendaal, kleine regio’s rondom de</w:t>
      </w:r>
      <w:r>
        <w:t xml:space="preserve"> grote</w:t>
      </w:r>
      <w:r w:rsidR="00ED0692">
        <w:t xml:space="preserve"> kernen van de randstad.</w:t>
      </w:r>
      <w:r w:rsidR="00E55DFB">
        <w:t xml:space="preserve"> De regio’s zijn hierdoor onderdeel van een groter ecosysteem. Sectoren zoals financiële instellingen verdwenen naar grote steden en door industriële schaalvergroting verlieten ook veel productietaken die voor werkgelegenheid zorgden de regio’s. </w:t>
      </w:r>
      <w:r w:rsidR="00536906">
        <w:t>Kleinere bedrijfjes</w:t>
      </w:r>
      <w:r w:rsidR="00CB6F26">
        <w:t xml:space="preserve"> en zzp’ers</w:t>
      </w:r>
      <w:r w:rsidR="00536906">
        <w:t xml:space="preserve"> in de dienstverlening zorgden daarentegen voor een groei in werkgelegenheid tot </w:t>
      </w:r>
      <w:r w:rsidR="00F85F29">
        <w:t xml:space="preserve">en met 2007, waarna internationale economische tegenslagen ook in deze regio’s tot krimp leidden. Voor verdere economische ontwikkeling kijken de twee regio’s niet naar de grote steden, maar vooral naar hun andere buurregio’s. Veenendaal richt zich op </w:t>
      </w:r>
      <w:r w:rsidR="00943FC1">
        <w:t>ICT-ondersteuning voor de Food-V</w:t>
      </w:r>
      <w:r w:rsidR="00F85F29">
        <w:t>alley in Wageningen, terwijl regio Woerden de expertise in voedsel productie en handel die de regio van oud</w:t>
      </w:r>
      <w:r w:rsidR="00943FC1">
        <w:t>sher kende te behouden zoals ook</w:t>
      </w:r>
      <w:r w:rsidR="00F85F29">
        <w:t xml:space="preserve"> andere Groene Hart gemeenten dit doen.</w:t>
      </w:r>
    </w:p>
    <w:p w14:paraId="616E1F3E" w14:textId="77777777" w:rsidR="001156B0" w:rsidRDefault="00EE72A2" w:rsidP="00564595">
      <w:pPr>
        <w:ind w:firstLine="720"/>
      </w:pPr>
      <w:r>
        <w:t>Van de negenendertig ondernemers die meewerkten aan het onderzoek, gaven vijfentwintig aan belang gehad te hebben bij ervaring uit hun laatste werkervaring van voor de bedrijfsoprichting</w:t>
      </w:r>
      <w:r w:rsidR="000F52A8">
        <w:t xml:space="preserve">. Hiermee wordt dus bevestigd dat een groot deel van de bedrijven inderdaad voortbouwt op eerdere </w:t>
      </w:r>
      <w:r w:rsidR="00EB4BBE">
        <w:t>ervaring</w:t>
      </w:r>
      <w:r>
        <w:t xml:space="preserve">. 100% van hen had iets aan kennis of vaardigheden die zij geleerd hadden bij het werk, bij 60% hadden netwerk contacten die </w:t>
      </w:r>
      <w:r w:rsidR="00E377CC">
        <w:t>waren</w:t>
      </w:r>
      <w:r>
        <w:t xml:space="preserve"> opgedaan</w:t>
      </w:r>
      <w:r w:rsidR="00EB4BBE">
        <w:t xml:space="preserve"> bij hun vorige werkervaring</w:t>
      </w:r>
      <w:r>
        <w:t xml:space="preserve"> </w:t>
      </w:r>
      <w:r w:rsidR="0064346A">
        <w:t>een rol gespeeld bij het oprichten van het bedrijf, en één respondent (2,6%) gaf aan financiële steun gehad te hebben van de vorige werkgever bij het starten van het bedrijf.</w:t>
      </w:r>
      <w:r w:rsidR="00F3129A">
        <w:t xml:space="preserve"> Of de ondernemer de werkervaring in dezelfde regio had opgedaan had geen invloed op het gebruik van kennis</w:t>
      </w:r>
      <w:r w:rsidR="0040728B">
        <w:t>,</w:t>
      </w:r>
      <w:r w:rsidR="00F3129A">
        <w:t xml:space="preserve"> netwerk of geld</w:t>
      </w:r>
      <w:r w:rsidR="00394F7D">
        <w:t>, dit ligt mogelijk aan de kleine schaal van de onderzoeksregio’s</w:t>
      </w:r>
      <w:r w:rsidR="009A4640">
        <w:t>.</w:t>
      </w:r>
    </w:p>
    <w:p w14:paraId="7182FBF4" w14:textId="58B18987" w:rsidR="00C33A47" w:rsidRDefault="00C33A47" w:rsidP="00564595">
      <w:pPr>
        <w:ind w:firstLine="720"/>
      </w:pPr>
      <w:r>
        <w:t xml:space="preserve">Eerdere ervaring met ondernemerschap of </w:t>
      </w:r>
      <w:r w:rsidR="006F328F">
        <w:t>een taak in het management van een eerder werkgever had wel een positieve invloed op de kans dat een ondernemer voortbouwt op eerdere kennis.</w:t>
      </w:r>
      <w:r>
        <w:t xml:space="preserve"> </w:t>
      </w:r>
      <w:r w:rsidR="00057BC4">
        <w:t xml:space="preserve">Generieke skills zoals </w:t>
      </w:r>
      <w:r w:rsidR="00A24A98">
        <w:t xml:space="preserve">vaardigheden die </w:t>
      </w:r>
      <w:r w:rsidR="00057BC4">
        <w:t xml:space="preserve">nodig zijn bij management of boekhouden </w:t>
      </w:r>
      <w:r w:rsidR="003F7473">
        <w:t>zorgden voor veel verbindingen tussen sectoren die qua eindproduct en SBI-code niet gerelateerd zijn. Deze generieke skills zijn wel belangrijk bij het onderhouden van een innovatieve regio, omdat ze bij het oprichten van ieder bedrijf nodig zijn.</w:t>
      </w:r>
    </w:p>
    <w:p w14:paraId="10D7C05A" w14:textId="22A5904E" w:rsidR="009A4640" w:rsidRDefault="009A4640" w:rsidP="00C94930">
      <w:r>
        <w:tab/>
      </w:r>
      <w:r w:rsidR="002C088C">
        <w:t>Het aandeel van iedere sector onder</w:t>
      </w:r>
      <w:r w:rsidR="007C4733">
        <w:t xml:space="preserve"> de onderzochte</w:t>
      </w:r>
      <w:r w:rsidR="002C088C">
        <w:t xml:space="preserve"> spin-offs kwam ongeveer overeen met de het aandeel in bedrijfsvestigingen dat de sector in 1998 had. Uitzonderingen hierop zijn de zorg</w:t>
      </w:r>
      <w:r w:rsidR="007A507E">
        <w:t xml:space="preserve"> en de landbouwsector, die niet onder onderzochte spin-offs te vinden waren, maar wel een significante rol in de economie van de regio’s speelde.</w:t>
      </w:r>
      <w:r w:rsidR="00795AD4">
        <w:t xml:space="preserve"> </w:t>
      </w:r>
      <w:r w:rsidR="00590DC9">
        <w:t xml:space="preserve">Woerden kent een sterke landbouwspecialisatie en Veenendaal een specialisatie in zorg, </w:t>
      </w:r>
      <w:r w:rsidR="00DD390D">
        <w:t xml:space="preserve"> maar de sectoren </w:t>
      </w:r>
      <w:r w:rsidR="00590DC9">
        <w:t>genereerden</w:t>
      </w:r>
      <w:r w:rsidR="00DD390D">
        <w:t xml:space="preserve"> geen nieuwe bedrijven</w:t>
      </w:r>
      <w:r w:rsidR="00590DC9">
        <w:t xml:space="preserve"> die de eerste tien jaar van hun bestaan groeiden</w:t>
      </w:r>
      <w:r w:rsidR="00DD390D">
        <w:t>.</w:t>
      </w:r>
      <w:r w:rsidR="003144C9">
        <w:t xml:space="preserve"> </w:t>
      </w:r>
      <w:r w:rsidR="00DD390D">
        <w:t>Er zijn geen sectoren gevonden die juist voor veel spin-offs zorgen in regio Woerden en Veenendaal</w:t>
      </w:r>
      <w:r w:rsidR="003144C9">
        <w:t>.</w:t>
      </w:r>
    </w:p>
    <w:p w14:paraId="529B6891" w14:textId="33AB77A0" w:rsidR="00057BC4" w:rsidRDefault="003144C9" w:rsidP="00C94930">
      <w:r>
        <w:tab/>
        <w:t>De sectoren waar de nieuw opgerichte spin-offs zich op richtten komen ook sterk overeen met  de sec</w:t>
      </w:r>
      <w:r w:rsidR="00CB628B">
        <w:t xml:space="preserve">toren die in 1998 </w:t>
      </w:r>
      <w:r w:rsidR="00B1244D">
        <w:t>veel bedrijfsvestigingen hadden</w:t>
      </w:r>
      <w:r w:rsidR="00CB628B">
        <w:t xml:space="preserve"> in</w:t>
      </w:r>
      <w:r>
        <w:t xml:space="preserve"> de regio. Wederom ontbreken de zorg- en de landbouwsector. Relatief veel spin-offs richtten zich op dienstverlening om hun kennis aan derden te verkopen, of </w:t>
      </w:r>
      <w:r w:rsidR="003679A2">
        <w:t>op</w:t>
      </w:r>
      <w:r>
        <w:t xml:space="preserve"> handel, waar veelal producten verkocht werden waar eerd</w:t>
      </w:r>
      <w:r w:rsidR="00057BC4">
        <w:t>er advies</w:t>
      </w:r>
      <w:r w:rsidR="003679A2">
        <w:t>- of productie</w:t>
      </w:r>
      <w:r w:rsidR="00057BC4">
        <w:t>werk over werd gedaan.</w:t>
      </w:r>
      <w:r w:rsidR="007731A8">
        <w:t xml:space="preserve"> Handel en dienstverlening zijn ook brede sectoren, waar veel verschillende kennis toegepast kan worden. Op lager SBI-niveau konden geen verbanden gevonden worden, door het kleine aantal respondenten ten opzichte van het grote aantal sectoren.</w:t>
      </w:r>
      <w:r w:rsidR="00057BC4">
        <w:t xml:space="preserve"> </w:t>
      </w:r>
      <w:r w:rsidR="00CC3166">
        <w:t xml:space="preserve">Doordat vrijwel iedere verbinding </w:t>
      </w:r>
      <w:r w:rsidR="007731A8">
        <w:t xml:space="preserve">die spin-offs </w:t>
      </w:r>
      <w:r w:rsidR="00CC3166">
        <w:t>tussen sectoren</w:t>
      </w:r>
      <w:r w:rsidR="007731A8">
        <w:t xml:space="preserve"> vormden</w:t>
      </w:r>
      <w:r w:rsidR="00CC3166">
        <w:t xml:space="preserve"> uniek was binnen het onderzoek, kunnen er geen uitspraken gedaan worden over de skill-gerelateerdheid van specifieke sectoren.</w:t>
      </w:r>
      <w:r w:rsidR="007731A8">
        <w:t xml:space="preserve"> Wel kan worden vastgesteld dat de kennis</w:t>
      </w:r>
      <w:r w:rsidR="001156B0">
        <w:t xml:space="preserve"> en ervaring</w:t>
      </w:r>
      <w:r w:rsidR="007731A8">
        <w:t xml:space="preserve"> die onde</w:t>
      </w:r>
      <w:r w:rsidR="001156B0">
        <w:t>rnemers opdoen in hun carrière absoluut een rol speelt in de bedrijven die worden opgericht.</w:t>
      </w:r>
    </w:p>
    <w:p w14:paraId="00818712" w14:textId="7F49605C" w:rsidR="00C94930" w:rsidRDefault="003749C6" w:rsidP="00C94930">
      <w:pPr>
        <w:pStyle w:val="Heading1"/>
      </w:pPr>
      <w:bookmarkStart w:id="97" w:name="_Toc316143603"/>
      <w:bookmarkStart w:id="98" w:name="_Toc337655458"/>
      <w:r>
        <w:t xml:space="preserve">7.2 </w:t>
      </w:r>
      <w:r w:rsidR="00CC3166">
        <w:t>Discussie</w:t>
      </w:r>
      <w:bookmarkEnd w:id="97"/>
      <w:bookmarkEnd w:id="98"/>
    </w:p>
    <w:p w14:paraId="7AB99597" w14:textId="113D902B" w:rsidR="00333394" w:rsidRDefault="00CC3166" w:rsidP="00CC3AEA">
      <w:r>
        <w:t xml:space="preserve">Het onderzoek naar skill-gerelateerdheid speelt een belangrijke rol in de discussie over een diversificatie of specialisatie beleid en kan tot interessante cross-sectorale innovaties leiden. Het is daarom wenselijk om meer onderzoek naar dit onderwerp </w:t>
      </w:r>
      <w:r w:rsidR="00E0238E">
        <w:t>uit te voeren</w:t>
      </w:r>
      <w:r>
        <w:t>. Dit onderzoek</w:t>
      </w:r>
      <w:r w:rsidR="00E0238E">
        <w:t xml:space="preserve"> naar spin-offs</w:t>
      </w:r>
      <w:r>
        <w:t xml:space="preserve"> </w:t>
      </w:r>
      <w:r w:rsidR="00E0238E">
        <w:t>had</w:t>
      </w:r>
      <w:r>
        <w:t xml:space="preserve"> echter niet de schaal om onderbouwde uitspraken te doen over de relatie tussen sectoren in de regio’s Woerden en Veenendaal.</w:t>
      </w:r>
      <w:r w:rsidR="00FA406B">
        <w:t xml:space="preserve"> Daarom zijn hier de volgende aanbevelingen voor eventueel vervolgonderzoek.</w:t>
      </w:r>
    </w:p>
    <w:p w14:paraId="02859BB1" w14:textId="5AFB06A8" w:rsidR="00C67B68" w:rsidRDefault="003749C6" w:rsidP="00CC3AEA">
      <w:pPr>
        <w:ind w:firstLine="720"/>
      </w:pPr>
      <w:r>
        <w:t xml:space="preserve">De keuze voor de regio’s Woerden </w:t>
      </w:r>
      <w:r w:rsidR="00E0238E">
        <w:t xml:space="preserve">en </w:t>
      </w:r>
      <w:r>
        <w:t xml:space="preserve">Veenendaal, twee niet-aaneengesloten regio’s </w:t>
      </w:r>
      <w:r w:rsidR="00E0238E">
        <w:t>op een schaal die kleiner is dan</w:t>
      </w:r>
      <w:r>
        <w:t xml:space="preserve"> de arbeidsmarkt, kwam vanuit wensen van Economic Board Utrecht</w:t>
      </w:r>
      <w:r w:rsidR="00871546">
        <w:t>. Over deze regio’s was weinig bekend bij het EBU</w:t>
      </w:r>
      <w:r w:rsidR="00E0238E">
        <w:t xml:space="preserve"> en daarom werd het onderzoek naar spin-offs aan het onderzoek naar deze regio’s gekoppeld. De</w:t>
      </w:r>
      <w:r w:rsidR="00871546">
        <w:t xml:space="preserve"> regio’s zijn echter niet ideaal om spin-offs te onderzoeken, een mechanisme dat voornamelijk op de schaal van de arbeidsmarkt opereert. Een onderzoek dat ten minste op het schaalniveau van COROP, of wellicht de gehele randstad opereert zou een beter beeld geven van de manier waarop spin-offs geografisch opereren.</w:t>
      </w:r>
      <w:r w:rsidR="00BF5513">
        <w:t xml:space="preserve"> Een herhaling van het onderzoek van van Oort (2013), maar gericht op </w:t>
      </w:r>
      <w:r w:rsidR="00375FB9">
        <w:t>ondernemers in plaats van werknemers</w:t>
      </w:r>
      <w:r w:rsidR="00BF5513">
        <w:t xml:space="preserve"> zal wat dit betreft een sterk initiatief zijn.</w:t>
      </w:r>
    </w:p>
    <w:p w14:paraId="7C481F8A" w14:textId="6B3B4162" w:rsidR="00BF5513" w:rsidRDefault="00BF5513" w:rsidP="00057BC4">
      <w:pPr>
        <w:ind w:firstLine="720"/>
      </w:pPr>
      <w:r>
        <w:t>De kleine respons van 39 respondenten zorgde in dit onderzoek voor een zwakke statistische onderbouwing van de resultaten. Voor goede resultaten zal een grootschaliger onderzoek nodig zijn. Een hogere geografische schaal kan ook dit probleem oplossen.</w:t>
      </w:r>
      <w:r w:rsidR="00057BC4">
        <w:t xml:space="preserve"> De ondernemers die aangaven voort te bouwen op hun laatste werkervaring hadden een iets sterkere groei in werknemers doorgemaakt dan ondernemers die dit niet deden. Voor statistisch significantie was dit verschil echter niet groot genoeg. Met meer respondenten zou dit verband wellicht sterker zijn, of zou een verdeling in meer groepen mogelijk zijn, zodat</w:t>
      </w:r>
      <w:r w:rsidR="00E0238E">
        <w:t xml:space="preserve"> bijvoorbeeld</w:t>
      </w:r>
      <w:r w:rsidR="00057BC4">
        <w:t xml:space="preserve"> push- en pull-ondernemers afzonderlijk beschouwd kunnen worden.</w:t>
      </w:r>
    </w:p>
    <w:p w14:paraId="30157547" w14:textId="78453EB1" w:rsidR="00880649" w:rsidRDefault="00880649" w:rsidP="00CC3AEA">
      <w:pPr>
        <w:ind w:firstLine="720"/>
      </w:pPr>
      <w:r>
        <w:t>Een andere beperking van dit onderzoek is dat er alleen is gekeken naar de laatste werkervaring die ondernemers hadden voor het oprichten van een eigen bedrijf. Egeln et al. (2004) schrijven dat (academische) spin-offs vaak voortkomen uit ideeën die jaren eerder bedacht zijn, en zich langzaam ontwikkelen totdat de tijd rijp is om een bedrijf te beginnen. Voor een volledig inzicht zou dus de volledige carrière van ondernemers onderzocht moeten worden, niet alleen de laatste stap.</w:t>
      </w:r>
    </w:p>
    <w:p w14:paraId="4A8BB793" w14:textId="4EDDE8A1" w:rsidR="00635DCD" w:rsidRDefault="00635DCD" w:rsidP="00CC3AEA">
      <w:pPr>
        <w:ind w:firstLine="720"/>
      </w:pPr>
      <w:r>
        <w:t>Deze aanbevelingen zouden leiden tot een zeer grootschalig onderzoek waar veel werk in zit. Een mogelijkheid om de schaal toch beperkt te houden, maar een beter inzicht in spin-offs te verkrijgen is om het onderzoek te beperken op enkele sectoren waar al op basis van arbeidsmobiliteit is aangetoond dat er sprake is van skill-gerelateerdheid. Door gericht te zoeken naar spin-offs die voortkomen uit deze sectoren ontstaat een meer gedetailleerd beeld van de wijze waarop skill-gerelateerdheid bedrijfsoprichtingen beïnvloedt.</w:t>
      </w:r>
    </w:p>
    <w:p w14:paraId="06050B3D" w14:textId="2A2FDA81" w:rsidR="003758DD" w:rsidRDefault="00AD701A" w:rsidP="00CC3AEA">
      <w:pPr>
        <w:ind w:firstLine="720"/>
      </w:pPr>
      <w:r>
        <w:t>E</w:t>
      </w:r>
      <w:r w:rsidR="008A069F">
        <w:t>en laatste aanbeveling is om</w:t>
      </w:r>
      <w:r w:rsidR="003339BB">
        <w:t xml:space="preserve"> meer onderzoek uit te voeren naar</w:t>
      </w:r>
      <w:r>
        <w:t xml:space="preserve"> de mate waarin skills generiek</w:t>
      </w:r>
      <w:r w:rsidR="00CC3166">
        <w:t xml:space="preserve"> of specifiek</w:t>
      </w:r>
      <w:r>
        <w:t xml:space="preserve"> zijn. In dit onderzoek werd wel gevraagd naar ervaring als manager bij de laatste werkgever</w:t>
      </w:r>
      <w:r w:rsidR="003339BB">
        <w:t>, om een indicatie van generieke skills op het gebied van management te krijgen. B</w:t>
      </w:r>
      <w:r>
        <w:t>ij vragen naar de skills die gebruikt werden</w:t>
      </w:r>
      <w:r w:rsidR="003339BB">
        <w:t xml:space="preserve"> werd echter</w:t>
      </w:r>
      <w:r>
        <w:t xml:space="preserve"> geen onderscheid gemaakt tussen generieke en sector specifieke vaardigheden gemaakt. Bij het vaststellen van skill-gerelateerdheid tussen sectoren zouden alleen sectorspecifieke vaardigheden een verschil moeten maken. </w:t>
      </w:r>
      <w:r w:rsidR="00846F59">
        <w:t>Zelfs als er sterkere verbanden gevonden waren</w:t>
      </w:r>
      <w:r w:rsidR="003339BB">
        <w:t xml:space="preserve"> tussen sectoren in dit onderzoek</w:t>
      </w:r>
      <w:r w:rsidR="00846F59">
        <w:t xml:space="preserve">, hadden ondernemers die alleen generieke skills gebruikten </w:t>
      </w:r>
      <w:r w:rsidR="003339BB">
        <w:t>in hun nieuwe bedrijf geduid</w:t>
      </w:r>
      <w:r w:rsidR="00846F59">
        <w:t xml:space="preserve"> op een skill-gerelateerdheid die niet specifiek voor die twee sectoren geldt.</w:t>
      </w:r>
      <w:r w:rsidR="00CA70AF">
        <w:t xml:space="preserve"> Bij kleinere steekproeven kan dit tot schijnverbanden lijden.</w:t>
      </w:r>
    </w:p>
    <w:p w14:paraId="7A079E2D" w14:textId="3C23E9F6" w:rsidR="00CC3166" w:rsidRDefault="004E30ED" w:rsidP="00CC3166">
      <w:pPr>
        <w:pStyle w:val="Heading1"/>
      </w:pPr>
      <w:bookmarkStart w:id="99" w:name="_Toc316143604"/>
      <w:bookmarkStart w:id="100" w:name="_Toc337655459"/>
      <w:r>
        <w:t xml:space="preserve">7.3 </w:t>
      </w:r>
      <w:r w:rsidR="00CC3166">
        <w:t>Beleidsaanbevelingen</w:t>
      </w:r>
      <w:bookmarkEnd w:id="99"/>
      <w:bookmarkEnd w:id="100"/>
    </w:p>
    <w:p w14:paraId="5F978A98" w14:textId="372696AB" w:rsidR="00FA406B" w:rsidRDefault="00FA406B" w:rsidP="00FA406B">
      <w:r>
        <w:t xml:space="preserve">Het onderzoek naar skill-gerelateerdheid heeft niet tot nieuwe inzichten geleid. Wel onderstreept het onderzoek het belang van generieke vaardigheden die bij het oprichten van een bedrijf komen kijken. De meeste respondenten in het onderzoek die hun ervaring inzetten bij het oprichten van een nieuw bedrijf waren afkomstig uit een managementfunctie. Kennis over management en bedrijfskunde is belangrijk bij het oprichten van bedrijven in iedere sector. Daarom is het belangrijk voor regionale overheden belangrijk om deze ervaring te koesteren in de regio. </w:t>
      </w:r>
    </w:p>
    <w:p w14:paraId="061DC744" w14:textId="1DFC0C15" w:rsidR="002710C1" w:rsidRDefault="002710C1" w:rsidP="002710C1">
      <w:pPr>
        <w:ind w:firstLine="720"/>
      </w:pPr>
      <w:r>
        <w:t>Voo</w:t>
      </w:r>
      <w:r w:rsidR="00F8600A">
        <w:t xml:space="preserve">r regionale overheden blijft het interessant om te kijken naar </w:t>
      </w:r>
      <w:r w:rsidR="008735E9">
        <w:t xml:space="preserve">beleid voor nieuwe </w:t>
      </w:r>
      <w:r w:rsidR="00F8600A">
        <w:t xml:space="preserve">cross-sectorale ontwikkeling. </w:t>
      </w:r>
      <w:r w:rsidR="008735E9">
        <w:t>Per sector zal onderzoek nodig zijn voor de mogelijkheden. Meer dienstverlenende sectoren</w:t>
      </w:r>
      <w:r w:rsidR="008D6C53">
        <w:t xml:space="preserve"> met meer generieke eindproducten</w:t>
      </w:r>
      <w:r w:rsidR="008735E9">
        <w:t xml:space="preserve"> bieden echter kleinere risico’s dan zeer gespecialiseerde sectoren en kunnen bedrijven aan de regio binden. Een goed voorbeeld hiervan is het huidige beleid in Veenendaal dat de aanwezige ICT-sector meer probeert te binden aan het voedselonderzoek in de Ede en Wageningen. Dit versterkt zowel de positie van de ICT in Veenendaal als die van food-valley en mogelijk ontstaat er een niche dat zich ook buiten de regio kan profileren als ICT-experts ter ondersteuning van voedselbedrijven.</w:t>
      </w:r>
    </w:p>
    <w:p w14:paraId="1AAE27B4" w14:textId="77777777" w:rsidR="002710C1" w:rsidRDefault="002710C1" w:rsidP="002710C1">
      <w:pPr>
        <w:ind w:firstLine="720"/>
      </w:pPr>
    </w:p>
    <w:p w14:paraId="76ACE2C7" w14:textId="2635EE92" w:rsidR="008C3EF8" w:rsidRDefault="002710C1" w:rsidP="002710C1">
      <w:pPr>
        <w:pStyle w:val="Title"/>
      </w:pPr>
      <w:r>
        <w:br w:type="column"/>
      </w:r>
      <w:bookmarkStart w:id="101" w:name="_Toc316143605"/>
      <w:bookmarkStart w:id="102" w:name="_Toc337655460"/>
      <w:r w:rsidR="00C94930">
        <w:t>Literatuurlijst</w:t>
      </w:r>
      <w:bookmarkEnd w:id="101"/>
      <w:bookmarkEnd w:id="102"/>
    </w:p>
    <w:p w14:paraId="01B441C7" w14:textId="77777777" w:rsidR="00206FB3" w:rsidRDefault="00206FB3" w:rsidP="00206FB3">
      <w:pPr>
        <w:widowControl w:val="0"/>
        <w:autoSpaceDE w:val="0"/>
        <w:autoSpaceDN w:val="0"/>
        <w:adjustRightInd w:val="0"/>
        <w:spacing w:after="240"/>
        <w:rPr>
          <w:rFonts w:cs="Times"/>
          <w:bCs/>
          <w:lang w:val="en-US"/>
        </w:rPr>
      </w:pPr>
      <w:r w:rsidRPr="00485133">
        <w:rPr>
          <w:rFonts w:cs="Times"/>
          <w:lang w:val="en-US"/>
        </w:rPr>
        <w:t xml:space="preserve">Agarwal, R., Echambadi, R., Franco, A. &amp; M. Sarkar (2004), </w:t>
      </w:r>
      <w:r w:rsidRPr="006D3C29">
        <w:rPr>
          <w:rFonts w:cs="Times"/>
          <w:bCs/>
          <w:i/>
          <w:lang w:val="en-US"/>
        </w:rPr>
        <w:t>Knowledge transfer through inheritance: Spin-out generation, development and survival</w:t>
      </w:r>
      <w:r>
        <w:rPr>
          <w:rFonts w:cs="Times"/>
          <w:bCs/>
          <w:lang w:val="en-US"/>
        </w:rPr>
        <w:t>. Ac</w:t>
      </w:r>
      <w:r w:rsidRPr="00485133">
        <w:rPr>
          <w:rFonts w:cs="Times"/>
          <w:bCs/>
          <w:lang w:val="en-US"/>
        </w:rPr>
        <w:t>ademy of</w:t>
      </w:r>
      <w:r>
        <w:rPr>
          <w:rFonts w:cs="Times"/>
          <w:bCs/>
          <w:lang w:val="en-US"/>
        </w:rPr>
        <w:t xml:space="preserve"> </w:t>
      </w:r>
      <w:r w:rsidRPr="00485133">
        <w:rPr>
          <w:rFonts w:cs="Times"/>
          <w:bCs/>
          <w:lang w:val="en-US"/>
        </w:rPr>
        <w:t>Management Journal 47-4, Pp. 501-522.</w:t>
      </w:r>
    </w:p>
    <w:p w14:paraId="72991C94" w14:textId="77777777" w:rsidR="002710C1" w:rsidRDefault="002710C1" w:rsidP="00206FB3">
      <w:pPr>
        <w:rPr>
          <w:rFonts w:ascii="Calibri" w:eastAsia="Times New Roman" w:hAnsi="Calibri" w:cs="Times New Roman"/>
          <w:color w:val="000000"/>
        </w:rPr>
      </w:pPr>
    </w:p>
    <w:p w14:paraId="7B4C0F6F"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Atzema, O., Goey, C. de &amp; S. Holvast (2011), </w:t>
      </w:r>
      <w:r w:rsidRPr="002710C1">
        <w:rPr>
          <w:rFonts w:ascii="Calibri" w:eastAsia="Times New Roman" w:hAnsi="Calibri" w:cs="Times New Roman"/>
          <w:i/>
          <w:color w:val="000000"/>
        </w:rPr>
        <w:t>Utrechtse Clusters in bloei?.</w:t>
      </w:r>
      <w:r>
        <w:rPr>
          <w:rFonts w:ascii="Calibri" w:eastAsia="Times New Roman" w:hAnsi="Calibri" w:cs="Times New Roman"/>
          <w:color w:val="000000"/>
        </w:rPr>
        <w:t xml:space="preserve"> Kamer van Koophandel &amp; Universiteit Utrecht, Utrecht.</w:t>
      </w:r>
    </w:p>
    <w:p w14:paraId="2FF9129C" w14:textId="77777777" w:rsidR="00206FB3" w:rsidRDefault="00206FB3" w:rsidP="00206FB3">
      <w:pPr>
        <w:rPr>
          <w:rFonts w:cs="Times"/>
          <w:bCs/>
          <w:lang w:val="en-US"/>
        </w:rPr>
      </w:pPr>
    </w:p>
    <w:p w14:paraId="014BA9D7"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Bates (1990), </w:t>
      </w:r>
      <w:r w:rsidRPr="002710C1">
        <w:rPr>
          <w:rFonts w:ascii="Calibri" w:eastAsia="Times New Roman" w:hAnsi="Calibri" w:cs="Times New Roman"/>
          <w:i/>
          <w:color w:val="000000"/>
        </w:rPr>
        <w:t>Entrepreneur Human Capital inputs and smaal bussiness longevity</w:t>
      </w:r>
      <w:r>
        <w:rPr>
          <w:rFonts w:ascii="Calibri" w:eastAsia="Times New Roman" w:hAnsi="Calibri" w:cs="Times New Roman"/>
          <w:color w:val="000000"/>
        </w:rPr>
        <w:t>. The review of economics and statistics. Vol 72-4, pp. 551-559.</w:t>
      </w:r>
    </w:p>
    <w:p w14:paraId="4EBF554D" w14:textId="77777777" w:rsidR="00206FB3" w:rsidRPr="00A81581" w:rsidRDefault="00206FB3" w:rsidP="00206FB3">
      <w:pPr>
        <w:rPr>
          <w:rFonts w:ascii="Calibri" w:eastAsia="Times New Roman" w:hAnsi="Calibri" w:cs="Times New Roman"/>
          <w:color w:val="000000"/>
        </w:rPr>
      </w:pPr>
    </w:p>
    <w:p w14:paraId="1D384DA8" w14:textId="77777777" w:rsidR="00206FB3" w:rsidRDefault="00206FB3" w:rsidP="00206FB3">
      <w:pPr>
        <w:widowControl w:val="0"/>
        <w:autoSpaceDE w:val="0"/>
        <w:autoSpaceDN w:val="0"/>
        <w:adjustRightInd w:val="0"/>
        <w:rPr>
          <w:rFonts w:cs="Times"/>
          <w:lang w:val="en-US"/>
        </w:rPr>
      </w:pPr>
      <w:r w:rsidRPr="00485133">
        <w:rPr>
          <w:rFonts w:cs="Times"/>
          <w:lang w:val="en-US"/>
        </w:rPr>
        <w:t xml:space="preserve">Bathelt, H., Malmberg, A. &amp; P. Maskell (2004), </w:t>
      </w:r>
      <w:r w:rsidRPr="006D3C29">
        <w:rPr>
          <w:rFonts w:cs="Times"/>
          <w:i/>
          <w:lang w:val="en-US"/>
        </w:rPr>
        <w:t>Clusters and knowledge, local buzz, global pipelines and the process of knowledge creation</w:t>
      </w:r>
      <w:r w:rsidRPr="00485133">
        <w:rPr>
          <w:rFonts w:cs="Times"/>
          <w:lang w:val="en-US"/>
        </w:rPr>
        <w:t>. Progress in human geography 28-1. Pp. 31-56.</w:t>
      </w:r>
    </w:p>
    <w:p w14:paraId="1407ED71" w14:textId="77777777" w:rsidR="00206FB3" w:rsidRDefault="00206FB3" w:rsidP="00206FB3">
      <w:pPr>
        <w:widowControl w:val="0"/>
        <w:autoSpaceDE w:val="0"/>
        <w:autoSpaceDN w:val="0"/>
        <w:adjustRightInd w:val="0"/>
        <w:rPr>
          <w:rFonts w:cs="Times"/>
          <w:lang w:val="en-US"/>
        </w:rPr>
      </w:pPr>
    </w:p>
    <w:p w14:paraId="0F2CBF80" w14:textId="77777777" w:rsidR="00206FB3" w:rsidRPr="00485133" w:rsidRDefault="00206FB3" w:rsidP="00206FB3">
      <w:pPr>
        <w:widowControl w:val="0"/>
        <w:autoSpaceDE w:val="0"/>
        <w:autoSpaceDN w:val="0"/>
        <w:adjustRightInd w:val="0"/>
        <w:rPr>
          <w:rFonts w:cs="Times"/>
          <w:lang w:val="en-US"/>
        </w:rPr>
      </w:pPr>
      <w:r>
        <w:rPr>
          <w:rFonts w:cs="Times"/>
          <w:lang w:val="en-US"/>
        </w:rPr>
        <w:t xml:space="preserve">Beaudry, C. &amp; A. Schivauerova (2009), </w:t>
      </w:r>
      <w:r w:rsidRPr="003B2C67">
        <w:rPr>
          <w:rFonts w:cs="Times"/>
          <w:i/>
          <w:lang w:val="en-US"/>
        </w:rPr>
        <w:t>Who’s right, Marshall or Jacobs? The localization versus urbanization debate</w:t>
      </w:r>
      <w:r>
        <w:rPr>
          <w:rFonts w:cs="Times"/>
          <w:lang w:val="en-US"/>
        </w:rPr>
        <w:t>. Reseatch Policy 38, Pp. 318-337.</w:t>
      </w:r>
    </w:p>
    <w:p w14:paraId="42BB54DC" w14:textId="77777777" w:rsidR="00206FB3" w:rsidRPr="00485133" w:rsidRDefault="00206FB3" w:rsidP="00206FB3">
      <w:pPr>
        <w:widowControl w:val="0"/>
        <w:autoSpaceDE w:val="0"/>
        <w:autoSpaceDN w:val="0"/>
        <w:adjustRightInd w:val="0"/>
        <w:rPr>
          <w:rFonts w:cs="Times"/>
          <w:lang w:val="en-US"/>
        </w:rPr>
      </w:pPr>
    </w:p>
    <w:p w14:paraId="27B36114"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Bernardt, Y., Kerste, R. &amp; Meijaard, J. (2002), </w:t>
      </w:r>
      <w:r w:rsidRPr="006D3C29">
        <w:rPr>
          <w:rFonts w:cs="Times"/>
          <w:i/>
          <w:lang w:val="en-US"/>
        </w:rPr>
        <w:t>Spin off startups in the Netherlands: A first glance</w:t>
      </w:r>
      <w:r w:rsidRPr="00485133">
        <w:rPr>
          <w:rFonts w:cs="Times"/>
          <w:lang w:val="en-US"/>
        </w:rPr>
        <w:t>. EIM Bussiness &amp; Policy research. Zoetermeer.</w:t>
      </w:r>
    </w:p>
    <w:p w14:paraId="279FF7FC" w14:textId="77777777" w:rsidR="00206FB3" w:rsidRPr="00485133" w:rsidRDefault="00206FB3" w:rsidP="00206FB3">
      <w:pPr>
        <w:widowControl w:val="0"/>
        <w:autoSpaceDE w:val="0"/>
        <w:autoSpaceDN w:val="0"/>
        <w:adjustRightInd w:val="0"/>
        <w:rPr>
          <w:rFonts w:cs="Times"/>
          <w:lang w:val="en-US"/>
        </w:rPr>
      </w:pPr>
    </w:p>
    <w:p w14:paraId="3EF94F78"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Boschma, R. (2011), </w:t>
      </w:r>
      <w:r w:rsidRPr="00485133">
        <w:rPr>
          <w:rFonts w:cs="Times"/>
          <w:i/>
          <w:lang w:val="en-US"/>
        </w:rPr>
        <w:t>Regional Branching and Regional Innovation Policy</w:t>
      </w:r>
      <w:r w:rsidRPr="00485133">
        <w:rPr>
          <w:rFonts w:cs="Times"/>
          <w:lang w:val="en-US"/>
        </w:rPr>
        <w:t>. In: Drivers of Innovation, entrepreneurship and regional dynamics. Springer, Heidelberg, Pp. 358-368.</w:t>
      </w:r>
    </w:p>
    <w:p w14:paraId="7D6A8F06" w14:textId="77777777" w:rsidR="00206FB3" w:rsidRPr="00485133" w:rsidRDefault="00206FB3" w:rsidP="00206FB3">
      <w:pPr>
        <w:widowControl w:val="0"/>
        <w:autoSpaceDE w:val="0"/>
        <w:autoSpaceDN w:val="0"/>
        <w:adjustRightInd w:val="0"/>
        <w:rPr>
          <w:rFonts w:cs="Times"/>
          <w:lang w:val="en-US"/>
        </w:rPr>
      </w:pPr>
    </w:p>
    <w:p w14:paraId="7BFDD09D"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Boschma, R. &amp; J. lambooij (1999), </w:t>
      </w:r>
      <w:r w:rsidRPr="006D3C29">
        <w:rPr>
          <w:rFonts w:cs="Times"/>
          <w:i/>
          <w:lang w:val="en-US"/>
        </w:rPr>
        <w:t>Evolutionary economics and economic geography</w:t>
      </w:r>
      <w:r w:rsidRPr="00485133">
        <w:rPr>
          <w:rFonts w:cs="Times"/>
          <w:lang w:val="en-US"/>
        </w:rPr>
        <w:t>. Journal of evolutionary economics 9, Pp. 411-429.</w:t>
      </w:r>
    </w:p>
    <w:p w14:paraId="5339058E" w14:textId="77777777" w:rsidR="00206FB3" w:rsidRPr="00485133" w:rsidRDefault="00206FB3" w:rsidP="00206FB3">
      <w:pPr>
        <w:widowControl w:val="0"/>
        <w:autoSpaceDE w:val="0"/>
        <w:autoSpaceDN w:val="0"/>
        <w:adjustRightInd w:val="0"/>
        <w:rPr>
          <w:rFonts w:cs="Times"/>
          <w:lang w:val="en-US"/>
        </w:rPr>
      </w:pPr>
    </w:p>
    <w:p w14:paraId="4D96EF6D"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Buensdorf, G. &amp; S. Klepper (2010), </w:t>
      </w:r>
      <w:r w:rsidRPr="006D3C29">
        <w:rPr>
          <w:rFonts w:cs="Times"/>
          <w:i/>
          <w:lang w:val="en-US"/>
        </w:rPr>
        <w:t>Submarket dynamics and innovation: the case of the US tire industry</w:t>
      </w:r>
      <w:r w:rsidRPr="00485133">
        <w:rPr>
          <w:rFonts w:cs="Times"/>
          <w:lang w:val="en-US"/>
        </w:rPr>
        <w:t>. Industrial and Corporate change 19-5, Pp. 1563-1583.</w:t>
      </w:r>
    </w:p>
    <w:p w14:paraId="326C1672" w14:textId="77777777" w:rsidR="00206FB3" w:rsidRPr="00485133" w:rsidRDefault="00206FB3" w:rsidP="00206FB3">
      <w:pPr>
        <w:widowControl w:val="0"/>
        <w:autoSpaceDE w:val="0"/>
        <w:autoSpaceDN w:val="0"/>
        <w:adjustRightInd w:val="0"/>
        <w:rPr>
          <w:rFonts w:cs="Times"/>
          <w:lang w:val="en-US"/>
        </w:rPr>
      </w:pPr>
    </w:p>
    <w:p w14:paraId="77A5D1D4"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Burt, R. (2001), </w:t>
      </w:r>
      <w:r w:rsidRPr="00485133">
        <w:rPr>
          <w:rFonts w:cs="Times"/>
          <w:i/>
          <w:lang w:val="en-US"/>
        </w:rPr>
        <w:t>The social capital of structural holes</w:t>
      </w:r>
      <w:r w:rsidRPr="00485133">
        <w:rPr>
          <w:rFonts w:cs="Times"/>
          <w:lang w:val="en-US"/>
        </w:rPr>
        <w:t>. In: New directions in Economic Sociology. Russel Sage Foundation, New York. Pp 201-247.</w:t>
      </w:r>
    </w:p>
    <w:p w14:paraId="2F6F979F" w14:textId="77777777" w:rsidR="00206FB3" w:rsidRPr="00485133" w:rsidRDefault="00206FB3" w:rsidP="00206FB3">
      <w:pPr>
        <w:widowControl w:val="0"/>
        <w:autoSpaceDE w:val="0"/>
        <w:autoSpaceDN w:val="0"/>
        <w:adjustRightInd w:val="0"/>
        <w:rPr>
          <w:rFonts w:cs="Times"/>
          <w:lang w:val="en-US"/>
        </w:rPr>
      </w:pPr>
    </w:p>
    <w:p w14:paraId="67186DED" w14:textId="77777777" w:rsidR="00206FB3" w:rsidRDefault="00206FB3" w:rsidP="00206FB3">
      <w:pPr>
        <w:widowControl w:val="0"/>
        <w:autoSpaceDE w:val="0"/>
        <w:autoSpaceDN w:val="0"/>
        <w:adjustRightInd w:val="0"/>
        <w:spacing w:after="240"/>
        <w:rPr>
          <w:rFonts w:cs="Times"/>
          <w:lang w:val="en-US"/>
        </w:rPr>
      </w:pPr>
      <w:r w:rsidRPr="00485133">
        <w:rPr>
          <w:rFonts w:cs="Times"/>
          <w:lang w:val="en-US"/>
        </w:rPr>
        <w:t xml:space="preserve">Castaldi, C., Frenken, K. &amp; B. Los. (2013), </w:t>
      </w:r>
      <w:r w:rsidRPr="00256515">
        <w:rPr>
          <w:rFonts w:cs="Times"/>
          <w:i/>
          <w:lang w:val="en-US"/>
        </w:rPr>
        <w:t>Related Variety, Unrelated Variety and Technological Breakthroughs: An analysis of U.S. state-level patenting</w:t>
      </w:r>
      <w:r w:rsidRPr="00485133">
        <w:rPr>
          <w:rFonts w:cs="Times"/>
          <w:lang w:val="en-US"/>
        </w:rPr>
        <w:t xml:space="preserve">. Eindhoven </w:t>
      </w:r>
      <w:r>
        <w:rPr>
          <w:rFonts w:cs="Times"/>
          <w:lang w:val="en-US"/>
        </w:rPr>
        <w:t>centre for innovation sciences.</w:t>
      </w:r>
    </w:p>
    <w:p w14:paraId="2F3DFBA9"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CBS (2012), </w:t>
      </w:r>
      <w:r w:rsidRPr="00AB635E">
        <w:rPr>
          <w:rFonts w:ascii="Calibri" w:eastAsia="Times New Roman" w:hAnsi="Calibri" w:cs="Times New Roman"/>
          <w:i/>
          <w:color w:val="000000"/>
        </w:rPr>
        <w:t>De huidige en toekomstige groei van het aandeel zzp’ers in de werkzame beroepsbevolking</w:t>
      </w:r>
      <w:r>
        <w:rPr>
          <w:rFonts w:ascii="Calibri" w:eastAsia="Times New Roman" w:hAnsi="Calibri" w:cs="Times New Roman"/>
          <w:color w:val="000000"/>
        </w:rPr>
        <w:t xml:space="preserve">. </w:t>
      </w:r>
    </w:p>
    <w:p w14:paraId="77EC3EB5" w14:textId="77777777" w:rsidR="00206FB3" w:rsidRDefault="00206FB3" w:rsidP="00206FB3">
      <w:pPr>
        <w:rPr>
          <w:rFonts w:ascii="Calibri" w:eastAsia="Times New Roman" w:hAnsi="Calibri" w:cs="Times New Roman"/>
          <w:color w:val="000000"/>
        </w:rPr>
      </w:pPr>
    </w:p>
    <w:p w14:paraId="3D2EAE6C"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CBS (2013), </w:t>
      </w:r>
      <w:r w:rsidRPr="00AB635E">
        <w:rPr>
          <w:rFonts w:ascii="Calibri" w:eastAsia="Times New Roman" w:hAnsi="Calibri" w:cs="Times New Roman"/>
          <w:i/>
          <w:color w:val="000000"/>
        </w:rPr>
        <w:t>Beroepsbevolking per gemeente</w:t>
      </w:r>
      <w:r>
        <w:rPr>
          <w:rFonts w:ascii="Calibri" w:eastAsia="Times New Roman" w:hAnsi="Calibri" w:cs="Times New Roman"/>
          <w:color w:val="000000"/>
        </w:rPr>
        <w:t xml:space="preserve"> [geraadpleegd op 17 juni].  </w:t>
      </w:r>
      <w:hyperlink r:id="rId35" w:history="1">
        <w:r w:rsidRPr="00681687">
          <w:rPr>
            <w:rStyle w:val="Hyperlink"/>
            <w:rFonts w:ascii="Calibri" w:eastAsia="Times New Roman" w:hAnsi="Calibri" w:cs="Times New Roman"/>
          </w:rPr>
          <w:t>http://statline.cbs.nl/StatWeb/selection/?DM=SLNL&amp;PA=71883NED&amp;VW=T</w:t>
        </w:r>
      </w:hyperlink>
    </w:p>
    <w:p w14:paraId="42E64B10" w14:textId="77777777" w:rsidR="00206FB3" w:rsidRDefault="00206FB3" w:rsidP="00206FB3">
      <w:pPr>
        <w:rPr>
          <w:rFonts w:ascii="Calibri" w:eastAsia="Times New Roman" w:hAnsi="Calibri" w:cs="Times New Roman"/>
          <w:color w:val="000000"/>
        </w:rPr>
      </w:pPr>
    </w:p>
    <w:p w14:paraId="17DA78E3" w14:textId="77777777" w:rsidR="00206FB3" w:rsidRDefault="00206FB3" w:rsidP="00206FB3">
      <w:pPr>
        <w:rPr>
          <w:rStyle w:val="Hyperlink"/>
          <w:rFonts w:ascii="Calibri" w:eastAsia="Times New Roman" w:hAnsi="Calibri" w:cs="Times New Roman"/>
        </w:rPr>
      </w:pPr>
      <w:r>
        <w:rPr>
          <w:rFonts w:ascii="Calibri" w:eastAsia="Times New Roman" w:hAnsi="Calibri" w:cs="Times New Roman"/>
          <w:color w:val="000000"/>
        </w:rPr>
        <w:t xml:space="preserve">CBS (2013b), </w:t>
      </w:r>
      <w:r w:rsidRPr="00AB635E">
        <w:rPr>
          <w:rFonts w:ascii="Calibri" w:eastAsia="Times New Roman" w:hAnsi="Calibri" w:cs="Times New Roman"/>
          <w:i/>
          <w:color w:val="000000"/>
        </w:rPr>
        <w:t>Bevolking; geslacht, leeftijd, nationaliteit en regio, 1 januari</w:t>
      </w:r>
      <w:r>
        <w:rPr>
          <w:rFonts w:ascii="Calibri" w:eastAsia="Times New Roman" w:hAnsi="Calibri" w:cs="Times New Roman"/>
          <w:color w:val="000000"/>
        </w:rPr>
        <w:t xml:space="preserve"> [geraadpleegd op 13 mei]. </w:t>
      </w:r>
      <w:hyperlink r:id="rId36" w:history="1">
        <w:r w:rsidRPr="00681687">
          <w:rPr>
            <w:rStyle w:val="Hyperlink"/>
            <w:rFonts w:ascii="Calibri" w:eastAsia="Times New Roman" w:hAnsi="Calibri" w:cs="Times New Roman"/>
          </w:rPr>
          <w:t>http://statline.cbs.nl/StatWeb/selection/?DM=SLNL&amp;PA=70634NED&amp;VW=T</w:t>
        </w:r>
      </w:hyperlink>
    </w:p>
    <w:p w14:paraId="335C484D" w14:textId="77777777" w:rsidR="00206FB3" w:rsidRDefault="00206FB3" w:rsidP="00206FB3">
      <w:pPr>
        <w:rPr>
          <w:rFonts w:ascii="Calibri" w:eastAsia="Times New Roman" w:hAnsi="Calibri" w:cs="Times New Roman"/>
          <w:color w:val="0000FF" w:themeColor="hyperlink"/>
          <w:u w:val="single"/>
        </w:rPr>
      </w:pPr>
    </w:p>
    <w:p w14:paraId="764E6F69" w14:textId="77777777" w:rsidR="00206FB3" w:rsidRPr="00AB635E" w:rsidRDefault="00206FB3" w:rsidP="00206FB3">
      <w:pPr>
        <w:rPr>
          <w:rFonts w:ascii="Calibri" w:eastAsia="Times New Roman" w:hAnsi="Calibri" w:cs="Times New Roman"/>
        </w:rPr>
      </w:pPr>
      <w:r>
        <w:rPr>
          <w:rFonts w:ascii="Calibri" w:eastAsia="Times New Roman" w:hAnsi="Calibri" w:cs="Times New Roman"/>
        </w:rPr>
        <w:t xml:space="preserve">CBS (2014), </w:t>
      </w:r>
      <w:r w:rsidRPr="002710C1">
        <w:rPr>
          <w:rFonts w:ascii="Calibri" w:eastAsia="Times New Roman" w:hAnsi="Calibri" w:cs="Times New Roman"/>
          <w:i/>
        </w:rPr>
        <w:t>Standaard bedrijfsindeling 2008</w:t>
      </w:r>
      <w:r>
        <w:rPr>
          <w:rFonts w:ascii="Calibri" w:eastAsia="Times New Roman" w:hAnsi="Calibri" w:cs="Times New Roman"/>
        </w:rPr>
        <w:t xml:space="preserve">, versie 2014. </w:t>
      </w:r>
    </w:p>
    <w:p w14:paraId="3A150D40" w14:textId="77777777" w:rsidR="00206FB3" w:rsidRPr="00A81581" w:rsidRDefault="00206FB3" w:rsidP="00206FB3">
      <w:pPr>
        <w:rPr>
          <w:rFonts w:ascii="Calibri" w:eastAsia="Times New Roman" w:hAnsi="Calibri" w:cs="Times New Roman"/>
          <w:color w:val="0000FF" w:themeColor="hyperlink"/>
          <w:u w:val="single"/>
        </w:rPr>
      </w:pPr>
    </w:p>
    <w:p w14:paraId="54AA1EB3" w14:textId="77777777" w:rsidR="00206FB3" w:rsidRPr="00485133" w:rsidRDefault="00206FB3" w:rsidP="00206FB3">
      <w:pPr>
        <w:widowControl w:val="0"/>
        <w:autoSpaceDE w:val="0"/>
        <w:autoSpaceDN w:val="0"/>
        <w:adjustRightInd w:val="0"/>
        <w:spacing w:after="240"/>
        <w:rPr>
          <w:rFonts w:cs="Times"/>
          <w:lang w:val="en-US"/>
        </w:rPr>
      </w:pPr>
      <w:r>
        <w:rPr>
          <w:rFonts w:cs="Times"/>
          <w:lang w:val="en-US"/>
        </w:rPr>
        <w:t xml:space="preserve">Clarysse, B., Wright, M. &amp; E. van de Velde (2011), </w:t>
      </w:r>
      <w:r w:rsidRPr="005845F2">
        <w:rPr>
          <w:rFonts w:cs="Times"/>
          <w:bCs/>
          <w:i/>
          <w:lang w:val="en-US"/>
        </w:rPr>
        <w:t>Entrepreneurial Origin, Technological Knowledge, and the Growth of Spin-Off Companies</w:t>
      </w:r>
      <w:r>
        <w:rPr>
          <w:rFonts w:cs="Times"/>
          <w:bCs/>
          <w:lang w:val="en-US"/>
        </w:rPr>
        <w:t>. Journal of Management Studies 48-6. Pp. 1420-1422.</w:t>
      </w:r>
    </w:p>
    <w:p w14:paraId="1D6899B0"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Cohen, W. &amp; D. Levintal (1990), </w:t>
      </w:r>
      <w:r w:rsidRPr="00256515">
        <w:rPr>
          <w:rFonts w:cs="Times"/>
          <w:i/>
          <w:lang w:val="en-US"/>
        </w:rPr>
        <w:t>Absorbtive capability: A new perspective on learning and innovation</w:t>
      </w:r>
      <w:r w:rsidRPr="00485133">
        <w:rPr>
          <w:rFonts w:cs="Times"/>
          <w:lang w:val="en-US"/>
        </w:rPr>
        <w:t>. Administrative Science Quarterly 35-1, Pp. 128-152.</w:t>
      </w:r>
    </w:p>
    <w:p w14:paraId="50DCB48D" w14:textId="77777777" w:rsidR="00206FB3" w:rsidRPr="00485133" w:rsidRDefault="00206FB3" w:rsidP="00206FB3">
      <w:pPr>
        <w:widowControl w:val="0"/>
        <w:autoSpaceDE w:val="0"/>
        <w:autoSpaceDN w:val="0"/>
        <w:adjustRightInd w:val="0"/>
        <w:rPr>
          <w:rFonts w:cs="Times"/>
          <w:lang w:val="en-US"/>
        </w:rPr>
      </w:pPr>
    </w:p>
    <w:p w14:paraId="3E07673B" w14:textId="77777777" w:rsidR="00206FB3" w:rsidRPr="00485133" w:rsidRDefault="00206FB3" w:rsidP="00206FB3">
      <w:pPr>
        <w:widowControl w:val="0"/>
        <w:autoSpaceDE w:val="0"/>
        <w:autoSpaceDN w:val="0"/>
        <w:adjustRightInd w:val="0"/>
        <w:spacing w:after="240"/>
        <w:rPr>
          <w:rFonts w:cs="Times"/>
          <w:lang w:val="en-US"/>
        </w:rPr>
      </w:pPr>
      <w:r w:rsidRPr="00485133">
        <w:rPr>
          <w:rFonts w:cs="Times"/>
          <w:lang w:val="en-US"/>
        </w:rPr>
        <w:t xml:space="preserve">Dahl, M. &amp; T. Reichstein (2007), </w:t>
      </w:r>
      <w:r w:rsidRPr="00256515">
        <w:rPr>
          <w:rFonts w:cs="Times"/>
          <w:i/>
          <w:lang w:val="en-US"/>
        </w:rPr>
        <w:t>Are You Experienced? Prior Experience and the Survival of New Organizations</w:t>
      </w:r>
      <w:r w:rsidRPr="00485133">
        <w:rPr>
          <w:rFonts w:cs="Times"/>
          <w:lang w:val="en-US"/>
        </w:rPr>
        <w:t>. Industry and Innovation 14-5, Pp.497-511.</w:t>
      </w:r>
    </w:p>
    <w:p w14:paraId="7E0E2A22" w14:textId="77777777" w:rsidR="002710C1" w:rsidRDefault="002710C1" w:rsidP="00206FB3">
      <w:pPr>
        <w:widowControl w:val="0"/>
        <w:autoSpaceDE w:val="0"/>
        <w:autoSpaceDN w:val="0"/>
        <w:adjustRightInd w:val="0"/>
        <w:rPr>
          <w:rFonts w:cs="Times"/>
          <w:lang w:val="en-US"/>
        </w:rPr>
      </w:pPr>
    </w:p>
    <w:p w14:paraId="3D100C63"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Davidsson, P. &amp; B. Honig (2003). </w:t>
      </w:r>
      <w:r w:rsidRPr="00256515">
        <w:rPr>
          <w:rFonts w:cs="Times"/>
          <w:i/>
          <w:lang w:val="en-US"/>
        </w:rPr>
        <w:t>The role of social and human capital among nascent entrepreneurs</w:t>
      </w:r>
      <w:r w:rsidRPr="00485133">
        <w:rPr>
          <w:rFonts w:cs="Times"/>
          <w:lang w:val="en-US"/>
        </w:rPr>
        <w:t>. Journal of Business Venturing 18, 301–331.</w:t>
      </w:r>
    </w:p>
    <w:p w14:paraId="2BB81685" w14:textId="77777777" w:rsidR="00206FB3" w:rsidRDefault="00206FB3" w:rsidP="00206FB3">
      <w:pPr>
        <w:widowControl w:val="0"/>
        <w:autoSpaceDE w:val="0"/>
        <w:autoSpaceDN w:val="0"/>
        <w:adjustRightInd w:val="0"/>
        <w:rPr>
          <w:rFonts w:cs="Times"/>
          <w:lang w:val="en-US"/>
        </w:rPr>
      </w:pPr>
    </w:p>
    <w:p w14:paraId="5044BD03" w14:textId="77777777" w:rsidR="00206FB3" w:rsidRDefault="00206FB3" w:rsidP="00206FB3">
      <w:pPr>
        <w:widowControl w:val="0"/>
        <w:autoSpaceDE w:val="0"/>
        <w:autoSpaceDN w:val="0"/>
        <w:adjustRightInd w:val="0"/>
        <w:rPr>
          <w:rFonts w:cs="Times"/>
          <w:lang w:val="en-US"/>
        </w:rPr>
      </w:pPr>
      <w:r>
        <w:rPr>
          <w:rFonts w:cs="Times"/>
          <w:lang w:val="en-US"/>
        </w:rPr>
        <w:t>Egeln, J., Gottschalk, S. &amp; C. Rammer (2004), Location decisions of spin-offs from public research institutions. Industry and Innovation 11-2. Pp. 207-233.</w:t>
      </w:r>
    </w:p>
    <w:p w14:paraId="78140DFA" w14:textId="77777777" w:rsidR="00206FB3" w:rsidRPr="00485133" w:rsidRDefault="00206FB3" w:rsidP="00206FB3">
      <w:pPr>
        <w:widowControl w:val="0"/>
        <w:autoSpaceDE w:val="0"/>
        <w:autoSpaceDN w:val="0"/>
        <w:adjustRightInd w:val="0"/>
        <w:rPr>
          <w:rFonts w:cs="Times"/>
          <w:lang w:val="en-US"/>
        </w:rPr>
      </w:pPr>
    </w:p>
    <w:p w14:paraId="3469339F"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Erikkson, T. &amp; J. Kuhn (2005), </w:t>
      </w:r>
      <w:r w:rsidRPr="00256515">
        <w:rPr>
          <w:rFonts w:cs="Times"/>
          <w:i/>
          <w:lang w:val="en-US"/>
        </w:rPr>
        <w:t>Firm spin-offs in Denmark 1981-2000: Patterns of entry and exit</w:t>
      </w:r>
      <w:r w:rsidRPr="00485133">
        <w:rPr>
          <w:rFonts w:cs="Times"/>
          <w:lang w:val="en-US"/>
        </w:rPr>
        <w:t>. International journal of industrial organization 24. Pp. 1021-1040.</w:t>
      </w:r>
    </w:p>
    <w:p w14:paraId="42EE21B8" w14:textId="77777777" w:rsidR="00206FB3" w:rsidRPr="00485133" w:rsidRDefault="00206FB3" w:rsidP="00206FB3">
      <w:pPr>
        <w:widowControl w:val="0"/>
        <w:autoSpaceDE w:val="0"/>
        <w:autoSpaceDN w:val="0"/>
        <w:adjustRightInd w:val="0"/>
        <w:rPr>
          <w:rFonts w:cs="Times"/>
          <w:lang w:val="en-US"/>
        </w:rPr>
      </w:pPr>
    </w:p>
    <w:p w14:paraId="44906A35" w14:textId="77777777" w:rsidR="00206FB3" w:rsidRPr="00485133" w:rsidRDefault="00206FB3" w:rsidP="00206FB3">
      <w:pPr>
        <w:widowControl w:val="0"/>
        <w:autoSpaceDE w:val="0"/>
        <w:autoSpaceDN w:val="0"/>
        <w:adjustRightInd w:val="0"/>
        <w:rPr>
          <w:rFonts w:cs="Times"/>
          <w:lang w:val="en-US"/>
        </w:rPr>
      </w:pPr>
      <w:r w:rsidRPr="00485133">
        <w:rPr>
          <w:rFonts w:cs="Times"/>
          <w:lang w:val="en-US"/>
        </w:rPr>
        <w:t xml:space="preserve">Franco, A. &amp; D. Filson (2006), </w:t>
      </w:r>
      <w:r w:rsidRPr="00256515">
        <w:rPr>
          <w:rFonts w:cs="Times"/>
          <w:i/>
          <w:lang w:val="en-US"/>
        </w:rPr>
        <w:t>Spin-outs: knowledge diffusion through employee mobility</w:t>
      </w:r>
      <w:r w:rsidRPr="00485133">
        <w:rPr>
          <w:rFonts w:cs="Times"/>
          <w:lang w:val="en-US"/>
        </w:rPr>
        <w:t>. RAND Journal of economics 37-4, Pp. 841-864.</w:t>
      </w:r>
    </w:p>
    <w:p w14:paraId="73474F57" w14:textId="77777777" w:rsidR="00206FB3" w:rsidRPr="00485133" w:rsidRDefault="00206FB3" w:rsidP="00206FB3"/>
    <w:p w14:paraId="11BB9F84" w14:textId="77777777" w:rsidR="00206FB3" w:rsidRPr="00485133" w:rsidRDefault="00206FB3" w:rsidP="00206FB3">
      <w:r w:rsidRPr="00485133">
        <w:t xml:space="preserve">Frenken, K., Oort, F. Van, Verburg, T. &amp; R. Boschma (2004), </w:t>
      </w:r>
      <w:r w:rsidRPr="00256515">
        <w:rPr>
          <w:i/>
        </w:rPr>
        <w:t>Variety and regional economic growth in the Netherlands</w:t>
      </w:r>
      <w:r w:rsidRPr="00485133">
        <w:t>. The Netherlands Institute for Spatial Research.</w:t>
      </w:r>
    </w:p>
    <w:p w14:paraId="65E3356F" w14:textId="77777777" w:rsidR="00206FB3" w:rsidRPr="00485133" w:rsidRDefault="00206FB3" w:rsidP="00206FB3"/>
    <w:p w14:paraId="5885E327" w14:textId="77777777" w:rsidR="00206FB3" w:rsidRDefault="00206FB3" w:rsidP="00206FB3">
      <w:r w:rsidRPr="00485133">
        <w:t xml:space="preserve">Garnsey, E. Lorenzoni, G. &amp; S. Ferriani (2008). </w:t>
      </w:r>
      <w:r w:rsidRPr="00256515">
        <w:rPr>
          <w:i/>
        </w:rPr>
        <w:t>Speciation through entrepreneurial spin-off: The Acorn-ARM story</w:t>
      </w:r>
      <w:r w:rsidRPr="00485133">
        <w:t>. Research policy 37, Pp. 210-224.</w:t>
      </w:r>
    </w:p>
    <w:p w14:paraId="2368245D" w14:textId="77777777" w:rsidR="00206FB3" w:rsidRDefault="00206FB3" w:rsidP="00206FB3"/>
    <w:p w14:paraId="6D47CB6A"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Gemeente Alphen aan den Rijn (2013), </w:t>
      </w:r>
      <w:r w:rsidRPr="002710C1">
        <w:rPr>
          <w:rFonts w:ascii="Calibri" w:eastAsia="Times New Roman" w:hAnsi="Calibri" w:cs="Times New Roman"/>
          <w:i/>
          <w:color w:val="000000"/>
        </w:rPr>
        <w:t>Structuurvisie Alphen aan den Rijn</w:t>
      </w:r>
      <w:r>
        <w:rPr>
          <w:rFonts w:ascii="Calibri" w:eastAsia="Times New Roman" w:hAnsi="Calibri" w:cs="Times New Roman"/>
          <w:color w:val="000000"/>
        </w:rPr>
        <w:t xml:space="preserve"> 2031.</w:t>
      </w:r>
    </w:p>
    <w:p w14:paraId="76539438" w14:textId="77777777" w:rsidR="00206FB3" w:rsidRDefault="00206FB3" w:rsidP="00206FB3">
      <w:pPr>
        <w:rPr>
          <w:rFonts w:ascii="Calibri" w:eastAsia="Times New Roman" w:hAnsi="Calibri" w:cs="Times New Roman"/>
          <w:color w:val="000000"/>
        </w:rPr>
      </w:pPr>
    </w:p>
    <w:p w14:paraId="7F6A2C24"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Gemeente Bodegraven-Reeuwwijk (2013), </w:t>
      </w:r>
      <w:r w:rsidRPr="002710C1">
        <w:rPr>
          <w:rFonts w:ascii="Calibri" w:eastAsia="Times New Roman" w:hAnsi="Calibri" w:cs="Times New Roman"/>
          <w:i/>
          <w:color w:val="000000"/>
        </w:rPr>
        <w:t>Economische beleidsvisie Bodegraven-Reeuwwijk</w:t>
      </w:r>
      <w:r>
        <w:rPr>
          <w:rFonts w:ascii="Calibri" w:eastAsia="Times New Roman" w:hAnsi="Calibri" w:cs="Times New Roman"/>
          <w:color w:val="000000"/>
        </w:rPr>
        <w:t>.</w:t>
      </w:r>
    </w:p>
    <w:p w14:paraId="272C4E66" w14:textId="77777777" w:rsidR="00206FB3" w:rsidRDefault="00206FB3" w:rsidP="00206FB3">
      <w:pPr>
        <w:rPr>
          <w:rFonts w:ascii="Calibri" w:eastAsia="Times New Roman" w:hAnsi="Calibri" w:cs="Times New Roman"/>
          <w:color w:val="000000"/>
        </w:rPr>
      </w:pPr>
    </w:p>
    <w:p w14:paraId="69C8797E"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Gemeente Gouda (2012), </w:t>
      </w:r>
      <w:r w:rsidRPr="002710C1">
        <w:rPr>
          <w:rFonts w:ascii="Calibri" w:eastAsia="Times New Roman" w:hAnsi="Calibri" w:cs="Times New Roman"/>
          <w:i/>
          <w:color w:val="000000"/>
        </w:rPr>
        <w:t>Stadsmonitor 2012</w:t>
      </w:r>
      <w:r>
        <w:rPr>
          <w:rFonts w:ascii="Calibri" w:eastAsia="Times New Roman" w:hAnsi="Calibri" w:cs="Times New Roman"/>
          <w:color w:val="000000"/>
        </w:rPr>
        <w:t>.</w:t>
      </w:r>
    </w:p>
    <w:p w14:paraId="4AE9B9D4" w14:textId="77777777" w:rsidR="00206FB3" w:rsidRDefault="00206FB3" w:rsidP="00206FB3">
      <w:pPr>
        <w:rPr>
          <w:rFonts w:ascii="Calibri" w:eastAsia="Times New Roman" w:hAnsi="Calibri" w:cs="Times New Roman"/>
          <w:color w:val="000000"/>
        </w:rPr>
      </w:pPr>
    </w:p>
    <w:p w14:paraId="038AD8CE"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Gemeente Montfoort (2011), </w:t>
      </w:r>
      <w:r w:rsidRPr="002710C1">
        <w:rPr>
          <w:rFonts w:ascii="Calibri" w:eastAsia="Times New Roman" w:hAnsi="Calibri" w:cs="Times New Roman"/>
          <w:i/>
          <w:color w:val="000000"/>
        </w:rPr>
        <w:t>Visie 2030</w:t>
      </w:r>
      <w:r>
        <w:rPr>
          <w:rFonts w:ascii="Calibri" w:eastAsia="Times New Roman" w:hAnsi="Calibri" w:cs="Times New Roman"/>
          <w:color w:val="000000"/>
        </w:rPr>
        <w:t>.</w:t>
      </w:r>
    </w:p>
    <w:p w14:paraId="00AC01B3" w14:textId="77777777" w:rsidR="00206FB3" w:rsidRDefault="00206FB3" w:rsidP="00206FB3">
      <w:pPr>
        <w:rPr>
          <w:rFonts w:ascii="Calibri" w:eastAsia="Times New Roman" w:hAnsi="Calibri" w:cs="Times New Roman"/>
          <w:color w:val="000000"/>
        </w:rPr>
      </w:pPr>
    </w:p>
    <w:p w14:paraId="61C9DF9B"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Gemeente Oudewater (2010), </w:t>
      </w:r>
      <w:r w:rsidRPr="002710C1">
        <w:rPr>
          <w:rFonts w:ascii="Calibri" w:eastAsia="Times New Roman" w:hAnsi="Calibri" w:cs="Times New Roman"/>
          <w:i/>
          <w:color w:val="000000"/>
        </w:rPr>
        <w:t>Oudewater is zijn toekomst waard</w:t>
      </w:r>
      <w:r>
        <w:rPr>
          <w:rFonts w:ascii="Calibri" w:eastAsia="Times New Roman" w:hAnsi="Calibri" w:cs="Times New Roman"/>
          <w:color w:val="000000"/>
        </w:rPr>
        <w:t>.</w:t>
      </w:r>
    </w:p>
    <w:p w14:paraId="18942444" w14:textId="77777777" w:rsidR="00206FB3" w:rsidRDefault="00206FB3" w:rsidP="00206FB3">
      <w:pPr>
        <w:rPr>
          <w:rFonts w:ascii="Calibri" w:eastAsia="Times New Roman" w:hAnsi="Calibri" w:cs="Times New Roman"/>
          <w:color w:val="000000"/>
        </w:rPr>
      </w:pPr>
    </w:p>
    <w:p w14:paraId="063FF350"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Gemeente de Ronde Venen [2013], </w:t>
      </w:r>
      <w:r w:rsidRPr="002710C1">
        <w:rPr>
          <w:rFonts w:ascii="Calibri" w:eastAsia="Times New Roman" w:hAnsi="Calibri" w:cs="Times New Roman"/>
          <w:i/>
          <w:color w:val="000000"/>
        </w:rPr>
        <w:t>Ontwikkelen vanuit het Hart: Economische visie 2025</w:t>
      </w:r>
      <w:r>
        <w:rPr>
          <w:rFonts w:ascii="Calibri" w:eastAsia="Times New Roman" w:hAnsi="Calibri" w:cs="Times New Roman"/>
          <w:color w:val="000000"/>
        </w:rPr>
        <w:t>.</w:t>
      </w:r>
    </w:p>
    <w:p w14:paraId="5E65F6CA" w14:textId="77777777" w:rsidR="00206FB3" w:rsidRDefault="00206FB3" w:rsidP="00206FB3">
      <w:pPr>
        <w:rPr>
          <w:rFonts w:ascii="Calibri" w:eastAsia="Times New Roman" w:hAnsi="Calibri" w:cs="Times New Roman"/>
          <w:color w:val="000000"/>
        </w:rPr>
      </w:pPr>
    </w:p>
    <w:p w14:paraId="08B97C1A" w14:textId="77777777" w:rsidR="00206FB3" w:rsidRPr="00A81581"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Gemeente Woerden (2008), </w:t>
      </w:r>
      <w:r w:rsidRPr="002710C1">
        <w:rPr>
          <w:rFonts w:ascii="Calibri" w:eastAsia="Times New Roman" w:hAnsi="Calibri" w:cs="Times New Roman"/>
          <w:i/>
          <w:color w:val="000000"/>
        </w:rPr>
        <w:t>Visie 2022</w:t>
      </w:r>
      <w:r>
        <w:rPr>
          <w:rFonts w:ascii="Calibri" w:eastAsia="Times New Roman" w:hAnsi="Calibri" w:cs="Times New Roman"/>
          <w:color w:val="000000"/>
        </w:rPr>
        <w:t>.</w:t>
      </w:r>
    </w:p>
    <w:p w14:paraId="4EDAA751" w14:textId="77777777" w:rsidR="00206FB3" w:rsidRPr="00485133" w:rsidRDefault="00206FB3" w:rsidP="00206FB3"/>
    <w:p w14:paraId="3551BF45" w14:textId="77777777" w:rsidR="00206FB3" w:rsidRPr="00485133" w:rsidRDefault="00206FB3" w:rsidP="00206FB3">
      <w:r w:rsidRPr="00485133">
        <w:t xml:space="preserve">Iturriuga, F. &amp; N. Cruz (2008), </w:t>
      </w:r>
      <w:r w:rsidRPr="00256515">
        <w:rPr>
          <w:i/>
        </w:rPr>
        <w:t>Antecedents of corporate spin-offs in Spain: a resource based approach</w:t>
      </w:r>
      <w:r w:rsidRPr="00485133">
        <w:t>. Research policy 37, Pp. 1047-1056.</w:t>
      </w:r>
    </w:p>
    <w:p w14:paraId="1C2382AD" w14:textId="77777777" w:rsidR="00206FB3" w:rsidRPr="00485133" w:rsidRDefault="00206FB3" w:rsidP="00206FB3"/>
    <w:p w14:paraId="1958DAB3" w14:textId="77777777" w:rsidR="00206FB3" w:rsidRPr="00485133" w:rsidRDefault="00206FB3" w:rsidP="00206FB3">
      <w:r w:rsidRPr="00485133">
        <w:t xml:space="preserve">Klepper, S. (2001), </w:t>
      </w:r>
      <w:r w:rsidRPr="00155843">
        <w:rPr>
          <w:i/>
        </w:rPr>
        <w:t xml:space="preserve">Employee start-ups in High-Tech Industries. Industrial and corporate change </w:t>
      </w:r>
      <w:r w:rsidRPr="00485133">
        <w:t>10-3, Pp. 639-674.</w:t>
      </w:r>
    </w:p>
    <w:p w14:paraId="00CAD32F" w14:textId="77777777" w:rsidR="00206FB3" w:rsidRPr="00485133" w:rsidRDefault="00206FB3" w:rsidP="00206FB3"/>
    <w:p w14:paraId="00145080" w14:textId="77777777" w:rsidR="00206FB3" w:rsidRPr="00485133" w:rsidRDefault="00206FB3" w:rsidP="00206FB3">
      <w:r w:rsidRPr="00485133">
        <w:t xml:space="preserve">Kepper, S., (2009), </w:t>
      </w:r>
      <w:r w:rsidRPr="00155843">
        <w:rPr>
          <w:i/>
        </w:rPr>
        <w:t>The origin and growth of industry clusters: The making of Silicon Valley and Detroit</w:t>
      </w:r>
      <w:r w:rsidRPr="00485133">
        <w:t>. Journal of Urban Economics 67, Pp. 15-32.</w:t>
      </w:r>
    </w:p>
    <w:p w14:paraId="2660E83D" w14:textId="77777777" w:rsidR="00206FB3" w:rsidRPr="00485133" w:rsidRDefault="00206FB3" w:rsidP="00206FB3"/>
    <w:p w14:paraId="6EBA31CD" w14:textId="77777777" w:rsidR="00206FB3" w:rsidRPr="00485133" w:rsidRDefault="00206FB3" w:rsidP="00206FB3">
      <w:r w:rsidRPr="00485133">
        <w:t xml:space="preserve">Koster, S. (2006), </w:t>
      </w:r>
      <w:r w:rsidRPr="00485133">
        <w:rPr>
          <w:i/>
        </w:rPr>
        <w:t>Whose Child? How existing firms foster new firm formation: individual start-ups, spin-outs and spin-offs.</w:t>
      </w:r>
      <w:r w:rsidRPr="00485133">
        <w:t xml:space="preserve"> Rijksuniversiteit Groningen, Ruimtelijke Wetenschappen. 2006.</w:t>
      </w:r>
    </w:p>
    <w:p w14:paraId="78157DB1" w14:textId="77777777" w:rsidR="00206FB3" w:rsidRPr="00485133" w:rsidRDefault="00206FB3" w:rsidP="00206FB3"/>
    <w:p w14:paraId="6B83ED67" w14:textId="77777777" w:rsidR="00206FB3" w:rsidRDefault="00206FB3" w:rsidP="00206FB3">
      <w:r w:rsidRPr="00485133">
        <w:t xml:space="preserve">Oort, F van (2013), </w:t>
      </w:r>
      <w:r w:rsidRPr="00485133">
        <w:rPr>
          <w:i/>
        </w:rPr>
        <w:t>Arbeidsmobiliteit in de regionale kenniseconomie van Utrecht</w:t>
      </w:r>
      <w:r w:rsidRPr="00485133">
        <w:t>. Universiteit Utrecht, Faculteit Geowetenschappen.</w:t>
      </w:r>
    </w:p>
    <w:p w14:paraId="3F377D3B" w14:textId="77777777" w:rsidR="00206FB3" w:rsidRDefault="00206FB3" w:rsidP="00206FB3"/>
    <w:p w14:paraId="4ECC212A" w14:textId="77777777" w:rsidR="00206FB3" w:rsidRPr="00206FB3" w:rsidRDefault="00206FB3" w:rsidP="00206FB3">
      <w:r w:rsidRPr="00206FB3">
        <w:t xml:space="preserve">Oort, F. Van, Meijers, E., Burger, M., Thissen, M. &amp; M. Hoogerbrugge (2015), </w:t>
      </w:r>
      <w:r w:rsidRPr="00206FB3">
        <w:rPr>
          <w:i/>
        </w:rPr>
        <w:t>Van Agglomeratie- naar netwerkkracht</w:t>
      </w:r>
      <w:r w:rsidRPr="00206FB3">
        <w:t>. ESB Ruimtelijk, 12 februari.</w:t>
      </w:r>
    </w:p>
    <w:p w14:paraId="08213535" w14:textId="77777777" w:rsidR="00206FB3" w:rsidRPr="00206FB3" w:rsidRDefault="00206FB3" w:rsidP="00206FB3"/>
    <w:p w14:paraId="7D02E9C6" w14:textId="77777777" w:rsidR="00206FB3" w:rsidRPr="00485133" w:rsidRDefault="00206FB3" w:rsidP="00206FB3">
      <w:r w:rsidRPr="00206FB3">
        <w:t xml:space="preserve">Oort, F. Van, Eijsink, W. &amp; Bijleveld, P. (2014), </w:t>
      </w:r>
      <w:r w:rsidRPr="00206FB3">
        <w:rPr>
          <w:i/>
        </w:rPr>
        <w:t>Regionale innovatie door spin-offs. ESB Ruimtelijk</w:t>
      </w:r>
      <w:r w:rsidRPr="00206FB3">
        <w:t>, 20 november.</w:t>
      </w:r>
    </w:p>
    <w:p w14:paraId="73CF419E" w14:textId="77777777" w:rsidR="00206FB3" w:rsidRPr="00485133" w:rsidRDefault="00206FB3" w:rsidP="00206FB3"/>
    <w:p w14:paraId="711551CB" w14:textId="77777777" w:rsidR="00206FB3" w:rsidRPr="00485133" w:rsidRDefault="00206FB3" w:rsidP="00206FB3">
      <w:pPr>
        <w:widowControl w:val="0"/>
        <w:autoSpaceDE w:val="0"/>
        <w:autoSpaceDN w:val="0"/>
        <w:adjustRightInd w:val="0"/>
        <w:spacing w:after="240"/>
        <w:rPr>
          <w:rFonts w:cs="Times"/>
          <w:lang w:val="en-US"/>
        </w:rPr>
      </w:pPr>
      <w:r w:rsidRPr="00485133">
        <w:t xml:space="preserve">Malmberg A. &amp; P. Maskell (2002), </w:t>
      </w:r>
      <w:r w:rsidRPr="00155843">
        <w:rPr>
          <w:rFonts w:cs="Times"/>
          <w:i/>
          <w:lang w:val="en-US"/>
        </w:rPr>
        <w:t>The elusive concept of localization economies: towards a knowledge-based theory of spatial clustering</w:t>
      </w:r>
      <w:r w:rsidRPr="00485133">
        <w:rPr>
          <w:rFonts w:cs="Times"/>
          <w:lang w:val="en-US"/>
        </w:rPr>
        <w:t>. Environment and Planning A-34, Pp. 429-449.</w:t>
      </w:r>
    </w:p>
    <w:p w14:paraId="32811734" w14:textId="77777777" w:rsidR="00206FB3" w:rsidRDefault="00206FB3" w:rsidP="00206FB3">
      <w:pPr>
        <w:widowControl w:val="0"/>
        <w:autoSpaceDE w:val="0"/>
        <w:autoSpaceDN w:val="0"/>
        <w:adjustRightInd w:val="0"/>
        <w:spacing w:after="240"/>
        <w:rPr>
          <w:rFonts w:cs="Times"/>
          <w:lang w:val="en-US"/>
        </w:rPr>
      </w:pPr>
    </w:p>
    <w:p w14:paraId="59EFBB47" w14:textId="77777777" w:rsidR="00206FB3" w:rsidRPr="00485133" w:rsidRDefault="00206FB3" w:rsidP="00206FB3">
      <w:pPr>
        <w:widowControl w:val="0"/>
        <w:autoSpaceDE w:val="0"/>
        <w:autoSpaceDN w:val="0"/>
        <w:adjustRightInd w:val="0"/>
        <w:spacing w:after="240"/>
        <w:rPr>
          <w:rFonts w:cs="Times"/>
          <w:lang w:val="en-US"/>
        </w:rPr>
      </w:pPr>
      <w:r w:rsidRPr="00485133">
        <w:rPr>
          <w:rFonts w:cs="Times"/>
          <w:lang w:val="en-US"/>
        </w:rPr>
        <w:t xml:space="preserve">Menzel, M. &amp; D. Fornahl (2009), </w:t>
      </w:r>
      <w:r w:rsidRPr="00155843">
        <w:rPr>
          <w:rFonts w:cs="Times"/>
          <w:i/>
          <w:lang w:val="en-US"/>
        </w:rPr>
        <w:t>Cluster life cycles—dimensions and rationales of cluster evolution</w:t>
      </w:r>
      <w:r w:rsidRPr="00485133">
        <w:rPr>
          <w:rFonts w:cs="Times"/>
          <w:lang w:val="en-US"/>
        </w:rPr>
        <w:t>. Industrial and Corporate Change 19-1, pp. 205–238.</w:t>
      </w:r>
    </w:p>
    <w:p w14:paraId="36ECB8FA" w14:textId="77777777" w:rsidR="00206FB3" w:rsidRDefault="00206FB3" w:rsidP="00206FB3"/>
    <w:p w14:paraId="5CF0673C" w14:textId="10EEEFE3" w:rsidR="00206FB3" w:rsidRDefault="00206FB3" w:rsidP="00206FB3">
      <w:r w:rsidRPr="00485133">
        <w:t xml:space="preserve">Neffke, F. &amp; M. Henning (2013), </w:t>
      </w:r>
      <w:r w:rsidRPr="00155843">
        <w:rPr>
          <w:i/>
        </w:rPr>
        <w:t>Skill Relatedness and Firm Diversification</w:t>
      </w:r>
      <w:r w:rsidRPr="00485133">
        <w:t>. Strate</w:t>
      </w:r>
      <w:r w:rsidR="008E3AC7">
        <w:t>gic Manegement</w:t>
      </w:r>
      <w:r w:rsidRPr="00485133">
        <w:t xml:space="preserve"> Journal, vol. 34. Pp. 297-316.</w:t>
      </w:r>
    </w:p>
    <w:p w14:paraId="0DB55DD7" w14:textId="77777777" w:rsidR="00206FB3" w:rsidRDefault="00206FB3" w:rsidP="00206FB3"/>
    <w:p w14:paraId="01DDA9F2" w14:textId="77777777" w:rsidR="00206FB3"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Regio Atlas (2014), </w:t>
      </w:r>
      <w:r w:rsidRPr="002710C1">
        <w:rPr>
          <w:rFonts w:ascii="Calibri" w:eastAsia="Times New Roman" w:hAnsi="Calibri" w:cs="Times New Roman"/>
          <w:i/>
          <w:color w:val="000000"/>
        </w:rPr>
        <w:t>Corop subregio’s</w:t>
      </w:r>
      <w:r>
        <w:rPr>
          <w:rFonts w:ascii="Calibri" w:eastAsia="Times New Roman" w:hAnsi="Calibri" w:cs="Times New Roman"/>
          <w:color w:val="000000"/>
        </w:rPr>
        <w:t xml:space="preserve"> [geraadpleegd op 6 juli 2014]. </w:t>
      </w:r>
      <w:r w:rsidRPr="00073AAA">
        <w:rPr>
          <w:rFonts w:ascii="Calibri" w:eastAsia="Times New Roman" w:hAnsi="Calibri" w:cs="Times New Roman"/>
          <w:color w:val="000000"/>
        </w:rPr>
        <w:t>http://www.regioatlas.nl/indelingen/indelingen_indeling/t/corop_subregio_s</w:t>
      </w:r>
    </w:p>
    <w:p w14:paraId="2FCD5C2B" w14:textId="77777777" w:rsidR="00206FB3" w:rsidRDefault="00206FB3" w:rsidP="00206FB3"/>
    <w:p w14:paraId="74559A63" w14:textId="77777777" w:rsidR="00206FB3" w:rsidRPr="00F75891" w:rsidRDefault="00206FB3" w:rsidP="00206FB3">
      <w:pPr>
        <w:rPr>
          <w:rFonts w:eastAsia="Times New Roman" w:cs="Times New Roman"/>
          <w:szCs w:val="20"/>
          <w:lang w:val="en-GB"/>
        </w:rPr>
      </w:pPr>
      <w:r w:rsidRPr="00F75891">
        <w:rPr>
          <w:rFonts w:eastAsia="Times New Roman" w:cs="Arial"/>
          <w:color w:val="222222"/>
          <w:szCs w:val="20"/>
          <w:shd w:val="clear" w:color="auto" w:fill="FFFFFF"/>
          <w:lang w:val="en-GB"/>
        </w:rPr>
        <w:t>Saviotti, P. (1996). </w:t>
      </w:r>
      <w:r w:rsidRPr="00F75891">
        <w:rPr>
          <w:rFonts w:eastAsia="Times New Roman" w:cs="Arial"/>
          <w:i/>
          <w:iCs/>
          <w:color w:val="222222"/>
          <w:szCs w:val="20"/>
          <w:shd w:val="clear" w:color="auto" w:fill="FFFFFF"/>
          <w:lang w:val="en-GB"/>
        </w:rPr>
        <w:t>Technological evolution, variety, and the economy</w:t>
      </w:r>
      <w:r w:rsidRPr="00F75891">
        <w:rPr>
          <w:rFonts w:eastAsia="Times New Roman" w:cs="Arial"/>
          <w:color w:val="222222"/>
          <w:szCs w:val="20"/>
          <w:shd w:val="clear" w:color="auto" w:fill="FFFFFF"/>
          <w:lang w:val="en-GB"/>
        </w:rPr>
        <w:t>. Edward Elgar Publishing.</w:t>
      </w:r>
    </w:p>
    <w:p w14:paraId="1310C4B9" w14:textId="77777777" w:rsidR="00206FB3" w:rsidRPr="00485133" w:rsidRDefault="00206FB3" w:rsidP="00206FB3"/>
    <w:p w14:paraId="0557B152" w14:textId="77777777" w:rsidR="00206FB3" w:rsidRPr="00485133" w:rsidRDefault="00206FB3" w:rsidP="00206FB3">
      <w:r w:rsidRPr="00485133">
        <w:t xml:space="preserve">Schwanen, T., Dieleman, F. &amp; M. Dijst (2004), </w:t>
      </w:r>
      <w:r w:rsidRPr="00485133">
        <w:rPr>
          <w:i/>
        </w:rPr>
        <w:t>The Impact of Metropolitian Structure on Commute Behavior in the Netherlands: A Multilevel Approach</w:t>
      </w:r>
      <w:r w:rsidRPr="00485133">
        <w:t>. Growth and Change, vol 35-3. Pp. 304-333.</w:t>
      </w:r>
    </w:p>
    <w:p w14:paraId="103A4E8A" w14:textId="77777777" w:rsidR="00206FB3" w:rsidRPr="00485133" w:rsidRDefault="00206FB3" w:rsidP="00206FB3"/>
    <w:p w14:paraId="27E3BD01" w14:textId="77777777" w:rsidR="00206FB3" w:rsidRPr="00485133" w:rsidRDefault="00206FB3" w:rsidP="00206FB3">
      <w:r w:rsidRPr="00485133">
        <w:t xml:space="preserve">Sapienza, H., Parhankangas, A. &amp; E. Autio (2003), </w:t>
      </w:r>
      <w:r w:rsidRPr="00485133">
        <w:rPr>
          <w:i/>
        </w:rPr>
        <w:t>Knowledge relatedness and post spin-off growth</w:t>
      </w:r>
      <w:r w:rsidRPr="00485133">
        <w:t>. Journal of bussiness venturing 19, Pp. 809-829.</w:t>
      </w:r>
    </w:p>
    <w:p w14:paraId="66D6A408" w14:textId="77777777" w:rsidR="00206FB3" w:rsidRPr="00485133" w:rsidRDefault="00206FB3" w:rsidP="00206FB3"/>
    <w:p w14:paraId="535FAA7C" w14:textId="77777777" w:rsidR="00206FB3" w:rsidRPr="00485133" w:rsidRDefault="00206FB3" w:rsidP="00206FB3">
      <w:pPr>
        <w:widowControl w:val="0"/>
        <w:autoSpaceDE w:val="0"/>
        <w:autoSpaceDN w:val="0"/>
        <w:adjustRightInd w:val="0"/>
        <w:spacing w:after="240"/>
        <w:rPr>
          <w:rFonts w:cs="Times"/>
          <w:lang w:val="en-US"/>
        </w:rPr>
      </w:pPr>
      <w:r w:rsidRPr="00485133">
        <w:rPr>
          <w:rFonts w:cs="Calibri"/>
          <w:lang w:val="en-US"/>
        </w:rPr>
        <w:t xml:space="preserve">Schumpeter JA. (1951). </w:t>
      </w:r>
      <w:r w:rsidRPr="00485133">
        <w:rPr>
          <w:rFonts w:cs="Times"/>
          <w:i/>
          <w:lang w:val="en-US"/>
        </w:rPr>
        <w:t>The theory of economic development. An inquiry into profits, capital, credit, interest and the business cycle</w:t>
      </w:r>
      <w:r w:rsidRPr="00485133">
        <w:rPr>
          <w:rFonts w:cs="Times"/>
          <w:lang w:val="en-US"/>
        </w:rPr>
        <w:t xml:space="preserve">. </w:t>
      </w:r>
      <w:r w:rsidRPr="00485133">
        <w:rPr>
          <w:rFonts w:cs="Calibri"/>
          <w:lang w:val="en-US"/>
        </w:rPr>
        <w:t>Harvard University Press, Cambridge, Mass.</w:t>
      </w:r>
    </w:p>
    <w:p w14:paraId="0073450E" w14:textId="77777777" w:rsidR="002710C1" w:rsidRDefault="002710C1" w:rsidP="00206FB3"/>
    <w:p w14:paraId="181C4040" w14:textId="77777777" w:rsidR="00206FB3" w:rsidRPr="00485133" w:rsidRDefault="00206FB3" w:rsidP="00206FB3">
      <w:r w:rsidRPr="00485133">
        <w:t xml:space="preserve">Shane, S. &amp; R. Khurana (2003), </w:t>
      </w:r>
      <w:r w:rsidRPr="00256515">
        <w:rPr>
          <w:i/>
        </w:rPr>
        <w:t>Bringing individuals back in: the effect of career experience on new firm founding</w:t>
      </w:r>
      <w:r w:rsidRPr="00485133">
        <w:t>. Industrial and corporate change 12-3, Pp. 519-543.</w:t>
      </w:r>
    </w:p>
    <w:p w14:paraId="0ED98BA1" w14:textId="77777777" w:rsidR="00206FB3" w:rsidRPr="00485133" w:rsidRDefault="00206FB3" w:rsidP="00206FB3"/>
    <w:p w14:paraId="4ACE51B1" w14:textId="77777777" w:rsidR="00206FB3" w:rsidRDefault="00206FB3" w:rsidP="00206FB3">
      <w:pPr>
        <w:rPr>
          <w:rFonts w:cs="Times"/>
          <w:lang w:val="en-US"/>
        </w:rPr>
      </w:pPr>
      <w:r w:rsidRPr="00485133">
        <w:t xml:space="preserve">Shane, S. &amp; S. Venkataraman (2000), </w:t>
      </w:r>
      <w:r w:rsidRPr="00256515">
        <w:rPr>
          <w:i/>
        </w:rPr>
        <w:t>The promise of entrepreneurship as a field of research</w:t>
      </w:r>
      <w:r w:rsidRPr="00485133">
        <w:t xml:space="preserve">. </w:t>
      </w:r>
      <w:r w:rsidRPr="00485133">
        <w:rPr>
          <w:rFonts w:cs="Times"/>
          <w:lang w:val="en-US"/>
        </w:rPr>
        <w:t>The Academy of Management Review, Vol. 25-1, Pp. 217-226.</w:t>
      </w:r>
    </w:p>
    <w:p w14:paraId="6820C199" w14:textId="77777777" w:rsidR="00206FB3" w:rsidRDefault="00206FB3" w:rsidP="00206FB3">
      <w:pPr>
        <w:rPr>
          <w:rFonts w:cs="Times"/>
          <w:b/>
          <w:lang w:val="en-US"/>
        </w:rPr>
      </w:pPr>
    </w:p>
    <w:p w14:paraId="4BB003AA" w14:textId="77777777" w:rsidR="00206FB3" w:rsidRDefault="00206FB3" w:rsidP="00206FB3">
      <w:pPr>
        <w:rPr>
          <w:rFonts w:cs="Times"/>
          <w:lang w:val="en-US"/>
        </w:rPr>
      </w:pPr>
      <w:r w:rsidRPr="00ED749F">
        <w:rPr>
          <w:rFonts w:cs="Times"/>
          <w:lang w:val="en-US"/>
        </w:rPr>
        <w:t>Stam</w:t>
      </w:r>
      <w:r>
        <w:rPr>
          <w:rFonts w:cs="Times"/>
          <w:lang w:val="en-US"/>
        </w:rPr>
        <w:t xml:space="preserve"> E.</w:t>
      </w:r>
      <w:r w:rsidRPr="00ED749F">
        <w:rPr>
          <w:rFonts w:cs="Times"/>
          <w:lang w:val="en-US"/>
        </w:rPr>
        <w:t xml:space="preserve"> </w:t>
      </w:r>
      <w:r>
        <w:rPr>
          <w:rFonts w:cs="Times"/>
          <w:lang w:val="en-US"/>
        </w:rPr>
        <w:t>(</w:t>
      </w:r>
      <w:r w:rsidRPr="00ED749F">
        <w:rPr>
          <w:rFonts w:cs="Times"/>
          <w:lang w:val="en-US"/>
        </w:rPr>
        <w:t>2015</w:t>
      </w:r>
      <w:r>
        <w:rPr>
          <w:rFonts w:cs="Times"/>
          <w:lang w:val="en-US"/>
        </w:rPr>
        <w:t xml:space="preserve">), </w:t>
      </w:r>
      <w:r w:rsidRPr="002710C1">
        <w:rPr>
          <w:rFonts w:cs="Times"/>
          <w:i/>
          <w:lang w:val="en-US"/>
        </w:rPr>
        <w:t>Entrepreneurial Ecosystems and regional policy a sympathetic critique</w:t>
      </w:r>
      <w:r>
        <w:rPr>
          <w:rFonts w:cs="Times"/>
          <w:lang w:val="en-US"/>
        </w:rPr>
        <w:t>. European Planning Studies 23-9. Pp. 1759-1769.</w:t>
      </w:r>
    </w:p>
    <w:p w14:paraId="3A897EFA" w14:textId="77777777" w:rsidR="00206FB3" w:rsidRDefault="00206FB3" w:rsidP="00206FB3">
      <w:pPr>
        <w:rPr>
          <w:rFonts w:cs="Times"/>
          <w:lang w:val="en-US"/>
        </w:rPr>
      </w:pPr>
    </w:p>
    <w:p w14:paraId="47D91E14" w14:textId="77777777" w:rsidR="00206FB3" w:rsidRPr="00A81581" w:rsidRDefault="00206FB3" w:rsidP="00206FB3">
      <w:pPr>
        <w:rPr>
          <w:rFonts w:ascii="Calibri" w:eastAsia="Times New Roman" w:hAnsi="Calibri" w:cs="Times New Roman"/>
          <w:color w:val="000000"/>
        </w:rPr>
      </w:pPr>
      <w:r>
        <w:rPr>
          <w:rFonts w:ascii="Calibri" w:eastAsia="Times New Roman" w:hAnsi="Calibri" w:cs="Times New Roman"/>
          <w:color w:val="000000"/>
        </w:rPr>
        <w:t xml:space="preserve">Vogelzang, T., Venema, G., de Bont, C., Wisman, J. &amp; M. Van Leeuwen (2009), </w:t>
      </w:r>
      <w:r w:rsidRPr="002710C1">
        <w:rPr>
          <w:rFonts w:ascii="Calibri" w:eastAsia="Times New Roman" w:hAnsi="Calibri" w:cs="Times New Roman"/>
          <w:i/>
          <w:color w:val="000000"/>
        </w:rPr>
        <w:t>Boeren in het Groene Hart</w:t>
      </w:r>
      <w:r>
        <w:rPr>
          <w:rFonts w:ascii="Calibri" w:eastAsia="Times New Roman" w:hAnsi="Calibri" w:cs="Times New Roman"/>
          <w:color w:val="000000"/>
        </w:rPr>
        <w:t>. Lei Wageningen UR, Den Haag.</w:t>
      </w:r>
    </w:p>
    <w:p w14:paraId="6F63B643" w14:textId="77777777" w:rsidR="00206FB3" w:rsidRDefault="00206FB3" w:rsidP="00206FB3">
      <w:pPr>
        <w:rPr>
          <w:rFonts w:cs="Times"/>
          <w:b/>
          <w:lang w:val="en-US"/>
        </w:rPr>
      </w:pPr>
    </w:p>
    <w:p w14:paraId="5F540FBD" w14:textId="77777777" w:rsidR="00206FB3" w:rsidRPr="005C44A2" w:rsidRDefault="00206FB3" w:rsidP="00206FB3">
      <w:r>
        <w:rPr>
          <w:rFonts w:cs="Times"/>
          <w:lang w:val="en-US"/>
        </w:rPr>
        <w:t xml:space="preserve">Zandvliet, K., Gravesteijn, J. &amp; O. Tanis. (2013), </w:t>
      </w:r>
      <w:r w:rsidRPr="00256515">
        <w:rPr>
          <w:rFonts w:cs="Times"/>
          <w:i/>
          <w:lang w:val="en-US"/>
        </w:rPr>
        <w:t>ZZP: Tussen werknemer en werkgever in</w:t>
      </w:r>
      <w:r>
        <w:rPr>
          <w:rFonts w:cs="Times"/>
          <w:lang w:val="en-US"/>
        </w:rPr>
        <w:t>. SEOR Rotterdam.</w:t>
      </w:r>
    </w:p>
    <w:p w14:paraId="5F62829E" w14:textId="77777777" w:rsidR="00206FB3" w:rsidRPr="00206FB3" w:rsidRDefault="00206FB3" w:rsidP="00206FB3"/>
    <w:sectPr w:rsidR="00206FB3" w:rsidRPr="00206FB3" w:rsidSect="0056309A">
      <w:footerReference w:type="even" r:id="rId37"/>
      <w:footerReference w:type="default" r:id="rId38"/>
      <w:pgSz w:w="11900" w:h="16840"/>
      <w:pgMar w:top="1440" w:right="1800" w:bottom="1440" w:left="1800" w:header="708" w:footer="708" w:gutter="0"/>
      <w:pgNumType w:start="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3722E" w14:textId="77777777" w:rsidR="00E01C36" w:rsidRDefault="00E01C36" w:rsidP="006B55BB">
      <w:r>
        <w:separator/>
      </w:r>
    </w:p>
  </w:endnote>
  <w:endnote w:type="continuationSeparator" w:id="0">
    <w:p w14:paraId="6DBD7F75" w14:textId="77777777" w:rsidR="00E01C36" w:rsidRDefault="00E01C36" w:rsidP="006B5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F2EDC" w14:textId="77777777" w:rsidR="00E01C36" w:rsidRDefault="00E01C36" w:rsidP="0056309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76DD25C" w14:textId="1DF5CC66" w:rsidR="00E01C36" w:rsidRDefault="00E01C36" w:rsidP="0056309A">
    <w:pPr>
      <w:pStyle w:val="Footer"/>
      <w:ind w:right="360" w:firstLine="360"/>
      <w:rPr>
        <w:rStyle w:val="PageNumber"/>
      </w:rPr>
    </w:pPr>
  </w:p>
  <w:p w14:paraId="4F9377F5" w14:textId="77777777" w:rsidR="00E01C36" w:rsidRDefault="00E01C36" w:rsidP="006B55B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CF371" w14:textId="77777777" w:rsidR="00E01C36" w:rsidRDefault="00E01C36" w:rsidP="0056309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355DF">
      <w:rPr>
        <w:rStyle w:val="PageNumber"/>
        <w:noProof/>
      </w:rPr>
      <w:t>8</w:t>
    </w:r>
    <w:r>
      <w:rPr>
        <w:rStyle w:val="PageNumber"/>
      </w:rPr>
      <w:fldChar w:fldCharType="end"/>
    </w:r>
  </w:p>
  <w:p w14:paraId="648A3875" w14:textId="50A59B8B" w:rsidR="00E01C36" w:rsidRDefault="00E01C36" w:rsidP="0056309A">
    <w:pPr>
      <w:pStyle w:val="Footer"/>
      <w:ind w:right="360" w:firstLine="360"/>
      <w:rPr>
        <w:rStyle w:val="PageNumber"/>
      </w:rPr>
    </w:pPr>
  </w:p>
  <w:p w14:paraId="629E0DF4" w14:textId="77777777" w:rsidR="00E01C36" w:rsidRDefault="00E01C36" w:rsidP="006B55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E6260" w14:textId="77777777" w:rsidR="00E01C36" w:rsidRDefault="00E01C36" w:rsidP="006B55BB">
      <w:r>
        <w:separator/>
      </w:r>
    </w:p>
  </w:footnote>
  <w:footnote w:type="continuationSeparator" w:id="0">
    <w:p w14:paraId="6598F3B3" w14:textId="77777777" w:rsidR="00E01C36" w:rsidRDefault="00E01C36" w:rsidP="006B55B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37D3B"/>
    <w:multiLevelType w:val="hybridMultilevel"/>
    <w:tmpl w:val="F93C16F8"/>
    <w:lvl w:ilvl="0" w:tplc="583EB3EC">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8E3FA8"/>
    <w:multiLevelType w:val="hybridMultilevel"/>
    <w:tmpl w:val="DF00C56A"/>
    <w:lvl w:ilvl="0" w:tplc="F01AAD7E">
      <w:start w:val="1"/>
      <w:numFmt w:val="decimal"/>
      <w:lvlText w:val="%1)"/>
      <w:lvlJc w:val="left"/>
      <w:pPr>
        <w:ind w:left="1660" w:hanging="940"/>
      </w:pPr>
      <w:rPr>
        <w:rFonts w:asciiTheme="majorHAnsi" w:eastAsiaTheme="minorEastAsia"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B5151A1"/>
    <w:multiLevelType w:val="hybridMultilevel"/>
    <w:tmpl w:val="4478FA9C"/>
    <w:lvl w:ilvl="0" w:tplc="A208993E">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57D"/>
    <w:rsid w:val="00000687"/>
    <w:rsid w:val="00002889"/>
    <w:rsid w:val="000129AC"/>
    <w:rsid w:val="00017C6D"/>
    <w:rsid w:val="00023968"/>
    <w:rsid w:val="00023D4C"/>
    <w:rsid w:val="000461EE"/>
    <w:rsid w:val="00052212"/>
    <w:rsid w:val="00057487"/>
    <w:rsid w:val="00057BC4"/>
    <w:rsid w:val="0007357F"/>
    <w:rsid w:val="00075A97"/>
    <w:rsid w:val="00081BA5"/>
    <w:rsid w:val="000D24B7"/>
    <w:rsid w:val="000E5C2E"/>
    <w:rsid w:val="000F4E56"/>
    <w:rsid w:val="000F52A8"/>
    <w:rsid w:val="00105245"/>
    <w:rsid w:val="00106767"/>
    <w:rsid w:val="001105A9"/>
    <w:rsid w:val="001156B0"/>
    <w:rsid w:val="001414F3"/>
    <w:rsid w:val="00142C8D"/>
    <w:rsid w:val="00143C8D"/>
    <w:rsid w:val="00177FAB"/>
    <w:rsid w:val="001948EF"/>
    <w:rsid w:val="0019726F"/>
    <w:rsid w:val="001A1533"/>
    <w:rsid w:val="001A7EFF"/>
    <w:rsid w:val="001C0EEA"/>
    <w:rsid w:val="001C5EAD"/>
    <w:rsid w:val="001D0BD4"/>
    <w:rsid w:val="001D2CAB"/>
    <w:rsid w:val="001D52C9"/>
    <w:rsid w:val="001D7DBD"/>
    <w:rsid w:val="00206DC8"/>
    <w:rsid w:val="00206FB3"/>
    <w:rsid w:val="00207764"/>
    <w:rsid w:val="002460E9"/>
    <w:rsid w:val="002511AC"/>
    <w:rsid w:val="00252B84"/>
    <w:rsid w:val="002710C1"/>
    <w:rsid w:val="00275CCD"/>
    <w:rsid w:val="00283514"/>
    <w:rsid w:val="002B0C27"/>
    <w:rsid w:val="002C088C"/>
    <w:rsid w:val="002E73E7"/>
    <w:rsid w:val="002E76FA"/>
    <w:rsid w:val="002F0334"/>
    <w:rsid w:val="003144C9"/>
    <w:rsid w:val="00314B5A"/>
    <w:rsid w:val="003301AF"/>
    <w:rsid w:val="00333394"/>
    <w:rsid w:val="00333445"/>
    <w:rsid w:val="003339BB"/>
    <w:rsid w:val="003355DF"/>
    <w:rsid w:val="00350CF2"/>
    <w:rsid w:val="003514E8"/>
    <w:rsid w:val="00351B12"/>
    <w:rsid w:val="00361164"/>
    <w:rsid w:val="003679A2"/>
    <w:rsid w:val="003749C6"/>
    <w:rsid w:val="003758DD"/>
    <w:rsid w:val="00375FB9"/>
    <w:rsid w:val="003910BE"/>
    <w:rsid w:val="00393F3C"/>
    <w:rsid w:val="00394F7D"/>
    <w:rsid w:val="003A2828"/>
    <w:rsid w:val="003C4F2D"/>
    <w:rsid w:val="003D28B7"/>
    <w:rsid w:val="003D2C98"/>
    <w:rsid w:val="003D30D1"/>
    <w:rsid w:val="003E7DF7"/>
    <w:rsid w:val="003F0C62"/>
    <w:rsid w:val="003F3B92"/>
    <w:rsid w:val="003F5EA3"/>
    <w:rsid w:val="003F7473"/>
    <w:rsid w:val="0040728B"/>
    <w:rsid w:val="004149D8"/>
    <w:rsid w:val="00416A4B"/>
    <w:rsid w:val="00426A32"/>
    <w:rsid w:val="004400C3"/>
    <w:rsid w:val="0044708D"/>
    <w:rsid w:val="00455823"/>
    <w:rsid w:val="00461E8A"/>
    <w:rsid w:val="004645A4"/>
    <w:rsid w:val="004707D1"/>
    <w:rsid w:val="0047245B"/>
    <w:rsid w:val="00472E40"/>
    <w:rsid w:val="00481940"/>
    <w:rsid w:val="00495B14"/>
    <w:rsid w:val="004B20BD"/>
    <w:rsid w:val="004B373F"/>
    <w:rsid w:val="004B461C"/>
    <w:rsid w:val="004B7E3E"/>
    <w:rsid w:val="004C5D26"/>
    <w:rsid w:val="004E08CE"/>
    <w:rsid w:val="004E2C62"/>
    <w:rsid w:val="004E30ED"/>
    <w:rsid w:val="004F0989"/>
    <w:rsid w:val="005261CD"/>
    <w:rsid w:val="00536906"/>
    <w:rsid w:val="00546B99"/>
    <w:rsid w:val="00551903"/>
    <w:rsid w:val="00552D1B"/>
    <w:rsid w:val="0056309A"/>
    <w:rsid w:val="00564595"/>
    <w:rsid w:val="0057007E"/>
    <w:rsid w:val="00580D5E"/>
    <w:rsid w:val="00581422"/>
    <w:rsid w:val="00590DC9"/>
    <w:rsid w:val="005C248B"/>
    <w:rsid w:val="005D684E"/>
    <w:rsid w:val="005E4EEC"/>
    <w:rsid w:val="005E5CC9"/>
    <w:rsid w:val="00602C93"/>
    <w:rsid w:val="0061646A"/>
    <w:rsid w:val="00622957"/>
    <w:rsid w:val="00624134"/>
    <w:rsid w:val="00635DCD"/>
    <w:rsid w:val="0064346A"/>
    <w:rsid w:val="006474EA"/>
    <w:rsid w:val="00654767"/>
    <w:rsid w:val="0068557D"/>
    <w:rsid w:val="006B55BB"/>
    <w:rsid w:val="006C7696"/>
    <w:rsid w:val="006D145A"/>
    <w:rsid w:val="006E3FCB"/>
    <w:rsid w:val="006F328F"/>
    <w:rsid w:val="0073085C"/>
    <w:rsid w:val="00751ADC"/>
    <w:rsid w:val="00765B83"/>
    <w:rsid w:val="007731A8"/>
    <w:rsid w:val="00786C43"/>
    <w:rsid w:val="00795AD4"/>
    <w:rsid w:val="00795D66"/>
    <w:rsid w:val="007A42AE"/>
    <w:rsid w:val="007A507E"/>
    <w:rsid w:val="007C4733"/>
    <w:rsid w:val="007D0B50"/>
    <w:rsid w:val="007E2B9D"/>
    <w:rsid w:val="007F678D"/>
    <w:rsid w:val="00812DEE"/>
    <w:rsid w:val="00827DE4"/>
    <w:rsid w:val="00830A61"/>
    <w:rsid w:val="00835DBC"/>
    <w:rsid w:val="00846F59"/>
    <w:rsid w:val="00847BE6"/>
    <w:rsid w:val="00854564"/>
    <w:rsid w:val="00855FB9"/>
    <w:rsid w:val="00856398"/>
    <w:rsid w:val="008671FC"/>
    <w:rsid w:val="00871546"/>
    <w:rsid w:val="008735E9"/>
    <w:rsid w:val="00876234"/>
    <w:rsid w:val="008768AF"/>
    <w:rsid w:val="00880649"/>
    <w:rsid w:val="008937DE"/>
    <w:rsid w:val="008974F4"/>
    <w:rsid w:val="008A069F"/>
    <w:rsid w:val="008A53EF"/>
    <w:rsid w:val="008B3161"/>
    <w:rsid w:val="008C3EF8"/>
    <w:rsid w:val="008C53E4"/>
    <w:rsid w:val="008D6C53"/>
    <w:rsid w:val="008E3AC7"/>
    <w:rsid w:val="00901260"/>
    <w:rsid w:val="00914B5B"/>
    <w:rsid w:val="00927B5C"/>
    <w:rsid w:val="00933F48"/>
    <w:rsid w:val="00943FC1"/>
    <w:rsid w:val="009617FF"/>
    <w:rsid w:val="009722ED"/>
    <w:rsid w:val="009727A8"/>
    <w:rsid w:val="009833C6"/>
    <w:rsid w:val="009928C1"/>
    <w:rsid w:val="009A4640"/>
    <w:rsid w:val="009B487F"/>
    <w:rsid w:val="009C0FB7"/>
    <w:rsid w:val="009C6140"/>
    <w:rsid w:val="009E67EE"/>
    <w:rsid w:val="009F3BC9"/>
    <w:rsid w:val="00A24A98"/>
    <w:rsid w:val="00A31DB3"/>
    <w:rsid w:val="00A46FD9"/>
    <w:rsid w:val="00A472B3"/>
    <w:rsid w:val="00A52D8D"/>
    <w:rsid w:val="00A750F9"/>
    <w:rsid w:val="00A81884"/>
    <w:rsid w:val="00AB4F11"/>
    <w:rsid w:val="00AD701A"/>
    <w:rsid w:val="00B050DA"/>
    <w:rsid w:val="00B1244D"/>
    <w:rsid w:val="00B26623"/>
    <w:rsid w:val="00B323A7"/>
    <w:rsid w:val="00B409EB"/>
    <w:rsid w:val="00B5236B"/>
    <w:rsid w:val="00B705C3"/>
    <w:rsid w:val="00B82601"/>
    <w:rsid w:val="00BB24CD"/>
    <w:rsid w:val="00BB614A"/>
    <w:rsid w:val="00BD4F3C"/>
    <w:rsid w:val="00BF1BA7"/>
    <w:rsid w:val="00BF4AFE"/>
    <w:rsid w:val="00BF5513"/>
    <w:rsid w:val="00C11AA0"/>
    <w:rsid w:val="00C1606D"/>
    <w:rsid w:val="00C33A47"/>
    <w:rsid w:val="00C45088"/>
    <w:rsid w:val="00C61BA7"/>
    <w:rsid w:val="00C67B68"/>
    <w:rsid w:val="00C910EC"/>
    <w:rsid w:val="00C94930"/>
    <w:rsid w:val="00C9734D"/>
    <w:rsid w:val="00CA27BA"/>
    <w:rsid w:val="00CA70AF"/>
    <w:rsid w:val="00CB628B"/>
    <w:rsid w:val="00CB6DBF"/>
    <w:rsid w:val="00CB6F26"/>
    <w:rsid w:val="00CB7472"/>
    <w:rsid w:val="00CC24DB"/>
    <w:rsid w:val="00CC3166"/>
    <w:rsid w:val="00CC3AEA"/>
    <w:rsid w:val="00CD017A"/>
    <w:rsid w:val="00CD54CD"/>
    <w:rsid w:val="00CD5B20"/>
    <w:rsid w:val="00CD7371"/>
    <w:rsid w:val="00CE3705"/>
    <w:rsid w:val="00CE511C"/>
    <w:rsid w:val="00CF7770"/>
    <w:rsid w:val="00D02A3A"/>
    <w:rsid w:val="00D11E43"/>
    <w:rsid w:val="00D127A9"/>
    <w:rsid w:val="00D25F0E"/>
    <w:rsid w:val="00D372C2"/>
    <w:rsid w:val="00D41DAA"/>
    <w:rsid w:val="00D44904"/>
    <w:rsid w:val="00D4780A"/>
    <w:rsid w:val="00D532F7"/>
    <w:rsid w:val="00D64B2D"/>
    <w:rsid w:val="00D77BA1"/>
    <w:rsid w:val="00D9363A"/>
    <w:rsid w:val="00DA0307"/>
    <w:rsid w:val="00DA0DBD"/>
    <w:rsid w:val="00DB43F7"/>
    <w:rsid w:val="00DC1E1A"/>
    <w:rsid w:val="00DC2661"/>
    <w:rsid w:val="00DD390D"/>
    <w:rsid w:val="00DE6F12"/>
    <w:rsid w:val="00E01C36"/>
    <w:rsid w:val="00E0238E"/>
    <w:rsid w:val="00E377CC"/>
    <w:rsid w:val="00E40C4C"/>
    <w:rsid w:val="00E4326A"/>
    <w:rsid w:val="00E47779"/>
    <w:rsid w:val="00E55DFB"/>
    <w:rsid w:val="00E6319C"/>
    <w:rsid w:val="00E7651A"/>
    <w:rsid w:val="00E8095B"/>
    <w:rsid w:val="00E87390"/>
    <w:rsid w:val="00E91ADF"/>
    <w:rsid w:val="00EA0D56"/>
    <w:rsid w:val="00EA1600"/>
    <w:rsid w:val="00EA2506"/>
    <w:rsid w:val="00EB2DAA"/>
    <w:rsid w:val="00EB4BBE"/>
    <w:rsid w:val="00EC6571"/>
    <w:rsid w:val="00EC73C3"/>
    <w:rsid w:val="00ED0692"/>
    <w:rsid w:val="00ED3512"/>
    <w:rsid w:val="00EE72A2"/>
    <w:rsid w:val="00EF1A01"/>
    <w:rsid w:val="00F153CB"/>
    <w:rsid w:val="00F20302"/>
    <w:rsid w:val="00F20FE2"/>
    <w:rsid w:val="00F3129A"/>
    <w:rsid w:val="00F43334"/>
    <w:rsid w:val="00F445D7"/>
    <w:rsid w:val="00F46E0D"/>
    <w:rsid w:val="00F56978"/>
    <w:rsid w:val="00F661DA"/>
    <w:rsid w:val="00F745F7"/>
    <w:rsid w:val="00F8041A"/>
    <w:rsid w:val="00F8206C"/>
    <w:rsid w:val="00F85F29"/>
    <w:rsid w:val="00F8600A"/>
    <w:rsid w:val="00F91282"/>
    <w:rsid w:val="00FA406B"/>
    <w:rsid w:val="00FA6242"/>
    <w:rsid w:val="00FB07FD"/>
    <w:rsid w:val="00FB3C43"/>
    <w:rsid w:val="00FE2BB5"/>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A5D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5BB"/>
    <w:pPr>
      <w:spacing w:after="80"/>
      <w:contextualSpacing/>
      <w:jc w:val="both"/>
    </w:pPr>
    <w:rPr>
      <w:rFonts w:asciiTheme="majorHAnsi" w:hAnsiTheme="majorHAnsi"/>
      <w:sz w:val="22"/>
      <w:szCs w:val="22"/>
    </w:rPr>
  </w:style>
  <w:style w:type="paragraph" w:styleId="Heading1">
    <w:name w:val="heading 1"/>
    <w:basedOn w:val="Normal"/>
    <w:next w:val="Normal"/>
    <w:link w:val="Heading1Char"/>
    <w:uiPriority w:val="9"/>
    <w:qFormat/>
    <w:rsid w:val="001105A9"/>
    <w:pPr>
      <w:keepNext/>
      <w:keepLines/>
      <w:spacing w:before="480" w:after="0"/>
      <w:outlineLvl w:val="0"/>
    </w:pPr>
    <w:rPr>
      <w:rFonts w:eastAsiaTheme="majorEastAsia" w:cstheme="majorBidi"/>
      <w:b/>
      <w:bCs/>
      <w:color w:val="345A8A" w:themeColor="accent1" w:themeShade="B5"/>
      <w:szCs w:val="32"/>
    </w:rPr>
  </w:style>
  <w:style w:type="paragraph" w:styleId="Heading2">
    <w:name w:val="heading 2"/>
    <w:basedOn w:val="Normal"/>
    <w:next w:val="Normal"/>
    <w:link w:val="Heading2Char"/>
    <w:uiPriority w:val="9"/>
    <w:unhideWhenUsed/>
    <w:qFormat/>
    <w:rsid w:val="006B55BB"/>
    <w:pPr>
      <w:keepNext/>
      <w:keepLines/>
      <w:spacing w:before="200" w:after="0"/>
      <w:outlineLvl w:val="1"/>
    </w:pPr>
    <w:rPr>
      <w:rFonts w:eastAsiaTheme="majorEastAsia" w:cstheme="majorBidi"/>
      <w:bCs/>
      <w:i/>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B20"/>
    <w:pPr>
      <w:ind w:left="720"/>
    </w:pPr>
  </w:style>
  <w:style w:type="paragraph" w:styleId="Footer">
    <w:name w:val="footer"/>
    <w:basedOn w:val="Normal"/>
    <w:link w:val="FooterChar"/>
    <w:uiPriority w:val="99"/>
    <w:unhideWhenUsed/>
    <w:rsid w:val="001105A9"/>
    <w:pPr>
      <w:tabs>
        <w:tab w:val="center" w:pos="4320"/>
        <w:tab w:val="right" w:pos="8640"/>
      </w:tabs>
      <w:spacing w:after="0"/>
    </w:pPr>
  </w:style>
  <w:style w:type="character" w:customStyle="1" w:styleId="FooterChar">
    <w:name w:val="Footer Char"/>
    <w:basedOn w:val="DefaultParagraphFont"/>
    <w:link w:val="Footer"/>
    <w:uiPriority w:val="99"/>
    <w:rsid w:val="001105A9"/>
  </w:style>
  <w:style w:type="character" w:styleId="PageNumber">
    <w:name w:val="page number"/>
    <w:basedOn w:val="DefaultParagraphFont"/>
    <w:uiPriority w:val="99"/>
    <w:semiHidden/>
    <w:unhideWhenUsed/>
    <w:rsid w:val="001105A9"/>
  </w:style>
  <w:style w:type="paragraph" w:styleId="Title">
    <w:name w:val="Title"/>
    <w:basedOn w:val="Normal"/>
    <w:next w:val="Normal"/>
    <w:link w:val="TitleChar"/>
    <w:uiPriority w:val="10"/>
    <w:qFormat/>
    <w:rsid w:val="001105A9"/>
    <w:pPr>
      <w:pBdr>
        <w:bottom w:val="single" w:sz="8" w:space="4" w:color="4F81BD" w:themeColor="accent1"/>
      </w:pBdr>
      <w:spacing w:after="300"/>
    </w:pPr>
    <w:rPr>
      <w:rFonts w:ascii="Century Gothic" w:eastAsiaTheme="majorEastAsia" w:hAnsi="Century Gothic"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1105A9"/>
    <w:rPr>
      <w:rFonts w:ascii="Century Gothic" w:eastAsiaTheme="majorEastAsia" w:hAnsi="Century Gothic" w:cstheme="majorBidi"/>
      <w:color w:val="17365D" w:themeColor="text2" w:themeShade="BF"/>
      <w:spacing w:val="5"/>
      <w:kern w:val="28"/>
      <w:sz w:val="28"/>
      <w:szCs w:val="52"/>
    </w:rPr>
  </w:style>
  <w:style w:type="character" w:customStyle="1" w:styleId="Heading1Char">
    <w:name w:val="Heading 1 Char"/>
    <w:basedOn w:val="DefaultParagraphFont"/>
    <w:link w:val="Heading1"/>
    <w:uiPriority w:val="9"/>
    <w:rsid w:val="001105A9"/>
    <w:rPr>
      <w:rFonts w:asciiTheme="majorHAnsi" w:eastAsiaTheme="majorEastAsia" w:hAnsiTheme="majorHAnsi" w:cstheme="majorBidi"/>
      <w:b/>
      <w:bCs/>
      <w:color w:val="345A8A" w:themeColor="accent1" w:themeShade="B5"/>
      <w:sz w:val="22"/>
      <w:szCs w:val="32"/>
    </w:rPr>
  </w:style>
  <w:style w:type="table" w:styleId="ColorfulGrid-Accent1">
    <w:name w:val="Colorful Grid Accent 1"/>
    <w:basedOn w:val="TableNormal"/>
    <w:uiPriority w:val="73"/>
    <w:rsid w:val="006B55BB"/>
    <w:pPr>
      <w:spacing w:after="0"/>
    </w:pPr>
    <w:rPr>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alloonText">
    <w:name w:val="Balloon Text"/>
    <w:basedOn w:val="Normal"/>
    <w:link w:val="BalloonTextChar"/>
    <w:uiPriority w:val="99"/>
    <w:semiHidden/>
    <w:unhideWhenUsed/>
    <w:rsid w:val="006B55B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55BB"/>
    <w:rPr>
      <w:rFonts w:ascii="Lucida Grande" w:hAnsi="Lucida Grande" w:cs="Lucida Grande"/>
      <w:sz w:val="18"/>
      <w:szCs w:val="18"/>
    </w:rPr>
  </w:style>
  <w:style w:type="character" w:customStyle="1" w:styleId="Heading2Char">
    <w:name w:val="Heading 2 Char"/>
    <w:basedOn w:val="DefaultParagraphFont"/>
    <w:link w:val="Heading2"/>
    <w:uiPriority w:val="9"/>
    <w:rsid w:val="006B55BB"/>
    <w:rPr>
      <w:rFonts w:asciiTheme="majorHAnsi" w:eastAsiaTheme="majorEastAsia" w:hAnsiTheme="majorHAnsi" w:cstheme="majorBidi"/>
      <w:bCs/>
      <w:i/>
      <w:color w:val="4F81BD" w:themeColor="accent1"/>
      <w:sz w:val="22"/>
      <w:szCs w:val="26"/>
    </w:rPr>
  </w:style>
  <w:style w:type="character" w:styleId="Hyperlink">
    <w:name w:val="Hyperlink"/>
    <w:basedOn w:val="DefaultParagraphFont"/>
    <w:uiPriority w:val="99"/>
    <w:unhideWhenUsed/>
    <w:rsid w:val="009C6140"/>
    <w:rPr>
      <w:color w:val="0000FF" w:themeColor="hyperlink"/>
      <w:u w:val="single"/>
    </w:rPr>
  </w:style>
  <w:style w:type="table" w:styleId="LightShading-Accent1">
    <w:name w:val="Light Shading Accent 1"/>
    <w:basedOn w:val="TableNormal"/>
    <w:uiPriority w:val="60"/>
    <w:rsid w:val="009C6140"/>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D41DAA"/>
    <w:pPr>
      <w:spacing w:line="276" w:lineRule="auto"/>
      <w:contextualSpacing w:val="0"/>
      <w:jc w:val="left"/>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D41DAA"/>
    <w:pPr>
      <w:spacing w:before="120" w:after="0"/>
      <w:jc w:val="left"/>
    </w:pPr>
    <w:rPr>
      <w:color w:val="548DD4"/>
      <w:szCs w:val="24"/>
    </w:rPr>
  </w:style>
  <w:style w:type="paragraph" w:styleId="TOC2">
    <w:name w:val="toc 2"/>
    <w:basedOn w:val="Normal"/>
    <w:next w:val="Normal"/>
    <w:autoRedefine/>
    <w:uiPriority w:val="39"/>
    <w:unhideWhenUsed/>
    <w:rsid w:val="00D41DAA"/>
    <w:pPr>
      <w:spacing w:after="0"/>
      <w:jc w:val="left"/>
    </w:pPr>
  </w:style>
  <w:style w:type="paragraph" w:styleId="TOC3">
    <w:name w:val="toc 3"/>
    <w:basedOn w:val="Normal"/>
    <w:next w:val="Normal"/>
    <w:autoRedefine/>
    <w:uiPriority w:val="39"/>
    <w:unhideWhenUsed/>
    <w:rsid w:val="00D41DAA"/>
    <w:pPr>
      <w:spacing w:after="0"/>
      <w:ind w:left="220"/>
      <w:jc w:val="left"/>
    </w:pPr>
    <w:rPr>
      <w:rFonts w:asciiTheme="minorHAnsi" w:hAnsiTheme="minorHAnsi"/>
      <w:i/>
    </w:rPr>
  </w:style>
  <w:style w:type="paragraph" w:styleId="TOC4">
    <w:name w:val="toc 4"/>
    <w:basedOn w:val="Normal"/>
    <w:next w:val="Normal"/>
    <w:autoRedefine/>
    <w:uiPriority w:val="39"/>
    <w:unhideWhenUsed/>
    <w:rsid w:val="00D41DAA"/>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unhideWhenUsed/>
    <w:rsid w:val="00D41DAA"/>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unhideWhenUsed/>
    <w:rsid w:val="00D41DAA"/>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unhideWhenUsed/>
    <w:rsid w:val="00D41DAA"/>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unhideWhenUsed/>
    <w:rsid w:val="00D41DAA"/>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unhideWhenUsed/>
    <w:rsid w:val="00D41DAA"/>
    <w:pPr>
      <w:pBdr>
        <w:between w:val="double" w:sz="6" w:space="0" w:color="auto"/>
      </w:pBdr>
      <w:spacing w:after="0"/>
      <w:ind w:left="1540"/>
      <w:jc w:val="left"/>
    </w:pPr>
    <w:rPr>
      <w:rFonts w:asciiTheme="minorHAnsi" w:hAnsiTheme="minorHAnsi"/>
      <w:sz w:val="20"/>
      <w:szCs w:val="20"/>
    </w:rPr>
  </w:style>
  <w:style w:type="paragraph" w:styleId="DocumentMap">
    <w:name w:val="Document Map"/>
    <w:basedOn w:val="Normal"/>
    <w:link w:val="DocumentMapChar"/>
    <w:uiPriority w:val="99"/>
    <w:semiHidden/>
    <w:unhideWhenUsed/>
    <w:rsid w:val="00B705C3"/>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705C3"/>
    <w:rPr>
      <w:rFonts w:ascii="Lucida Grande" w:hAnsi="Lucida Grande" w:cs="Lucida Grande"/>
    </w:rPr>
  </w:style>
  <w:style w:type="paragraph" w:styleId="Revision">
    <w:name w:val="Revision"/>
    <w:hidden/>
    <w:uiPriority w:val="99"/>
    <w:semiHidden/>
    <w:rsid w:val="0056309A"/>
    <w:pPr>
      <w:spacing w:after="0"/>
    </w:pPr>
    <w:rPr>
      <w:rFonts w:asciiTheme="majorHAnsi" w:hAnsiTheme="majorHAnsi"/>
      <w:sz w:val="22"/>
      <w:szCs w:val="22"/>
    </w:rPr>
  </w:style>
  <w:style w:type="character" w:styleId="CommentReference">
    <w:name w:val="annotation reference"/>
    <w:basedOn w:val="DefaultParagraphFont"/>
    <w:uiPriority w:val="99"/>
    <w:semiHidden/>
    <w:unhideWhenUsed/>
    <w:rsid w:val="00DD390D"/>
    <w:rPr>
      <w:sz w:val="18"/>
      <w:szCs w:val="18"/>
    </w:rPr>
  </w:style>
  <w:style w:type="paragraph" w:styleId="CommentText">
    <w:name w:val="annotation text"/>
    <w:basedOn w:val="Normal"/>
    <w:link w:val="CommentTextChar"/>
    <w:uiPriority w:val="99"/>
    <w:semiHidden/>
    <w:unhideWhenUsed/>
    <w:rsid w:val="00DD390D"/>
    <w:rPr>
      <w:sz w:val="24"/>
      <w:szCs w:val="24"/>
    </w:rPr>
  </w:style>
  <w:style w:type="character" w:customStyle="1" w:styleId="CommentTextChar">
    <w:name w:val="Comment Text Char"/>
    <w:basedOn w:val="DefaultParagraphFont"/>
    <w:link w:val="CommentText"/>
    <w:uiPriority w:val="99"/>
    <w:semiHidden/>
    <w:rsid w:val="00DD390D"/>
    <w:rPr>
      <w:rFonts w:asciiTheme="majorHAnsi" w:hAnsiTheme="majorHAnsi"/>
    </w:rPr>
  </w:style>
  <w:style w:type="paragraph" w:styleId="CommentSubject">
    <w:name w:val="annotation subject"/>
    <w:basedOn w:val="CommentText"/>
    <w:next w:val="CommentText"/>
    <w:link w:val="CommentSubjectChar"/>
    <w:uiPriority w:val="99"/>
    <w:semiHidden/>
    <w:unhideWhenUsed/>
    <w:rsid w:val="00DD390D"/>
    <w:rPr>
      <w:b/>
      <w:bCs/>
      <w:sz w:val="20"/>
      <w:szCs w:val="20"/>
    </w:rPr>
  </w:style>
  <w:style w:type="character" w:customStyle="1" w:styleId="CommentSubjectChar">
    <w:name w:val="Comment Subject Char"/>
    <w:basedOn w:val="CommentTextChar"/>
    <w:link w:val="CommentSubject"/>
    <w:uiPriority w:val="99"/>
    <w:semiHidden/>
    <w:rsid w:val="00DD390D"/>
    <w:rPr>
      <w:rFonts w:asciiTheme="majorHAnsi" w:hAnsiTheme="majorHAns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5BB"/>
    <w:pPr>
      <w:spacing w:after="80"/>
      <w:contextualSpacing/>
      <w:jc w:val="both"/>
    </w:pPr>
    <w:rPr>
      <w:rFonts w:asciiTheme="majorHAnsi" w:hAnsiTheme="majorHAnsi"/>
      <w:sz w:val="22"/>
      <w:szCs w:val="22"/>
    </w:rPr>
  </w:style>
  <w:style w:type="paragraph" w:styleId="Heading1">
    <w:name w:val="heading 1"/>
    <w:basedOn w:val="Normal"/>
    <w:next w:val="Normal"/>
    <w:link w:val="Heading1Char"/>
    <w:uiPriority w:val="9"/>
    <w:qFormat/>
    <w:rsid w:val="001105A9"/>
    <w:pPr>
      <w:keepNext/>
      <w:keepLines/>
      <w:spacing w:before="480" w:after="0"/>
      <w:outlineLvl w:val="0"/>
    </w:pPr>
    <w:rPr>
      <w:rFonts w:eastAsiaTheme="majorEastAsia" w:cstheme="majorBidi"/>
      <w:b/>
      <w:bCs/>
      <w:color w:val="345A8A" w:themeColor="accent1" w:themeShade="B5"/>
      <w:szCs w:val="32"/>
    </w:rPr>
  </w:style>
  <w:style w:type="paragraph" w:styleId="Heading2">
    <w:name w:val="heading 2"/>
    <w:basedOn w:val="Normal"/>
    <w:next w:val="Normal"/>
    <w:link w:val="Heading2Char"/>
    <w:uiPriority w:val="9"/>
    <w:unhideWhenUsed/>
    <w:qFormat/>
    <w:rsid w:val="006B55BB"/>
    <w:pPr>
      <w:keepNext/>
      <w:keepLines/>
      <w:spacing w:before="200" w:after="0"/>
      <w:outlineLvl w:val="1"/>
    </w:pPr>
    <w:rPr>
      <w:rFonts w:eastAsiaTheme="majorEastAsia" w:cstheme="majorBidi"/>
      <w:bCs/>
      <w:i/>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5B20"/>
    <w:pPr>
      <w:ind w:left="720"/>
    </w:pPr>
  </w:style>
  <w:style w:type="paragraph" w:styleId="Footer">
    <w:name w:val="footer"/>
    <w:basedOn w:val="Normal"/>
    <w:link w:val="FooterChar"/>
    <w:uiPriority w:val="99"/>
    <w:unhideWhenUsed/>
    <w:rsid w:val="001105A9"/>
    <w:pPr>
      <w:tabs>
        <w:tab w:val="center" w:pos="4320"/>
        <w:tab w:val="right" w:pos="8640"/>
      </w:tabs>
      <w:spacing w:after="0"/>
    </w:pPr>
  </w:style>
  <w:style w:type="character" w:customStyle="1" w:styleId="FooterChar">
    <w:name w:val="Footer Char"/>
    <w:basedOn w:val="DefaultParagraphFont"/>
    <w:link w:val="Footer"/>
    <w:uiPriority w:val="99"/>
    <w:rsid w:val="001105A9"/>
  </w:style>
  <w:style w:type="character" w:styleId="PageNumber">
    <w:name w:val="page number"/>
    <w:basedOn w:val="DefaultParagraphFont"/>
    <w:uiPriority w:val="99"/>
    <w:semiHidden/>
    <w:unhideWhenUsed/>
    <w:rsid w:val="001105A9"/>
  </w:style>
  <w:style w:type="paragraph" w:styleId="Title">
    <w:name w:val="Title"/>
    <w:basedOn w:val="Normal"/>
    <w:next w:val="Normal"/>
    <w:link w:val="TitleChar"/>
    <w:uiPriority w:val="10"/>
    <w:qFormat/>
    <w:rsid w:val="001105A9"/>
    <w:pPr>
      <w:pBdr>
        <w:bottom w:val="single" w:sz="8" w:space="4" w:color="4F81BD" w:themeColor="accent1"/>
      </w:pBdr>
      <w:spacing w:after="300"/>
    </w:pPr>
    <w:rPr>
      <w:rFonts w:ascii="Century Gothic" w:eastAsiaTheme="majorEastAsia" w:hAnsi="Century Gothic"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1105A9"/>
    <w:rPr>
      <w:rFonts w:ascii="Century Gothic" w:eastAsiaTheme="majorEastAsia" w:hAnsi="Century Gothic" w:cstheme="majorBidi"/>
      <w:color w:val="17365D" w:themeColor="text2" w:themeShade="BF"/>
      <w:spacing w:val="5"/>
      <w:kern w:val="28"/>
      <w:sz w:val="28"/>
      <w:szCs w:val="52"/>
    </w:rPr>
  </w:style>
  <w:style w:type="character" w:customStyle="1" w:styleId="Heading1Char">
    <w:name w:val="Heading 1 Char"/>
    <w:basedOn w:val="DefaultParagraphFont"/>
    <w:link w:val="Heading1"/>
    <w:uiPriority w:val="9"/>
    <w:rsid w:val="001105A9"/>
    <w:rPr>
      <w:rFonts w:asciiTheme="majorHAnsi" w:eastAsiaTheme="majorEastAsia" w:hAnsiTheme="majorHAnsi" w:cstheme="majorBidi"/>
      <w:b/>
      <w:bCs/>
      <w:color w:val="345A8A" w:themeColor="accent1" w:themeShade="B5"/>
      <w:sz w:val="22"/>
      <w:szCs w:val="32"/>
    </w:rPr>
  </w:style>
  <w:style w:type="table" w:styleId="ColorfulGrid-Accent1">
    <w:name w:val="Colorful Grid Accent 1"/>
    <w:basedOn w:val="TableNormal"/>
    <w:uiPriority w:val="73"/>
    <w:rsid w:val="006B55BB"/>
    <w:pPr>
      <w:spacing w:after="0"/>
    </w:pPr>
    <w:rPr>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alloonText">
    <w:name w:val="Balloon Text"/>
    <w:basedOn w:val="Normal"/>
    <w:link w:val="BalloonTextChar"/>
    <w:uiPriority w:val="99"/>
    <w:semiHidden/>
    <w:unhideWhenUsed/>
    <w:rsid w:val="006B55B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55BB"/>
    <w:rPr>
      <w:rFonts w:ascii="Lucida Grande" w:hAnsi="Lucida Grande" w:cs="Lucida Grande"/>
      <w:sz w:val="18"/>
      <w:szCs w:val="18"/>
    </w:rPr>
  </w:style>
  <w:style w:type="character" w:customStyle="1" w:styleId="Heading2Char">
    <w:name w:val="Heading 2 Char"/>
    <w:basedOn w:val="DefaultParagraphFont"/>
    <w:link w:val="Heading2"/>
    <w:uiPriority w:val="9"/>
    <w:rsid w:val="006B55BB"/>
    <w:rPr>
      <w:rFonts w:asciiTheme="majorHAnsi" w:eastAsiaTheme="majorEastAsia" w:hAnsiTheme="majorHAnsi" w:cstheme="majorBidi"/>
      <w:bCs/>
      <w:i/>
      <w:color w:val="4F81BD" w:themeColor="accent1"/>
      <w:sz w:val="22"/>
      <w:szCs w:val="26"/>
    </w:rPr>
  </w:style>
  <w:style w:type="character" w:styleId="Hyperlink">
    <w:name w:val="Hyperlink"/>
    <w:basedOn w:val="DefaultParagraphFont"/>
    <w:uiPriority w:val="99"/>
    <w:unhideWhenUsed/>
    <w:rsid w:val="009C6140"/>
    <w:rPr>
      <w:color w:val="0000FF" w:themeColor="hyperlink"/>
      <w:u w:val="single"/>
    </w:rPr>
  </w:style>
  <w:style w:type="table" w:styleId="LightShading-Accent1">
    <w:name w:val="Light Shading Accent 1"/>
    <w:basedOn w:val="TableNormal"/>
    <w:uiPriority w:val="60"/>
    <w:rsid w:val="009C6140"/>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D41DAA"/>
    <w:pPr>
      <w:spacing w:line="276" w:lineRule="auto"/>
      <w:contextualSpacing w:val="0"/>
      <w:jc w:val="left"/>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D41DAA"/>
    <w:pPr>
      <w:spacing w:before="120" w:after="0"/>
      <w:jc w:val="left"/>
    </w:pPr>
    <w:rPr>
      <w:color w:val="548DD4"/>
      <w:szCs w:val="24"/>
    </w:rPr>
  </w:style>
  <w:style w:type="paragraph" w:styleId="TOC2">
    <w:name w:val="toc 2"/>
    <w:basedOn w:val="Normal"/>
    <w:next w:val="Normal"/>
    <w:autoRedefine/>
    <w:uiPriority w:val="39"/>
    <w:unhideWhenUsed/>
    <w:rsid w:val="00D41DAA"/>
    <w:pPr>
      <w:spacing w:after="0"/>
      <w:jc w:val="left"/>
    </w:pPr>
  </w:style>
  <w:style w:type="paragraph" w:styleId="TOC3">
    <w:name w:val="toc 3"/>
    <w:basedOn w:val="Normal"/>
    <w:next w:val="Normal"/>
    <w:autoRedefine/>
    <w:uiPriority w:val="39"/>
    <w:unhideWhenUsed/>
    <w:rsid w:val="00D41DAA"/>
    <w:pPr>
      <w:spacing w:after="0"/>
      <w:ind w:left="220"/>
      <w:jc w:val="left"/>
    </w:pPr>
    <w:rPr>
      <w:rFonts w:asciiTheme="minorHAnsi" w:hAnsiTheme="minorHAnsi"/>
      <w:i/>
    </w:rPr>
  </w:style>
  <w:style w:type="paragraph" w:styleId="TOC4">
    <w:name w:val="toc 4"/>
    <w:basedOn w:val="Normal"/>
    <w:next w:val="Normal"/>
    <w:autoRedefine/>
    <w:uiPriority w:val="39"/>
    <w:unhideWhenUsed/>
    <w:rsid w:val="00D41DAA"/>
    <w:pPr>
      <w:pBdr>
        <w:between w:val="double" w:sz="6" w:space="0" w:color="auto"/>
      </w:pBdr>
      <w:spacing w:after="0"/>
      <w:ind w:left="440"/>
      <w:jc w:val="left"/>
    </w:pPr>
    <w:rPr>
      <w:rFonts w:asciiTheme="minorHAnsi" w:hAnsiTheme="minorHAnsi"/>
      <w:sz w:val="20"/>
      <w:szCs w:val="20"/>
    </w:rPr>
  </w:style>
  <w:style w:type="paragraph" w:styleId="TOC5">
    <w:name w:val="toc 5"/>
    <w:basedOn w:val="Normal"/>
    <w:next w:val="Normal"/>
    <w:autoRedefine/>
    <w:uiPriority w:val="39"/>
    <w:unhideWhenUsed/>
    <w:rsid w:val="00D41DAA"/>
    <w:pPr>
      <w:pBdr>
        <w:between w:val="double" w:sz="6" w:space="0" w:color="auto"/>
      </w:pBdr>
      <w:spacing w:after="0"/>
      <w:ind w:left="660"/>
      <w:jc w:val="left"/>
    </w:pPr>
    <w:rPr>
      <w:rFonts w:asciiTheme="minorHAnsi" w:hAnsiTheme="minorHAnsi"/>
      <w:sz w:val="20"/>
      <w:szCs w:val="20"/>
    </w:rPr>
  </w:style>
  <w:style w:type="paragraph" w:styleId="TOC6">
    <w:name w:val="toc 6"/>
    <w:basedOn w:val="Normal"/>
    <w:next w:val="Normal"/>
    <w:autoRedefine/>
    <w:uiPriority w:val="39"/>
    <w:unhideWhenUsed/>
    <w:rsid w:val="00D41DAA"/>
    <w:pPr>
      <w:pBdr>
        <w:between w:val="double" w:sz="6" w:space="0" w:color="auto"/>
      </w:pBdr>
      <w:spacing w:after="0"/>
      <w:ind w:left="880"/>
      <w:jc w:val="left"/>
    </w:pPr>
    <w:rPr>
      <w:rFonts w:asciiTheme="minorHAnsi" w:hAnsiTheme="minorHAnsi"/>
      <w:sz w:val="20"/>
      <w:szCs w:val="20"/>
    </w:rPr>
  </w:style>
  <w:style w:type="paragraph" w:styleId="TOC7">
    <w:name w:val="toc 7"/>
    <w:basedOn w:val="Normal"/>
    <w:next w:val="Normal"/>
    <w:autoRedefine/>
    <w:uiPriority w:val="39"/>
    <w:unhideWhenUsed/>
    <w:rsid w:val="00D41DAA"/>
    <w:pPr>
      <w:pBdr>
        <w:between w:val="double" w:sz="6" w:space="0" w:color="auto"/>
      </w:pBdr>
      <w:spacing w:after="0"/>
      <w:ind w:left="1100"/>
      <w:jc w:val="left"/>
    </w:pPr>
    <w:rPr>
      <w:rFonts w:asciiTheme="minorHAnsi" w:hAnsiTheme="minorHAnsi"/>
      <w:sz w:val="20"/>
      <w:szCs w:val="20"/>
    </w:rPr>
  </w:style>
  <w:style w:type="paragraph" w:styleId="TOC8">
    <w:name w:val="toc 8"/>
    <w:basedOn w:val="Normal"/>
    <w:next w:val="Normal"/>
    <w:autoRedefine/>
    <w:uiPriority w:val="39"/>
    <w:unhideWhenUsed/>
    <w:rsid w:val="00D41DAA"/>
    <w:pPr>
      <w:pBdr>
        <w:between w:val="double" w:sz="6" w:space="0" w:color="auto"/>
      </w:pBdr>
      <w:spacing w:after="0"/>
      <w:ind w:left="1320"/>
      <w:jc w:val="left"/>
    </w:pPr>
    <w:rPr>
      <w:rFonts w:asciiTheme="minorHAnsi" w:hAnsiTheme="minorHAnsi"/>
      <w:sz w:val="20"/>
      <w:szCs w:val="20"/>
    </w:rPr>
  </w:style>
  <w:style w:type="paragraph" w:styleId="TOC9">
    <w:name w:val="toc 9"/>
    <w:basedOn w:val="Normal"/>
    <w:next w:val="Normal"/>
    <w:autoRedefine/>
    <w:uiPriority w:val="39"/>
    <w:unhideWhenUsed/>
    <w:rsid w:val="00D41DAA"/>
    <w:pPr>
      <w:pBdr>
        <w:between w:val="double" w:sz="6" w:space="0" w:color="auto"/>
      </w:pBdr>
      <w:spacing w:after="0"/>
      <w:ind w:left="1540"/>
      <w:jc w:val="left"/>
    </w:pPr>
    <w:rPr>
      <w:rFonts w:asciiTheme="minorHAnsi" w:hAnsiTheme="minorHAnsi"/>
      <w:sz w:val="20"/>
      <w:szCs w:val="20"/>
    </w:rPr>
  </w:style>
  <w:style w:type="paragraph" w:styleId="DocumentMap">
    <w:name w:val="Document Map"/>
    <w:basedOn w:val="Normal"/>
    <w:link w:val="DocumentMapChar"/>
    <w:uiPriority w:val="99"/>
    <w:semiHidden/>
    <w:unhideWhenUsed/>
    <w:rsid w:val="00B705C3"/>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705C3"/>
    <w:rPr>
      <w:rFonts w:ascii="Lucida Grande" w:hAnsi="Lucida Grande" w:cs="Lucida Grande"/>
    </w:rPr>
  </w:style>
  <w:style w:type="paragraph" w:styleId="Revision">
    <w:name w:val="Revision"/>
    <w:hidden/>
    <w:uiPriority w:val="99"/>
    <w:semiHidden/>
    <w:rsid w:val="0056309A"/>
    <w:pPr>
      <w:spacing w:after="0"/>
    </w:pPr>
    <w:rPr>
      <w:rFonts w:asciiTheme="majorHAnsi" w:hAnsiTheme="majorHAnsi"/>
      <w:sz w:val="22"/>
      <w:szCs w:val="22"/>
    </w:rPr>
  </w:style>
  <w:style w:type="character" w:styleId="CommentReference">
    <w:name w:val="annotation reference"/>
    <w:basedOn w:val="DefaultParagraphFont"/>
    <w:uiPriority w:val="99"/>
    <w:semiHidden/>
    <w:unhideWhenUsed/>
    <w:rsid w:val="00DD390D"/>
    <w:rPr>
      <w:sz w:val="18"/>
      <w:szCs w:val="18"/>
    </w:rPr>
  </w:style>
  <w:style w:type="paragraph" w:styleId="CommentText">
    <w:name w:val="annotation text"/>
    <w:basedOn w:val="Normal"/>
    <w:link w:val="CommentTextChar"/>
    <w:uiPriority w:val="99"/>
    <w:semiHidden/>
    <w:unhideWhenUsed/>
    <w:rsid w:val="00DD390D"/>
    <w:rPr>
      <w:sz w:val="24"/>
      <w:szCs w:val="24"/>
    </w:rPr>
  </w:style>
  <w:style w:type="character" w:customStyle="1" w:styleId="CommentTextChar">
    <w:name w:val="Comment Text Char"/>
    <w:basedOn w:val="DefaultParagraphFont"/>
    <w:link w:val="CommentText"/>
    <w:uiPriority w:val="99"/>
    <w:semiHidden/>
    <w:rsid w:val="00DD390D"/>
    <w:rPr>
      <w:rFonts w:asciiTheme="majorHAnsi" w:hAnsiTheme="majorHAnsi"/>
    </w:rPr>
  </w:style>
  <w:style w:type="paragraph" w:styleId="CommentSubject">
    <w:name w:val="annotation subject"/>
    <w:basedOn w:val="CommentText"/>
    <w:next w:val="CommentText"/>
    <w:link w:val="CommentSubjectChar"/>
    <w:uiPriority w:val="99"/>
    <w:semiHidden/>
    <w:unhideWhenUsed/>
    <w:rsid w:val="00DD390D"/>
    <w:rPr>
      <w:b/>
      <w:bCs/>
      <w:sz w:val="20"/>
      <w:szCs w:val="20"/>
    </w:rPr>
  </w:style>
  <w:style w:type="character" w:customStyle="1" w:styleId="CommentSubjectChar">
    <w:name w:val="Comment Subject Char"/>
    <w:basedOn w:val="CommentTextChar"/>
    <w:link w:val="CommentSubject"/>
    <w:uiPriority w:val="99"/>
    <w:semiHidden/>
    <w:rsid w:val="00DD390D"/>
    <w:rPr>
      <w:rFonts w:asciiTheme="majorHAnsi" w:hAnsi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emf"/><Relationship Id="rId25" Type="http://schemas.openxmlformats.org/officeDocument/2006/relationships/image" Target="media/image16.jpg"/><Relationship Id="rId26" Type="http://schemas.openxmlformats.org/officeDocument/2006/relationships/chart" Target="charts/chart2.xml"/><Relationship Id="rId27" Type="http://schemas.openxmlformats.org/officeDocument/2006/relationships/chart" Target="charts/chart3.xml"/><Relationship Id="rId28" Type="http://schemas.openxmlformats.org/officeDocument/2006/relationships/chart" Target="charts/chart4.xml"/><Relationship Id="rId2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6.xml"/><Relationship Id="rId31" Type="http://schemas.openxmlformats.org/officeDocument/2006/relationships/image" Target="media/image17.png"/><Relationship Id="rId32" Type="http://schemas.openxmlformats.org/officeDocument/2006/relationships/chart" Target="charts/chart7.xml"/><Relationship Id="rId9" Type="http://schemas.openxmlformats.org/officeDocument/2006/relationships/chart" Target="charts/chart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png"/><Relationship Id="rId34" Type="http://schemas.openxmlformats.org/officeDocument/2006/relationships/chart" Target="charts/chart8.xml"/><Relationship Id="rId35" Type="http://schemas.openxmlformats.org/officeDocument/2006/relationships/hyperlink" Target="http://statline.cbs.nl/StatWeb/selection/?DM=SLNL&amp;PA=71883NED&amp;VW=T" TargetMode="External"/><Relationship Id="rId36" Type="http://schemas.openxmlformats.org/officeDocument/2006/relationships/hyperlink" Target="http://statline.cbs.nl/StatWeb/selection/?DM=SLNL&amp;PA=70634NED&amp;VW=T" TargetMode="Externa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image" Target="media/image7.jpg"/><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image" Target="media/image10.jp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vergeetmijooknietje:Dropbox:Studie:Thesisrest:grafieken%20koster%202006.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vergeetmijooknietje:Documents:Microsoft%20User%20Data:Office%202011%20AutoRecovery:zelfde%20locatie%20en%20zelfde%20sector%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stefankruunenberg:Dropbox:Studie:Thesisrest:laatste%20tabelfix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vergeetmijooknietje:Documents:Microsoft%20User%20Data:Office%202011%20AutoRecovery:zelfde%20locatie%20en%20zelfde%20sector%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Sheet1!$B$2</c:f>
              <c:strCache>
                <c:ptCount val="1"/>
                <c:pt idx="0">
                  <c:v>Ervaring in sector</c:v>
                </c:pt>
              </c:strCache>
            </c:strRef>
          </c:tx>
          <c:invertIfNegative val="0"/>
          <c:cat>
            <c:strRef>
              <c:f>Sheet1!$A$3:$A$11</c:f>
              <c:strCache>
                <c:ptCount val="9"/>
                <c:pt idx="0">
                  <c:v>Sector</c:v>
                </c:pt>
                <c:pt idx="1">
                  <c:v>Product</c:v>
                </c:pt>
                <c:pt idx="2">
                  <c:v>Klanten</c:v>
                </c:pt>
                <c:pt idx="3">
                  <c:v>Leveranciers</c:v>
                </c:pt>
                <c:pt idx="4">
                  <c:v>Productieproces</c:v>
                </c:pt>
                <c:pt idx="5">
                  <c:v>Netwerk</c:v>
                </c:pt>
                <c:pt idx="6">
                  <c:v>Ondernemingsvaardigheid</c:v>
                </c:pt>
                <c:pt idx="7">
                  <c:v>Management vaardigheden</c:v>
                </c:pt>
                <c:pt idx="8">
                  <c:v>Nieuwe markten ontdekken</c:v>
                </c:pt>
              </c:strCache>
            </c:strRef>
          </c:cat>
          <c:val>
            <c:numRef>
              <c:f>Sheet1!$B$3:$B$11</c:f>
              <c:numCache>
                <c:formatCode>General</c:formatCode>
                <c:ptCount val="9"/>
                <c:pt idx="0">
                  <c:v>79.0</c:v>
                </c:pt>
                <c:pt idx="1">
                  <c:v>73.0</c:v>
                </c:pt>
                <c:pt idx="2">
                  <c:v>60.0</c:v>
                </c:pt>
                <c:pt idx="3">
                  <c:v>46.0</c:v>
                </c:pt>
                <c:pt idx="4">
                  <c:v>45.0</c:v>
                </c:pt>
                <c:pt idx="5">
                  <c:v>42.0</c:v>
                </c:pt>
                <c:pt idx="6">
                  <c:v>38.0</c:v>
                </c:pt>
                <c:pt idx="7">
                  <c:v>32.0</c:v>
                </c:pt>
                <c:pt idx="8">
                  <c:v>29.0</c:v>
                </c:pt>
              </c:numCache>
            </c:numRef>
          </c:val>
        </c:ser>
        <c:ser>
          <c:idx val="1"/>
          <c:order val="1"/>
          <c:tx>
            <c:strRef>
              <c:f>Sheet1!$C$2</c:f>
              <c:strCache>
                <c:ptCount val="1"/>
                <c:pt idx="0">
                  <c:v>Geen ervaring in sector</c:v>
                </c:pt>
              </c:strCache>
            </c:strRef>
          </c:tx>
          <c:invertIfNegative val="0"/>
          <c:cat>
            <c:strRef>
              <c:f>Sheet1!$A$3:$A$11</c:f>
              <c:strCache>
                <c:ptCount val="9"/>
                <c:pt idx="0">
                  <c:v>Sector</c:v>
                </c:pt>
                <c:pt idx="1">
                  <c:v>Product</c:v>
                </c:pt>
                <c:pt idx="2">
                  <c:v>Klanten</c:v>
                </c:pt>
                <c:pt idx="3">
                  <c:v>Leveranciers</c:v>
                </c:pt>
                <c:pt idx="4">
                  <c:v>Productieproces</c:v>
                </c:pt>
                <c:pt idx="5">
                  <c:v>Netwerk</c:v>
                </c:pt>
                <c:pt idx="6">
                  <c:v>Ondernemingsvaardigheid</c:v>
                </c:pt>
                <c:pt idx="7">
                  <c:v>Management vaardigheden</c:v>
                </c:pt>
                <c:pt idx="8">
                  <c:v>Nieuwe markten ontdekken</c:v>
                </c:pt>
              </c:strCache>
            </c:strRef>
          </c:cat>
          <c:val>
            <c:numRef>
              <c:f>Sheet1!$C$3:$C$11</c:f>
              <c:numCache>
                <c:formatCode>General</c:formatCode>
                <c:ptCount val="9"/>
                <c:pt idx="0">
                  <c:v>31.0</c:v>
                </c:pt>
                <c:pt idx="1">
                  <c:v>21.0</c:v>
                </c:pt>
                <c:pt idx="2">
                  <c:v>33.0</c:v>
                </c:pt>
                <c:pt idx="3">
                  <c:v>12.0</c:v>
                </c:pt>
                <c:pt idx="4">
                  <c:v>11.0</c:v>
                </c:pt>
                <c:pt idx="5">
                  <c:v>29.0</c:v>
                </c:pt>
                <c:pt idx="6">
                  <c:v>57.0</c:v>
                </c:pt>
                <c:pt idx="7">
                  <c:v>55.0</c:v>
                </c:pt>
                <c:pt idx="8">
                  <c:v>22.0</c:v>
                </c:pt>
              </c:numCache>
            </c:numRef>
          </c:val>
        </c:ser>
        <c:dLbls>
          <c:showLegendKey val="0"/>
          <c:showVal val="0"/>
          <c:showCatName val="0"/>
          <c:showSerName val="0"/>
          <c:showPercent val="0"/>
          <c:showBubbleSize val="0"/>
        </c:dLbls>
        <c:gapWidth val="150"/>
        <c:axId val="2128791512"/>
        <c:axId val="2130627912"/>
      </c:barChart>
      <c:catAx>
        <c:axId val="2128791512"/>
        <c:scaling>
          <c:orientation val="minMax"/>
        </c:scaling>
        <c:delete val="0"/>
        <c:axPos val="b"/>
        <c:title>
          <c:tx>
            <c:rich>
              <a:bodyPr/>
              <a:lstStyle/>
              <a:p>
                <a:pPr>
                  <a:defRPr/>
                </a:pPr>
                <a:r>
                  <a:rPr lang="en-US"/>
                  <a:t>Kennis</a:t>
                </a:r>
              </a:p>
            </c:rich>
          </c:tx>
          <c:layout>
            <c:manualLayout>
              <c:xMode val="edge"/>
              <c:yMode val="edge"/>
              <c:x val="0.0914606591461327"/>
              <c:y val="0.893653516295026"/>
            </c:manualLayout>
          </c:layout>
          <c:overlay val="0"/>
        </c:title>
        <c:majorTickMark val="out"/>
        <c:minorTickMark val="none"/>
        <c:tickLblPos val="nextTo"/>
        <c:crossAx val="2130627912"/>
        <c:crosses val="autoZero"/>
        <c:auto val="1"/>
        <c:lblAlgn val="ctr"/>
        <c:lblOffset val="100"/>
        <c:noMultiLvlLbl val="0"/>
      </c:catAx>
      <c:valAx>
        <c:axId val="2130627912"/>
        <c:scaling>
          <c:orientation val="minMax"/>
        </c:scaling>
        <c:delete val="0"/>
        <c:axPos val="l"/>
        <c:majorGridlines/>
        <c:title>
          <c:tx>
            <c:rich>
              <a:bodyPr rot="-5400000" vert="horz"/>
              <a:lstStyle/>
              <a:p>
                <a:pPr>
                  <a:defRPr/>
                </a:pPr>
                <a:r>
                  <a:rPr lang="en-US"/>
                  <a:t>Percentage resondenten</a:t>
                </a:r>
              </a:p>
            </c:rich>
          </c:tx>
          <c:overlay val="0"/>
        </c:title>
        <c:numFmt formatCode="General" sourceLinked="1"/>
        <c:majorTickMark val="out"/>
        <c:minorTickMark val="none"/>
        <c:tickLblPos val="nextTo"/>
        <c:crossAx val="2128791512"/>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Start-ups en Spin-offs</c:v>
                </c:pt>
              </c:strCache>
            </c:strRef>
          </c:tx>
          <c:dLbls>
            <c:txPr>
              <a:bodyPr/>
              <a:lstStyle/>
              <a:p>
                <a:pPr>
                  <a:defRPr>
                    <a:solidFill>
                      <a:schemeClr val="bg1"/>
                    </a:solidFill>
                  </a:defRPr>
                </a:pPr>
                <a:endParaRPr lang="en-US"/>
              </a:p>
            </c:txPr>
            <c:showLegendKey val="0"/>
            <c:showVal val="1"/>
            <c:showCatName val="1"/>
            <c:showSerName val="0"/>
            <c:showPercent val="0"/>
            <c:showBubbleSize val="0"/>
            <c:showLeaderLines val="1"/>
          </c:dLbls>
          <c:cat>
            <c:strRef>
              <c:f>Sheet1!$A$2:$A$3</c:f>
              <c:strCache>
                <c:ptCount val="2"/>
                <c:pt idx="0">
                  <c:v>Start-up</c:v>
                </c:pt>
                <c:pt idx="1">
                  <c:v>Spin-off</c:v>
                </c:pt>
              </c:strCache>
            </c:strRef>
          </c:cat>
          <c:val>
            <c:numRef>
              <c:f>Sheet1!$B$2:$B$3</c:f>
              <c:numCache>
                <c:formatCode>General</c:formatCode>
                <c:ptCount val="2"/>
                <c:pt idx="0">
                  <c:v>14.0</c:v>
                </c:pt>
                <c:pt idx="1">
                  <c:v>25.0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txPr>
    <a:bodyPr/>
    <a:lstStyle/>
    <a:p>
      <a:pPr>
        <a:defRPr>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100">
                <a:latin typeface="Century Gothic"/>
                <a:cs typeface="Century Gothic"/>
              </a:rPr>
              <a:t>Woerden</a:t>
            </a:r>
          </a:p>
        </c:rich>
      </c:tx>
      <c:overlay val="1"/>
    </c:title>
    <c:autoTitleDeleted val="0"/>
    <c:plotArea>
      <c:layout/>
      <c:pieChart>
        <c:varyColors val="1"/>
        <c:ser>
          <c:idx val="0"/>
          <c:order val="0"/>
          <c:tx>
            <c:strRef>
              <c:f>Sheet1!$B$1</c:f>
              <c:strCache>
                <c:ptCount val="1"/>
                <c:pt idx="0">
                  <c:v>Woerden</c:v>
                </c:pt>
              </c:strCache>
            </c:strRef>
          </c:tx>
          <c:dLbls>
            <c:txPr>
              <a:bodyPr/>
              <a:lstStyle/>
              <a:p>
                <a:pPr>
                  <a:defRPr>
                    <a:latin typeface="+mj-lt"/>
                  </a:defRPr>
                </a:pPr>
                <a:endParaRPr lang="en-US"/>
              </a:p>
            </c:txPr>
            <c:showLegendKey val="0"/>
            <c:showVal val="1"/>
            <c:showCatName val="1"/>
            <c:showSerName val="0"/>
            <c:showPercent val="0"/>
            <c:showBubbleSize val="0"/>
            <c:showLeaderLines val="1"/>
          </c:dLbls>
          <c:cat>
            <c:strRef>
              <c:f>Sheet1!$A$2:$A$3</c:f>
              <c:strCache>
                <c:ptCount val="2"/>
                <c:pt idx="0">
                  <c:v>Start-up</c:v>
                </c:pt>
                <c:pt idx="1">
                  <c:v>Spin-off</c:v>
                </c:pt>
              </c:strCache>
            </c:strRef>
          </c:cat>
          <c:val>
            <c:numRef>
              <c:f>Sheet1!$B$2:$B$3</c:f>
              <c:numCache>
                <c:formatCode>General</c:formatCode>
                <c:ptCount val="2"/>
                <c:pt idx="0">
                  <c:v>8.0</c:v>
                </c:pt>
                <c:pt idx="1">
                  <c:v>15.0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1"/>
      <c:txPr>
        <a:bodyPr/>
        <a:lstStyle/>
        <a:p>
          <a:pPr>
            <a:defRPr sz="1100">
              <a:latin typeface="Century Gothic"/>
              <a:cs typeface="Century Gothic"/>
            </a:defRPr>
          </a:pPr>
          <a:endParaRPr lang="en-US"/>
        </a:p>
      </c:txPr>
    </c:title>
    <c:autoTitleDeleted val="0"/>
    <c:plotArea>
      <c:layout/>
      <c:pieChart>
        <c:varyColors val="1"/>
        <c:ser>
          <c:idx val="0"/>
          <c:order val="0"/>
          <c:tx>
            <c:strRef>
              <c:f>Sheet1!$B$1</c:f>
              <c:strCache>
                <c:ptCount val="1"/>
                <c:pt idx="0">
                  <c:v>Veenendaal</c:v>
                </c:pt>
              </c:strCache>
            </c:strRef>
          </c:tx>
          <c:dLbls>
            <c:txPr>
              <a:bodyPr/>
              <a:lstStyle/>
              <a:p>
                <a:pPr>
                  <a:defRPr>
                    <a:latin typeface="+mj-lt"/>
                  </a:defRPr>
                </a:pPr>
                <a:endParaRPr lang="en-US"/>
              </a:p>
            </c:txPr>
            <c:showLegendKey val="0"/>
            <c:showVal val="1"/>
            <c:showCatName val="1"/>
            <c:showSerName val="0"/>
            <c:showPercent val="0"/>
            <c:showBubbleSize val="0"/>
            <c:showLeaderLines val="1"/>
          </c:dLbls>
          <c:cat>
            <c:strRef>
              <c:f>Sheet1!$A$2:$A$3</c:f>
              <c:strCache>
                <c:ptCount val="2"/>
                <c:pt idx="0">
                  <c:v>Start-up</c:v>
                </c:pt>
                <c:pt idx="1">
                  <c:v>Spin-off</c:v>
                </c:pt>
              </c:strCache>
            </c:strRef>
          </c:cat>
          <c:val>
            <c:numRef>
              <c:f>Sheet1!$B$2:$B$3</c:f>
              <c:numCache>
                <c:formatCode>General</c:formatCode>
                <c:ptCount val="2"/>
                <c:pt idx="0">
                  <c:v>6.0</c:v>
                </c:pt>
                <c:pt idx="1">
                  <c:v>10.0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'jaar van oprichting'!$A$3</c:f>
              <c:strCache>
                <c:ptCount val="1"/>
                <c:pt idx="0">
                  <c:v>spin-off</c:v>
                </c:pt>
              </c:strCache>
            </c:strRef>
          </c:tx>
          <c:invertIfNegative val="0"/>
          <c:dLbls>
            <c:txPr>
              <a:bodyPr/>
              <a:lstStyle/>
              <a:p>
                <a:pPr>
                  <a:defRPr>
                    <a:solidFill>
                      <a:srgbClr val="FFFFFF"/>
                    </a:solidFill>
                  </a:defRPr>
                </a:pPr>
                <a:endParaRPr lang="en-US"/>
              </a:p>
            </c:txPr>
            <c:dLblPos val="inEnd"/>
            <c:showLegendKey val="0"/>
            <c:showVal val="1"/>
            <c:showCatName val="0"/>
            <c:showSerName val="0"/>
            <c:showPercent val="0"/>
            <c:showBubbleSize val="0"/>
            <c:showLeaderLines val="0"/>
          </c:dLbls>
          <c:cat>
            <c:numRef>
              <c:f>'jaar van oprichting'!$B$2:$G$2</c:f>
              <c:numCache>
                <c:formatCode>General</c:formatCode>
                <c:ptCount val="6"/>
                <c:pt idx="0">
                  <c:v>1998.0</c:v>
                </c:pt>
                <c:pt idx="1">
                  <c:v>1999.0</c:v>
                </c:pt>
                <c:pt idx="2">
                  <c:v>2001.0</c:v>
                </c:pt>
                <c:pt idx="3">
                  <c:v>2001.0</c:v>
                </c:pt>
                <c:pt idx="4">
                  <c:v>2002.0</c:v>
                </c:pt>
                <c:pt idx="5">
                  <c:v>2003.0</c:v>
                </c:pt>
              </c:numCache>
            </c:numRef>
          </c:cat>
          <c:val>
            <c:numRef>
              <c:f>'jaar van oprichting'!$B$3:$G$3</c:f>
              <c:numCache>
                <c:formatCode>General</c:formatCode>
                <c:ptCount val="6"/>
                <c:pt idx="0">
                  <c:v>3.0</c:v>
                </c:pt>
                <c:pt idx="1">
                  <c:v>7.0</c:v>
                </c:pt>
                <c:pt idx="2">
                  <c:v>4.0</c:v>
                </c:pt>
                <c:pt idx="3">
                  <c:v>5.0</c:v>
                </c:pt>
                <c:pt idx="4">
                  <c:v>4.0</c:v>
                </c:pt>
                <c:pt idx="5">
                  <c:v>2.0</c:v>
                </c:pt>
              </c:numCache>
            </c:numRef>
          </c:val>
        </c:ser>
        <c:ser>
          <c:idx val="1"/>
          <c:order val="1"/>
          <c:tx>
            <c:strRef>
              <c:f>'jaar van oprichting'!$A$4</c:f>
              <c:strCache>
                <c:ptCount val="1"/>
                <c:pt idx="0">
                  <c:v>start-up</c:v>
                </c:pt>
              </c:strCache>
            </c:strRef>
          </c:tx>
          <c:invertIfNegative val="0"/>
          <c:dLbls>
            <c:dLbl>
              <c:idx val="0"/>
              <c:layout>
                <c:manualLayout>
                  <c:x val="-0.00277777777777778"/>
                  <c:y val="-0.102729294254885"/>
                </c:manualLayout>
              </c:layout>
              <c:dLblPos val="ctr"/>
              <c:showLegendKey val="0"/>
              <c:showVal val="1"/>
              <c:showCatName val="0"/>
              <c:showSerName val="0"/>
              <c:showPercent val="0"/>
              <c:showBubbleSize val="0"/>
            </c:dLbl>
            <c:dLbl>
              <c:idx val="1"/>
              <c:layout>
                <c:manualLayout>
                  <c:x val="0.00277777777777778"/>
                  <c:y val="-0.0687255759696704"/>
                </c:manualLayout>
              </c:layout>
              <c:dLblPos val="ctr"/>
              <c:showLegendKey val="0"/>
              <c:showVal val="1"/>
              <c:showCatName val="0"/>
              <c:showSerName val="0"/>
              <c:showPercent val="0"/>
              <c:showBubbleSize val="0"/>
            </c:dLbl>
            <c:dLbl>
              <c:idx val="2"/>
              <c:layout>
                <c:manualLayout>
                  <c:x val="-0.00555555555555555"/>
                  <c:y val="-0.102729294254885"/>
                </c:manualLayout>
              </c:layout>
              <c:dLblPos val="ctr"/>
              <c:showLegendKey val="0"/>
              <c:showVal val="1"/>
              <c:showCatName val="0"/>
              <c:showSerName val="0"/>
              <c:showPercent val="0"/>
              <c:showBubbleSize val="0"/>
            </c:dLbl>
            <c:dLbl>
              <c:idx val="3"/>
              <c:layout>
                <c:manualLayout>
                  <c:x val="-0.00277777777777778"/>
                  <c:y val="-0.24959864391951"/>
                </c:manualLayout>
              </c:layout>
              <c:dLblPos val="ctr"/>
              <c:showLegendKey val="0"/>
              <c:showVal val="1"/>
              <c:showCatName val="0"/>
              <c:showSerName val="0"/>
              <c:showPercent val="0"/>
              <c:showBubbleSize val="0"/>
            </c:dLbl>
            <c:dLbl>
              <c:idx val="4"/>
              <c:layout>
                <c:manualLayout>
                  <c:x val="0.00555555555555545"/>
                  <c:y val="-0.0640959463400408"/>
                </c:manualLayout>
              </c:layout>
              <c:dLblPos val="ctr"/>
              <c:showLegendKey val="0"/>
              <c:showVal val="1"/>
              <c:showCatName val="0"/>
              <c:showSerName val="0"/>
              <c:showPercent val="0"/>
              <c:showBubbleSize val="0"/>
            </c:dLbl>
            <c:dLbl>
              <c:idx val="5"/>
              <c:layout>
                <c:manualLayout>
                  <c:x val="-0.00555555555555555"/>
                  <c:y val="-0.0826144648585593"/>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numRef>
              <c:f>'jaar van oprichting'!$B$2:$G$2</c:f>
              <c:numCache>
                <c:formatCode>General</c:formatCode>
                <c:ptCount val="6"/>
                <c:pt idx="0">
                  <c:v>1998.0</c:v>
                </c:pt>
                <c:pt idx="1">
                  <c:v>1999.0</c:v>
                </c:pt>
                <c:pt idx="2">
                  <c:v>2001.0</c:v>
                </c:pt>
                <c:pt idx="3">
                  <c:v>2001.0</c:v>
                </c:pt>
                <c:pt idx="4">
                  <c:v>2002.0</c:v>
                </c:pt>
                <c:pt idx="5">
                  <c:v>2003.0</c:v>
                </c:pt>
              </c:numCache>
            </c:numRef>
          </c:cat>
          <c:val>
            <c:numRef>
              <c:f>'jaar van oprichting'!$B$4:$G$4</c:f>
              <c:numCache>
                <c:formatCode>General</c:formatCode>
                <c:ptCount val="6"/>
                <c:pt idx="0">
                  <c:v>2.0</c:v>
                </c:pt>
                <c:pt idx="1">
                  <c:v>1.0</c:v>
                </c:pt>
                <c:pt idx="2">
                  <c:v>2.0</c:v>
                </c:pt>
                <c:pt idx="3">
                  <c:v>7.0</c:v>
                </c:pt>
                <c:pt idx="4">
                  <c:v>1.0</c:v>
                </c:pt>
                <c:pt idx="5">
                  <c:v>1.0</c:v>
                </c:pt>
              </c:numCache>
            </c:numRef>
          </c:val>
        </c:ser>
        <c:dLbls>
          <c:dLblPos val="inEnd"/>
          <c:showLegendKey val="0"/>
          <c:showVal val="1"/>
          <c:showCatName val="0"/>
          <c:showSerName val="0"/>
          <c:showPercent val="0"/>
          <c:showBubbleSize val="0"/>
        </c:dLbls>
        <c:gapWidth val="150"/>
        <c:overlap val="100"/>
        <c:axId val="-2132443032"/>
        <c:axId val="-2132440056"/>
      </c:barChart>
      <c:catAx>
        <c:axId val="-2132443032"/>
        <c:scaling>
          <c:orientation val="minMax"/>
        </c:scaling>
        <c:delete val="0"/>
        <c:axPos val="b"/>
        <c:numFmt formatCode="General" sourceLinked="1"/>
        <c:majorTickMark val="out"/>
        <c:minorTickMark val="none"/>
        <c:tickLblPos val="nextTo"/>
        <c:crossAx val="-2132440056"/>
        <c:crosses val="autoZero"/>
        <c:auto val="1"/>
        <c:lblAlgn val="ctr"/>
        <c:lblOffset val="100"/>
        <c:noMultiLvlLbl val="0"/>
      </c:catAx>
      <c:valAx>
        <c:axId val="-2132440056"/>
        <c:scaling>
          <c:orientation val="minMax"/>
        </c:scaling>
        <c:delete val="0"/>
        <c:axPos val="l"/>
        <c:majorGridlines/>
        <c:numFmt formatCode="General" sourceLinked="1"/>
        <c:majorTickMark val="out"/>
        <c:minorTickMark val="none"/>
        <c:tickLblPos val="nextTo"/>
        <c:crossAx val="-2132443032"/>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Sheet1!$B$27</c:f>
              <c:strCache>
                <c:ptCount val="1"/>
                <c:pt idx="0">
                  <c:v>Spin-off</c:v>
                </c:pt>
              </c:strCache>
            </c:strRef>
          </c:tx>
          <c:invertIfNegative val="0"/>
          <c:dLbls>
            <c:dLbl>
              <c:idx val="5"/>
              <c:delete val="1"/>
            </c:dLbl>
            <c:dLbl>
              <c:idx val="6"/>
              <c:layout>
                <c:manualLayout>
                  <c:x val="-0.000885602227478219"/>
                  <c:y val="-0.0500120345551226"/>
                </c:manualLayout>
              </c:layout>
              <c:dLblPos val="ctr"/>
              <c:showLegendKey val="0"/>
              <c:showVal val="1"/>
              <c:showCatName val="0"/>
              <c:showSerName val="0"/>
              <c:showPercent val="0"/>
              <c:showBubbleSize val="0"/>
            </c:dLbl>
            <c:dLbl>
              <c:idx val="7"/>
              <c:layout>
                <c:manualLayout>
                  <c:x val="-0.000585461513128349"/>
                  <c:y val="-0.00848653628104214"/>
                </c:manualLayout>
              </c:layout>
              <c:dLblPos val="ctr"/>
              <c:showLegendKey val="0"/>
              <c:showVal val="1"/>
              <c:showCatName val="0"/>
              <c:showSerName val="0"/>
              <c:showPercent val="0"/>
              <c:showBubbleSize val="0"/>
            </c:dLbl>
            <c:dLbl>
              <c:idx val="8"/>
              <c:delete val="1"/>
            </c:dLbl>
            <c:dLbl>
              <c:idx val="9"/>
              <c:layout>
                <c:manualLayout>
                  <c:x val="-0.000585311817011467"/>
                  <c:y val="-0.00541748306704251"/>
                </c:manualLayout>
              </c:layout>
              <c:dLblPos val="ctr"/>
              <c:showLegendKey val="0"/>
              <c:showVal val="1"/>
              <c:showCatName val="0"/>
              <c:showSerName val="0"/>
              <c:showPercent val="0"/>
              <c:showBubbleSize val="0"/>
            </c:dLbl>
            <c:txPr>
              <a:bodyPr/>
              <a:lstStyle/>
              <a:p>
                <a:pPr>
                  <a:defRPr>
                    <a:solidFill>
                      <a:srgbClr val="FFFFFF"/>
                    </a:solidFill>
                    <a:latin typeface="+mj-lt"/>
                  </a:defRPr>
                </a:pPr>
                <a:endParaRPr lang="en-US"/>
              </a:p>
            </c:txPr>
            <c:dLblPos val="inEnd"/>
            <c:showLegendKey val="0"/>
            <c:showVal val="1"/>
            <c:showCatName val="0"/>
            <c:showSerName val="0"/>
            <c:showPercent val="0"/>
            <c:showBubbleSize val="0"/>
            <c:showLeaderLines val="0"/>
          </c:dLbls>
          <c:cat>
            <c:numRef>
              <c:f>Sheet1!$C$26:$L$26</c:f>
              <c:numCache>
                <c:formatCode>General</c:formatCode>
                <c:ptCount val="10"/>
                <c:pt idx="0">
                  <c:v>2.0</c:v>
                </c:pt>
                <c:pt idx="1">
                  <c:v>3.0</c:v>
                </c:pt>
                <c:pt idx="2">
                  <c:v>4.0</c:v>
                </c:pt>
                <c:pt idx="3">
                  <c:v>5.0</c:v>
                </c:pt>
                <c:pt idx="4">
                  <c:v>6.0</c:v>
                </c:pt>
                <c:pt idx="5">
                  <c:v>7.0</c:v>
                </c:pt>
                <c:pt idx="6">
                  <c:v>10.0</c:v>
                </c:pt>
                <c:pt idx="7">
                  <c:v>11.0</c:v>
                </c:pt>
                <c:pt idx="8">
                  <c:v>14.0</c:v>
                </c:pt>
                <c:pt idx="9">
                  <c:v>15.0</c:v>
                </c:pt>
              </c:numCache>
            </c:numRef>
          </c:cat>
          <c:val>
            <c:numRef>
              <c:f>Sheet1!$C$27:$L$27</c:f>
              <c:numCache>
                <c:formatCode>General</c:formatCode>
                <c:ptCount val="10"/>
                <c:pt idx="0">
                  <c:v>8.0</c:v>
                </c:pt>
                <c:pt idx="1">
                  <c:v>5.0</c:v>
                </c:pt>
                <c:pt idx="2">
                  <c:v>2.0</c:v>
                </c:pt>
                <c:pt idx="3">
                  <c:v>3.0</c:v>
                </c:pt>
                <c:pt idx="4">
                  <c:v>2.0</c:v>
                </c:pt>
                <c:pt idx="5">
                  <c:v>0.0</c:v>
                </c:pt>
                <c:pt idx="6">
                  <c:v>3.0</c:v>
                </c:pt>
                <c:pt idx="7">
                  <c:v>1.0</c:v>
                </c:pt>
                <c:pt idx="8">
                  <c:v>0.0</c:v>
                </c:pt>
                <c:pt idx="9">
                  <c:v>1.0</c:v>
                </c:pt>
              </c:numCache>
            </c:numRef>
          </c:val>
        </c:ser>
        <c:ser>
          <c:idx val="1"/>
          <c:order val="1"/>
          <c:tx>
            <c:strRef>
              <c:f>Sheet1!$B$28</c:f>
              <c:strCache>
                <c:ptCount val="1"/>
                <c:pt idx="0">
                  <c:v>Start-up</c:v>
                </c:pt>
              </c:strCache>
            </c:strRef>
          </c:tx>
          <c:invertIfNegative val="0"/>
          <c:dLbls>
            <c:dLbl>
              <c:idx val="0"/>
              <c:layout>
                <c:manualLayout>
                  <c:x val="0.00191204588910132"/>
                  <c:y val="-0.174933188296518"/>
                </c:manualLayout>
              </c:layout>
              <c:dLblPos val="ctr"/>
              <c:showLegendKey val="0"/>
              <c:showVal val="1"/>
              <c:showCatName val="0"/>
              <c:showSerName val="0"/>
              <c:showPercent val="0"/>
              <c:showBubbleSize val="0"/>
            </c:dLbl>
            <c:dLbl>
              <c:idx val="1"/>
              <c:layout>
                <c:manualLayout>
                  <c:x val="-3.48538432462905E-17"/>
                  <c:y val="-0.076819610235075"/>
                </c:manualLayout>
              </c:layout>
              <c:dLblPos val="ctr"/>
              <c:showLegendKey val="0"/>
              <c:showVal val="1"/>
              <c:showCatName val="0"/>
              <c:showSerName val="0"/>
              <c:showPercent val="0"/>
              <c:showBubbleSize val="0"/>
            </c:dLbl>
            <c:dLbl>
              <c:idx val="2"/>
              <c:layout>
                <c:manualLayout>
                  <c:x val="0.0"/>
                  <c:y val="-0.0483842280630359"/>
                </c:manualLayout>
              </c:layout>
              <c:dLblPos val="ctr"/>
              <c:showLegendKey val="0"/>
              <c:showVal val="1"/>
              <c:showCatName val="0"/>
              <c:showSerName val="0"/>
              <c:showPercent val="0"/>
              <c:showBubbleSize val="0"/>
            </c:dLbl>
            <c:dLbl>
              <c:idx val="3"/>
              <c:layout>
                <c:manualLayout>
                  <c:x val="0.0"/>
                  <c:y val="-0.0737505570210756"/>
                </c:manualLayout>
              </c:layout>
              <c:dLblPos val="ctr"/>
              <c:showLegendKey val="0"/>
              <c:showVal val="1"/>
              <c:showCatName val="0"/>
              <c:showSerName val="0"/>
              <c:showPercent val="0"/>
              <c:showBubbleSize val="0"/>
            </c:dLbl>
            <c:dLbl>
              <c:idx val="4"/>
              <c:layout>
                <c:manualLayout>
                  <c:x val="-6.97076864925827E-17"/>
                  <c:y val="-0.054522334491035"/>
                </c:manualLayout>
              </c:layout>
              <c:dLblPos val="ctr"/>
              <c:showLegendKey val="0"/>
              <c:showVal val="1"/>
              <c:showCatName val="0"/>
              <c:showSerName val="0"/>
              <c:showPercent val="0"/>
              <c:showBubbleSize val="0"/>
            </c:dLbl>
            <c:dLbl>
              <c:idx val="5"/>
              <c:layout>
                <c:manualLayout>
                  <c:x val="-0.00190129038052753"/>
                  <c:y val="-0.0545223344910349"/>
                </c:manualLayout>
              </c:layout>
              <c:dLblPos val="ctr"/>
              <c:showLegendKey val="0"/>
              <c:showVal val="1"/>
              <c:showCatName val="0"/>
              <c:showSerName val="0"/>
              <c:showPercent val="0"/>
              <c:showBubbleSize val="0"/>
            </c:dLbl>
            <c:dLbl>
              <c:idx val="6"/>
              <c:delete val="1"/>
            </c:dLbl>
            <c:dLbl>
              <c:idx val="7"/>
              <c:delete val="1"/>
            </c:dLbl>
            <c:dLbl>
              <c:idx val="8"/>
              <c:layout>
                <c:manualLayout>
                  <c:x val="-0.00190114068441065"/>
                  <c:y val="-0.0545223344910349"/>
                </c:manualLayout>
              </c:layout>
              <c:dLblPos val="ctr"/>
              <c:showLegendKey val="0"/>
              <c:showVal val="1"/>
              <c:showCatName val="0"/>
              <c:showSerName val="0"/>
              <c:showPercent val="0"/>
              <c:showBubbleSize val="0"/>
            </c:dLbl>
            <c:dLbl>
              <c:idx val="9"/>
              <c:delete val="1"/>
            </c:dLbl>
            <c:txPr>
              <a:bodyPr/>
              <a:lstStyle/>
              <a:p>
                <a:pPr>
                  <a:defRPr>
                    <a:latin typeface="+mj-lt"/>
                  </a:defRPr>
                </a:pPr>
                <a:endParaRPr lang="en-US"/>
              </a:p>
            </c:txPr>
            <c:dLblPos val="inEnd"/>
            <c:showLegendKey val="0"/>
            <c:showVal val="1"/>
            <c:showCatName val="0"/>
            <c:showSerName val="0"/>
            <c:showPercent val="0"/>
            <c:showBubbleSize val="0"/>
            <c:showLeaderLines val="0"/>
          </c:dLbls>
          <c:cat>
            <c:numRef>
              <c:f>Sheet1!$C$26:$L$26</c:f>
              <c:numCache>
                <c:formatCode>General</c:formatCode>
                <c:ptCount val="10"/>
                <c:pt idx="0">
                  <c:v>2.0</c:v>
                </c:pt>
                <c:pt idx="1">
                  <c:v>3.0</c:v>
                </c:pt>
                <c:pt idx="2">
                  <c:v>4.0</c:v>
                </c:pt>
                <c:pt idx="3">
                  <c:v>5.0</c:v>
                </c:pt>
                <c:pt idx="4">
                  <c:v>6.0</c:v>
                </c:pt>
                <c:pt idx="5">
                  <c:v>7.0</c:v>
                </c:pt>
                <c:pt idx="6">
                  <c:v>10.0</c:v>
                </c:pt>
                <c:pt idx="7">
                  <c:v>11.0</c:v>
                </c:pt>
                <c:pt idx="8">
                  <c:v>14.0</c:v>
                </c:pt>
                <c:pt idx="9">
                  <c:v>15.0</c:v>
                </c:pt>
              </c:numCache>
            </c:numRef>
          </c:cat>
          <c:val>
            <c:numRef>
              <c:f>Sheet1!$C$28:$L$28</c:f>
              <c:numCache>
                <c:formatCode>General</c:formatCode>
                <c:ptCount val="10"/>
                <c:pt idx="0">
                  <c:v>6.0</c:v>
                </c:pt>
                <c:pt idx="1">
                  <c:v>2.0</c:v>
                </c:pt>
                <c:pt idx="2">
                  <c:v>1.0</c:v>
                </c:pt>
                <c:pt idx="3">
                  <c:v>2.0</c:v>
                </c:pt>
                <c:pt idx="4">
                  <c:v>1.0</c:v>
                </c:pt>
                <c:pt idx="5">
                  <c:v>1.0</c:v>
                </c:pt>
                <c:pt idx="6">
                  <c:v>0.0</c:v>
                </c:pt>
                <c:pt idx="7">
                  <c:v>0.0</c:v>
                </c:pt>
                <c:pt idx="8">
                  <c:v>1.0</c:v>
                </c:pt>
                <c:pt idx="9">
                  <c:v>0.0</c:v>
                </c:pt>
              </c:numCache>
            </c:numRef>
          </c:val>
        </c:ser>
        <c:dLbls>
          <c:dLblPos val="inEnd"/>
          <c:showLegendKey val="0"/>
          <c:showVal val="1"/>
          <c:showCatName val="0"/>
          <c:showSerName val="0"/>
          <c:showPercent val="0"/>
          <c:showBubbleSize val="0"/>
        </c:dLbls>
        <c:gapWidth val="150"/>
        <c:overlap val="100"/>
        <c:axId val="-2132389112"/>
        <c:axId val="-2132383224"/>
      </c:barChart>
      <c:catAx>
        <c:axId val="-2132389112"/>
        <c:scaling>
          <c:orientation val="minMax"/>
        </c:scaling>
        <c:delete val="0"/>
        <c:axPos val="b"/>
        <c:title>
          <c:tx>
            <c:rich>
              <a:bodyPr/>
              <a:lstStyle/>
              <a:p>
                <a:pPr>
                  <a:defRPr/>
                </a:pPr>
                <a:r>
                  <a:rPr lang="en-US">
                    <a:latin typeface="+mj-lt"/>
                  </a:rPr>
                  <a:t>Aantal</a:t>
                </a:r>
                <a:r>
                  <a:rPr lang="en-US" baseline="0">
                    <a:latin typeface="+mj-lt"/>
                  </a:rPr>
                  <a:t> werknemers</a:t>
                </a:r>
                <a:endParaRPr lang="en-US">
                  <a:latin typeface="+mj-lt"/>
                </a:endParaRPr>
              </a:p>
            </c:rich>
          </c:tx>
          <c:overlay val="0"/>
        </c:title>
        <c:numFmt formatCode="General" sourceLinked="1"/>
        <c:majorTickMark val="out"/>
        <c:minorTickMark val="none"/>
        <c:tickLblPos val="nextTo"/>
        <c:txPr>
          <a:bodyPr/>
          <a:lstStyle/>
          <a:p>
            <a:pPr>
              <a:defRPr>
                <a:latin typeface="+mj-lt"/>
              </a:defRPr>
            </a:pPr>
            <a:endParaRPr lang="en-US"/>
          </a:p>
        </c:txPr>
        <c:crossAx val="-2132383224"/>
        <c:crosses val="autoZero"/>
        <c:auto val="1"/>
        <c:lblAlgn val="ctr"/>
        <c:lblOffset val="100"/>
        <c:noMultiLvlLbl val="0"/>
      </c:catAx>
      <c:valAx>
        <c:axId val="-2132383224"/>
        <c:scaling>
          <c:orientation val="minMax"/>
        </c:scaling>
        <c:delete val="0"/>
        <c:axPos val="l"/>
        <c:majorGridlines/>
        <c:numFmt formatCode="General" sourceLinked="1"/>
        <c:majorTickMark val="out"/>
        <c:minorTickMark val="none"/>
        <c:tickLblPos val="nextTo"/>
        <c:txPr>
          <a:bodyPr/>
          <a:lstStyle/>
          <a:p>
            <a:pPr>
              <a:defRPr>
                <a:latin typeface="+mj-lt"/>
              </a:defRPr>
            </a:pPr>
            <a:endParaRPr lang="en-US"/>
          </a:p>
        </c:txPr>
        <c:crossAx val="-213238911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'groei werknemers'!$B$6</c:f>
              <c:strCache>
                <c:ptCount val="1"/>
                <c:pt idx="0">
                  <c:v>spin-off</c:v>
                </c:pt>
              </c:strCache>
            </c:strRef>
          </c:tx>
          <c:invertIfNegative val="0"/>
          <c:dLbls>
            <c:dLbl>
              <c:idx val="3"/>
              <c:layout>
                <c:manualLayout>
                  <c:x val="0.00289725115805283"/>
                  <c:y val="-0.00711288567682581"/>
                </c:manualLayout>
              </c:layout>
              <c:dLblPos val="ctr"/>
              <c:showLegendKey val="0"/>
              <c:showVal val="1"/>
              <c:showCatName val="0"/>
              <c:showSerName val="0"/>
              <c:showPercent val="0"/>
              <c:showBubbleSize val="0"/>
            </c:dLbl>
            <c:dLbl>
              <c:idx val="5"/>
              <c:delete val="1"/>
            </c:dLbl>
            <c:dLbl>
              <c:idx val="6"/>
              <c:delete val="1"/>
            </c:dLbl>
            <c:dLbl>
              <c:idx val="7"/>
              <c:layout>
                <c:manualLayout>
                  <c:x val="-0.000879748388391961"/>
                  <c:y val="-0.000817638588377701"/>
                </c:manualLayout>
              </c:layout>
              <c:dLblPos val="ctr"/>
              <c:showLegendKey val="0"/>
              <c:showVal val="1"/>
              <c:showCatName val="0"/>
              <c:showSerName val="0"/>
              <c:showPercent val="0"/>
              <c:showBubbleSize val="0"/>
            </c:dLbl>
            <c:dLbl>
              <c:idx val="8"/>
              <c:layout>
                <c:manualLayout>
                  <c:x val="-0.00276832251492643"/>
                  <c:y val="-0.00396526213260181"/>
                </c:manualLayout>
              </c:layout>
              <c:dLblPos val="ctr"/>
              <c:showLegendKey val="0"/>
              <c:showVal val="1"/>
              <c:showCatName val="0"/>
              <c:showSerName val="0"/>
              <c:showPercent val="0"/>
              <c:showBubbleSize val="0"/>
            </c:dLbl>
            <c:dLbl>
              <c:idx val="9"/>
              <c:layout>
                <c:manualLayout>
                  <c:x val="0.00100882573814251"/>
                  <c:y val="-0.00396526213260181"/>
                </c:manualLayout>
              </c:layout>
              <c:dLblPos val="ctr"/>
              <c:showLegendKey val="0"/>
              <c:showVal val="1"/>
              <c:showCatName val="0"/>
              <c:showSerName val="0"/>
              <c:showPercent val="0"/>
              <c:showBubbleSize val="0"/>
            </c:dLbl>
            <c:txPr>
              <a:bodyPr/>
              <a:lstStyle/>
              <a:p>
                <a:pPr>
                  <a:defRPr>
                    <a:solidFill>
                      <a:srgbClr val="FFFFFF"/>
                    </a:solidFill>
                  </a:defRPr>
                </a:pPr>
                <a:endParaRPr lang="en-US"/>
              </a:p>
            </c:txPr>
            <c:dLblPos val="inEnd"/>
            <c:showLegendKey val="0"/>
            <c:showVal val="1"/>
            <c:showCatName val="0"/>
            <c:showSerName val="0"/>
            <c:showPercent val="0"/>
            <c:showBubbleSize val="0"/>
            <c:showLeaderLines val="0"/>
          </c:dLbls>
          <c:cat>
            <c:numRef>
              <c:f>'groei werknemers'!$C$5:$L$5</c:f>
              <c:numCache>
                <c:formatCode>General</c:formatCode>
                <c:ptCount val="10"/>
                <c:pt idx="0">
                  <c:v>1.0</c:v>
                </c:pt>
                <c:pt idx="1">
                  <c:v>2.0</c:v>
                </c:pt>
                <c:pt idx="2">
                  <c:v>3.0</c:v>
                </c:pt>
                <c:pt idx="3">
                  <c:v>4.0</c:v>
                </c:pt>
                <c:pt idx="4">
                  <c:v>5.0</c:v>
                </c:pt>
                <c:pt idx="5">
                  <c:v>6.0</c:v>
                </c:pt>
                <c:pt idx="6">
                  <c:v>7.0</c:v>
                </c:pt>
                <c:pt idx="7">
                  <c:v>8.0</c:v>
                </c:pt>
                <c:pt idx="8">
                  <c:v>9.0</c:v>
                </c:pt>
                <c:pt idx="9">
                  <c:v>15.0</c:v>
                </c:pt>
              </c:numCache>
            </c:numRef>
          </c:cat>
          <c:val>
            <c:numRef>
              <c:f>'groei werknemers'!$C$6:$L$6</c:f>
              <c:numCache>
                <c:formatCode>General</c:formatCode>
                <c:ptCount val="10"/>
                <c:pt idx="0">
                  <c:v>11.0</c:v>
                </c:pt>
                <c:pt idx="1">
                  <c:v>5.0</c:v>
                </c:pt>
                <c:pt idx="2">
                  <c:v>4.0</c:v>
                </c:pt>
                <c:pt idx="3">
                  <c:v>1.0</c:v>
                </c:pt>
                <c:pt idx="4">
                  <c:v>2.0</c:v>
                </c:pt>
                <c:pt idx="5">
                  <c:v>0.0</c:v>
                </c:pt>
                <c:pt idx="6">
                  <c:v>0.0</c:v>
                </c:pt>
                <c:pt idx="7">
                  <c:v>1.0</c:v>
                </c:pt>
                <c:pt idx="8">
                  <c:v>1.0</c:v>
                </c:pt>
                <c:pt idx="9">
                  <c:v>1.0</c:v>
                </c:pt>
              </c:numCache>
            </c:numRef>
          </c:val>
        </c:ser>
        <c:ser>
          <c:idx val="1"/>
          <c:order val="1"/>
          <c:tx>
            <c:strRef>
              <c:f>'groei werknemers'!$B$7</c:f>
              <c:strCache>
                <c:ptCount val="1"/>
                <c:pt idx="0">
                  <c:v>startup</c:v>
                </c:pt>
              </c:strCache>
            </c:strRef>
          </c:tx>
          <c:invertIfNegative val="0"/>
          <c:dLbls>
            <c:dLbl>
              <c:idx val="0"/>
              <c:layout>
                <c:manualLayout>
                  <c:x val="1.73117295066561E-17"/>
                  <c:y val="-0.167009435435301"/>
                </c:manualLayout>
              </c:layout>
              <c:dLblPos val="ctr"/>
              <c:showLegendKey val="0"/>
              <c:showVal val="1"/>
              <c:showCatName val="0"/>
              <c:showSerName val="0"/>
              <c:showPercent val="0"/>
              <c:showBubbleSize val="0"/>
            </c:dLbl>
            <c:dLbl>
              <c:idx val="1"/>
              <c:layout>
                <c:manualLayout>
                  <c:x val="0.0"/>
                  <c:y val="-0.124454804339259"/>
                </c:manualLayout>
              </c:layout>
              <c:dLblPos val="ctr"/>
              <c:showLegendKey val="0"/>
              <c:showVal val="1"/>
              <c:showCatName val="0"/>
              <c:showSerName val="0"/>
              <c:showPercent val="0"/>
              <c:showBubbleSize val="0"/>
            </c:dLbl>
            <c:dLbl>
              <c:idx val="2"/>
              <c:layout>
                <c:manualLayout>
                  <c:x val="-0.00188857412653447"/>
                  <c:y val="-0.029902423670129"/>
                </c:manualLayout>
              </c:layout>
              <c:dLblPos val="ctr"/>
              <c:showLegendKey val="0"/>
              <c:showVal val="1"/>
              <c:showCatName val="0"/>
              <c:showSerName val="0"/>
              <c:showPercent val="0"/>
              <c:showBubbleSize val="0"/>
            </c:dLbl>
            <c:dLbl>
              <c:idx val="3"/>
              <c:delete val="1"/>
            </c:dLbl>
            <c:dLbl>
              <c:idx val="4"/>
              <c:layout>
                <c:manualLayout>
                  <c:x val="0.0"/>
                  <c:y val="-0.0448843682075151"/>
                </c:manualLayout>
              </c:layout>
              <c:dLblPos val="ctr"/>
              <c:showLegendKey val="0"/>
              <c:showVal val="1"/>
              <c:showCatName val="0"/>
              <c:showSerName val="0"/>
              <c:showPercent val="0"/>
              <c:showBubbleSize val="0"/>
            </c:dLbl>
            <c:dLbl>
              <c:idx val="5"/>
              <c:layout>
                <c:manualLayout>
                  <c:x val="0.00293065174082155"/>
                  <c:y val="-0.0426050659330234"/>
                </c:manualLayout>
              </c:layout>
              <c:dLblPos val="ctr"/>
              <c:showLegendKey val="0"/>
              <c:showVal val="1"/>
              <c:showCatName val="0"/>
              <c:showSerName val="0"/>
              <c:showPercent val="0"/>
              <c:showBubbleSize val="0"/>
            </c:dLbl>
            <c:dLbl>
              <c:idx val="6"/>
              <c:layout>
                <c:manualLayout>
                  <c:x val="-0.00481927710843373"/>
                  <c:y val="-0.0426050659330234"/>
                </c:manualLayout>
              </c:layout>
              <c:dLblPos val="ctr"/>
              <c:showLegendKey val="0"/>
              <c:showVal val="1"/>
              <c:showCatName val="0"/>
              <c:showSerName val="0"/>
              <c:showPercent val="0"/>
              <c:showBubbleSize val="0"/>
            </c:dLbl>
            <c:dLbl>
              <c:idx val="7"/>
              <c:delete val="1"/>
            </c:dLbl>
            <c:dLbl>
              <c:idx val="8"/>
              <c:delete val="1"/>
            </c:dLbl>
            <c:dLbl>
              <c:idx val="9"/>
              <c:delete val="1"/>
            </c:dLbl>
            <c:dLblPos val="inEnd"/>
            <c:showLegendKey val="0"/>
            <c:showVal val="1"/>
            <c:showCatName val="0"/>
            <c:showSerName val="0"/>
            <c:showPercent val="0"/>
            <c:showBubbleSize val="0"/>
            <c:showLeaderLines val="0"/>
          </c:dLbls>
          <c:cat>
            <c:numRef>
              <c:f>'groei werknemers'!$C$5:$L$5</c:f>
              <c:numCache>
                <c:formatCode>General</c:formatCode>
                <c:ptCount val="10"/>
                <c:pt idx="0">
                  <c:v>1.0</c:v>
                </c:pt>
                <c:pt idx="1">
                  <c:v>2.0</c:v>
                </c:pt>
                <c:pt idx="2">
                  <c:v>3.0</c:v>
                </c:pt>
                <c:pt idx="3">
                  <c:v>4.0</c:v>
                </c:pt>
                <c:pt idx="4">
                  <c:v>5.0</c:v>
                </c:pt>
                <c:pt idx="5">
                  <c:v>6.0</c:v>
                </c:pt>
                <c:pt idx="6">
                  <c:v>7.0</c:v>
                </c:pt>
                <c:pt idx="7">
                  <c:v>8.0</c:v>
                </c:pt>
                <c:pt idx="8">
                  <c:v>9.0</c:v>
                </c:pt>
                <c:pt idx="9">
                  <c:v>15.0</c:v>
                </c:pt>
              </c:numCache>
            </c:numRef>
          </c:cat>
          <c:val>
            <c:numRef>
              <c:f>'groei werknemers'!$C$7:$L$7</c:f>
              <c:numCache>
                <c:formatCode>General</c:formatCode>
                <c:ptCount val="10"/>
                <c:pt idx="0">
                  <c:v>6.0</c:v>
                </c:pt>
                <c:pt idx="1">
                  <c:v>4.0</c:v>
                </c:pt>
                <c:pt idx="2">
                  <c:v>0.0</c:v>
                </c:pt>
                <c:pt idx="3">
                  <c:v>0.0</c:v>
                </c:pt>
                <c:pt idx="4">
                  <c:v>1.0</c:v>
                </c:pt>
                <c:pt idx="5">
                  <c:v>1.0</c:v>
                </c:pt>
                <c:pt idx="6">
                  <c:v>1.0</c:v>
                </c:pt>
                <c:pt idx="7">
                  <c:v>0.0</c:v>
                </c:pt>
                <c:pt idx="8">
                  <c:v>0.0</c:v>
                </c:pt>
                <c:pt idx="9">
                  <c:v>0.0</c:v>
                </c:pt>
              </c:numCache>
            </c:numRef>
          </c:val>
        </c:ser>
        <c:dLbls>
          <c:dLblPos val="inEnd"/>
          <c:showLegendKey val="0"/>
          <c:showVal val="1"/>
          <c:showCatName val="0"/>
          <c:showSerName val="0"/>
          <c:showPercent val="0"/>
          <c:showBubbleSize val="0"/>
        </c:dLbls>
        <c:gapWidth val="150"/>
        <c:overlap val="100"/>
        <c:axId val="2129964728"/>
        <c:axId val="2129958936"/>
      </c:barChart>
      <c:catAx>
        <c:axId val="2129964728"/>
        <c:scaling>
          <c:orientation val="minMax"/>
        </c:scaling>
        <c:delete val="0"/>
        <c:axPos val="b"/>
        <c:title>
          <c:tx>
            <c:rich>
              <a:bodyPr/>
              <a:lstStyle/>
              <a:p>
                <a:pPr>
                  <a:defRPr/>
                </a:pPr>
                <a:r>
                  <a:rPr lang="en-US"/>
                  <a:t>Groei</a:t>
                </a:r>
                <a:r>
                  <a:rPr lang="en-US" baseline="0"/>
                  <a:t> aantal werknemers</a:t>
                </a:r>
                <a:endParaRPr lang="en-US"/>
              </a:p>
            </c:rich>
          </c:tx>
          <c:overlay val="0"/>
        </c:title>
        <c:numFmt formatCode="General" sourceLinked="1"/>
        <c:majorTickMark val="out"/>
        <c:minorTickMark val="none"/>
        <c:tickLblPos val="nextTo"/>
        <c:crossAx val="2129958936"/>
        <c:crosses val="autoZero"/>
        <c:auto val="1"/>
        <c:lblAlgn val="ctr"/>
        <c:lblOffset val="100"/>
        <c:noMultiLvlLbl val="0"/>
      </c:catAx>
      <c:valAx>
        <c:axId val="2129958936"/>
        <c:scaling>
          <c:orientation val="minMax"/>
        </c:scaling>
        <c:delete val="0"/>
        <c:axPos val="l"/>
        <c:majorGridlines/>
        <c:numFmt formatCode="General" sourceLinked="1"/>
        <c:majorTickMark val="out"/>
        <c:minorTickMark val="none"/>
        <c:tickLblPos val="nextTo"/>
        <c:crossAx val="2129964728"/>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Sheet1!$B$5</c:f>
              <c:strCache>
                <c:ptCount val="1"/>
                <c:pt idx="0">
                  <c:v>ja</c:v>
                </c:pt>
              </c:strCache>
            </c:strRef>
          </c:tx>
          <c:invertIfNegative val="0"/>
          <c:dLbls>
            <c:txPr>
              <a:bodyPr/>
              <a:lstStyle/>
              <a:p>
                <a:pPr>
                  <a:defRPr>
                    <a:solidFill>
                      <a:srgbClr val="FFFFFF"/>
                    </a:solidFill>
                    <a:latin typeface="+mj-lt"/>
                  </a:defRPr>
                </a:pPr>
                <a:endParaRPr lang="en-US"/>
              </a:p>
            </c:txPr>
            <c:dLblPos val="inEnd"/>
            <c:showLegendKey val="0"/>
            <c:showVal val="1"/>
            <c:showCatName val="0"/>
            <c:showSerName val="0"/>
            <c:showPercent val="0"/>
            <c:showBubbleSize val="0"/>
            <c:showLeaderLines val="0"/>
          </c:dLbls>
          <c:cat>
            <c:strRef>
              <c:f>Sheet1!$C$4:$F$4</c:f>
              <c:strCache>
                <c:ptCount val="4"/>
                <c:pt idx="0">
                  <c:v>ondernemer</c:v>
                </c:pt>
                <c:pt idx="1">
                  <c:v>werknemer; manager</c:v>
                </c:pt>
                <c:pt idx="2">
                  <c:v>werknemer; overig</c:v>
                </c:pt>
                <c:pt idx="3">
                  <c:v>student</c:v>
                </c:pt>
              </c:strCache>
            </c:strRef>
          </c:cat>
          <c:val>
            <c:numRef>
              <c:f>Sheet1!$C$5:$F$5</c:f>
              <c:numCache>
                <c:formatCode>General</c:formatCode>
                <c:ptCount val="4"/>
                <c:pt idx="0">
                  <c:v>3.0</c:v>
                </c:pt>
                <c:pt idx="1">
                  <c:v>9.0</c:v>
                </c:pt>
                <c:pt idx="2">
                  <c:v>13.0</c:v>
                </c:pt>
                <c:pt idx="3">
                  <c:v>0.0</c:v>
                </c:pt>
              </c:numCache>
            </c:numRef>
          </c:val>
        </c:ser>
        <c:ser>
          <c:idx val="1"/>
          <c:order val="1"/>
          <c:tx>
            <c:strRef>
              <c:f>Sheet1!$B$6</c:f>
              <c:strCache>
                <c:ptCount val="1"/>
                <c:pt idx="0">
                  <c:v>nee</c:v>
                </c:pt>
              </c:strCache>
            </c:strRef>
          </c:tx>
          <c:invertIfNegative val="0"/>
          <c:dLbls>
            <c:txPr>
              <a:bodyPr/>
              <a:lstStyle/>
              <a:p>
                <a:pPr>
                  <a:defRPr>
                    <a:latin typeface="+mj-lt"/>
                  </a:defRPr>
                </a:pPr>
                <a:endParaRPr lang="en-US"/>
              </a:p>
            </c:txPr>
            <c:dLblPos val="inEnd"/>
            <c:showLegendKey val="0"/>
            <c:showVal val="1"/>
            <c:showCatName val="0"/>
            <c:showSerName val="0"/>
            <c:showPercent val="0"/>
            <c:showBubbleSize val="0"/>
            <c:showLeaderLines val="0"/>
          </c:dLbls>
          <c:cat>
            <c:strRef>
              <c:f>Sheet1!$C$4:$F$4</c:f>
              <c:strCache>
                <c:ptCount val="4"/>
                <c:pt idx="0">
                  <c:v>ondernemer</c:v>
                </c:pt>
                <c:pt idx="1">
                  <c:v>werknemer; manager</c:v>
                </c:pt>
                <c:pt idx="2">
                  <c:v>werknemer; overig</c:v>
                </c:pt>
                <c:pt idx="3">
                  <c:v>student</c:v>
                </c:pt>
              </c:strCache>
            </c:strRef>
          </c:cat>
          <c:val>
            <c:numRef>
              <c:f>Sheet1!$C$6:$F$6</c:f>
              <c:numCache>
                <c:formatCode>General</c:formatCode>
                <c:ptCount val="4"/>
                <c:pt idx="0">
                  <c:v>1.0</c:v>
                </c:pt>
                <c:pt idx="1">
                  <c:v>1.0</c:v>
                </c:pt>
                <c:pt idx="2">
                  <c:v>9.0</c:v>
                </c:pt>
                <c:pt idx="3">
                  <c:v>3.0</c:v>
                </c:pt>
              </c:numCache>
            </c:numRef>
          </c:val>
        </c:ser>
        <c:dLbls>
          <c:dLblPos val="inEnd"/>
          <c:showLegendKey val="0"/>
          <c:showVal val="1"/>
          <c:showCatName val="0"/>
          <c:showSerName val="0"/>
          <c:showPercent val="0"/>
          <c:showBubbleSize val="0"/>
        </c:dLbls>
        <c:gapWidth val="150"/>
        <c:axId val="-2132355288"/>
        <c:axId val="-2132352232"/>
      </c:barChart>
      <c:catAx>
        <c:axId val="-2132355288"/>
        <c:scaling>
          <c:orientation val="minMax"/>
        </c:scaling>
        <c:delete val="0"/>
        <c:axPos val="b"/>
        <c:majorTickMark val="out"/>
        <c:minorTickMark val="none"/>
        <c:tickLblPos val="nextTo"/>
        <c:txPr>
          <a:bodyPr/>
          <a:lstStyle/>
          <a:p>
            <a:pPr>
              <a:defRPr>
                <a:latin typeface="+mj-lt"/>
              </a:defRPr>
            </a:pPr>
            <a:endParaRPr lang="en-US"/>
          </a:p>
        </c:txPr>
        <c:crossAx val="-2132352232"/>
        <c:crosses val="autoZero"/>
        <c:auto val="1"/>
        <c:lblAlgn val="ctr"/>
        <c:lblOffset val="100"/>
        <c:noMultiLvlLbl val="0"/>
      </c:catAx>
      <c:valAx>
        <c:axId val="-2132352232"/>
        <c:scaling>
          <c:orientation val="minMax"/>
        </c:scaling>
        <c:delete val="0"/>
        <c:axPos val="l"/>
        <c:majorGridlines/>
        <c:numFmt formatCode="General" sourceLinked="1"/>
        <c:majorTickMark val="out"/>
        <c:minorTickMark val="none"/>
        <c:tickLblPos val="nextTo"/>
        <c:crossAx val="-2132355288"/>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CA44-8781-4D41-BBBD-F09DF3476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84</Pages>
  <Words>35153</Words>
  <Characters>200373</Characters>
  <Application>Microsoft Macintosh Word</Application>
  <DocSecurity>0</DocSecurity>
  <Lines>1669</Lines>
  <Paragraphs>470</Paragraphs>
  <ScaleCrop>false</ScaleCrop>
  <Company>Universiteit Utrecht</Company>
  <LinksUpToDate>false</LinksUpToDate>
  <CharactersWithSpaces>235056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Kruunenberg</dc:creator>
  <cp:keywords/>
  <dc:description/>
  <cp:lastModifiedBy>Stefan Kruunenberg</cp:lastModifiedBy>
  <cp:revision>163</cp:revision>
  <cp:lastPrinted>2016-10-09T11:10:00Z</cp:lastPrinted>
  <dcterms:created xsi:type="dcterms:W3CDTF">2016-02-03T17:55:00Z</dcterms:created>
  <dcterms:modified xsi:type="dcterms:W3CDTF">2016-10-19T10:45:00Z</dcterms:modified>
</cp:coreProperties>
</file>