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EC" w:rsidRPr="003B4EA0" w:rsidRDefault="00A70E2E" w:rsidP="004A0890">
      <w:pPr>
        <w:jc w:val="center"/>
        <w:rPr>
          <w:rFonts w:ascii="Garamond" w:hAnsi="Garamond"/>
          <w:b/>
          <w:sz w:val="32"/>
        </w:rPr>
      </w:pPr>
      <w:r>
        <w:rPr>
          <w:rFonts w:ascii="Garamond" w:hAnsi="Garamond"/>
          <w:b/>
          <w:sz w:val="40"/>
        </w:rPr>
        <w:t>De Koning en de Guillotine</w:t>
      </w:r>
      <w:r w:rsidR="003B4EA0">
        <w:rPr>
          <w:rFonts w:ascii="Garamond" w:hAnsi="Garamond"/>
          <w:b/>
          <w:sz w:val="40"/>
        </w:rPr>
        <w:br/>
      </w:r>
      <w:r w:rsidR="004C5292">
        <w:rPr>
          <w:rFonts w:ascii="Garamond" w:hAnsi="Garamond"/>
          <w:b/>
          <w:sz w:val="32"/>
        </w:rPr>
        <w:t>De schuldvraag van Lodewijk XVI</w:t>
      </w:r>
    </w:p>
    <w:p w:rsidR="004C5292" w:rsidRDefault="004C5292" w:rsidP="004C5292">
      <w:pPr>
        <w:rPr>
          <w:rFonts w:ascii="Times New Roman" w:hAnsi="Times New Roman" w:cs="Times New Roman"/>
          <w:sz w:val="32"/>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sz w:val="28"/>
        </w:rPr>
      </w:pPr>
    </w:p>
    <w:p w:rsidR="004C5292" w:rsidRDefault="004C5292" w:rsidP="004C5292">
      <w:pPr>
        <w:rPr>
          <w:rFonts w:ascii="Times New Roman" w:hAnsi="Times New Roman" w:cs="Times New Roman"/>
          <w:b/>
          <w:sz w:val="28"/>
        </w:rPr>
      </w:pPr>
    </w:p>
    <w:p w:rsidR="004C5292" w:rsidRDefault="004C5292">
      <w:r>
        <w:rPr>
          <w:rFonts w:ascii="Times New Roman" w:hAnsi="Times New Roman" w:cs="Times New Roman"/>
          <w:b/>
          <w:sz w:val="28"/>
        </w:rPr>
        <w:t>Thijs van der Wel</w:t>
      </w:r>
      <w:r>
        <w:rPr>
          <w:rFonts w:ascii="Times New Roman" w:hAnsi="Times New Roman" w:cs="Times New Roman"/>
          <w:b/>
          <w:sz w:val="28"/>
        </w:rPr>
        <w:br/>
        <w:t>3899748</w:t>
      </w:r>
      <w:r>
        <w:rPr>
          <w:rFonts w:ascii="Times New Roman" w:hAnsi="Times New Roman" w:cs="Times New Roman"/>
          <w:b/>
          <w:sz w:val="28"/>
        </w:rPr>
        <w:br/>
        <w:t xml:space="preserve">Aantal woorden: </w:t>
      </w:r>
      <w:r w:rsidR="005F074C">
        <w:rPr>
          <w:rFonts w:ascii="Times New Roman" w:hAnsi="Times New Roman" w:cs="Times New Roman"/>
          <w:b/>
          <w:sz w:val="28"/>
        </w:rPr>
        <w:t>11.384</w:t>
      </w:r>
      <w:bookmarkStart w:id="0" w:name="_GoBack"/>
      <w:bookmarkEnd w:id="0"/>
      <w:r w:rsidR="0033364B">
        <w:rPr>
          <w:rFonts w:ascii="Times New Roman" w:hAnsi="Times New Roman" w:cs="Times New Roman"/>
          <w:b/>
          <w:sz w:val="28"/>
        </w:rPr>
        <w:br/>
        <w:t>Guido de Bruin</w:t>
      </w:r>
      <w:r>
        <w:rPr>
          <w:rFonts w:ascii="Times New Roman" w:hAnsi="Times New Roman" w:cs="Times New Roman"/>
          <w:b/>
          <w:sz w:val="28"/>
        </w:rPr>
        <w:br/>
        <w:t>Onderzoeksseminar III</w:t>
      </w:r>
      <w:r>
        <w:rPr>
          <w:rFonts w:ascii="Times New Roman" w:hAnsi="Times New Roman" w:cs="Times New Roman"/>
          <w:b/>
          <w:sz w:val="28"/>
        </w:rPr>
        <w:br/>
      </w:r>
      <w:r w:rsidR="00F421EE">
        <w:fldChar w:fldCharType="begin"/>
      </w:r>
      <w:r w:rsidR="00F421EE">
        <w:instrText xml:space="preserve"> HYPERLINK "mailto:thijsvdw@hotmail.nl" </w:instrText>
      </w:r>
      <w:r w:rsidR="00F421EE">
        <w:fldChar w:fldCharType="separate"/>
      </w:r>
      <w:r w:rsidRPr="007266F7">
        <w:rPr>
          <w:rStyle w:val="Hyperlink"/>
          <w:rFonts w:ascii="Times New Roman" w:hAnsi="Times New Roman" w:cs="Times New Roman"/>
          <w:b/>
          <w:sz w:val="28"/>
        </w:rPr>
        <w:t>thijsvdw@hotmail.nl</w:t>
      </w:r>
      <w:r w:rsidR="00F421EE">
        <w:rPr>
          <w:rStyle w:val="Hyperlink"/>
          <w:rFonts w:ascii="Times New Roman" w:hAnsi="Times New Roman" w:cs="Times New Roman"/>
          <w:b/>
          <w:sz w:val="28"/>
        </w:rPr>
        <w:fldChar w:fldCharType="end"/>
      </w:r>
      <w:r>
        <w:rPr>
          <w:rFonts w:ascii="Times New Roman" w:hAnsi="Times New Roman" w:cs="Times New Roman"/>
          <w:b/>
          <w:sz w:val="28"/>
        </w:rPr>
        <w:t xml:space="preserve"> </w:t>
      </w:r>
      <w:r>
        <w:br w:type="page"/>
      </w:r>
    </w:p>
    <w:p w:rsidR="00E671C6" w:rsidRDefault="006D706A" w:rsidP="00E671C6">
      <w:r>
        <w:rPr>
          <w:b/>
        </w:rPr>
        <w:lastRenderedPageBreak/>
        <w:t>Inleiding</w:t>
      </w:r>
      <w:r>
        <w:rPr>
          <w:b/>
        </w:rPr>
        <w:br/>
      </w:r>
      <w:r>
        <w:t>Op 3 december 1792 begon het proces tegen Lodewij</w:t>
      </w:r>
      <w:r w:rsidR="00214177">
        <w:t xml:space="preserve">k XVI. Hij was </w:t>
      </w:r>
      <w:r w:rsidR="00C25875">
        <w:t>toen</w:t>
      </w:r>
      <w:r w:rsidR="00214177">
        <w:t xml:space="preserve"> alle macht kwijt die hij tot 10 augustus 1792 had bezet</w:t>
      </w:r>
      <w:r w:rsidR="00C25875">
        <w:t>en</w:t>
      </w:r>
      <w:r>
        <w:t xml:space="preserve">. Dit proces zou </w:t>
      </w:r>
      <w:r w:rsidR="005D1AE9">
        <w:t>na enkele weken lei</w:t>
      </w:r>
      <w:r>
        <w:t xml:space="preserve">den </w:t>
      </w:r>
      <w:r w:rsidR="00C25875">
        <w:t xml:space="preserve">tot zijn veroordeling en </w:t>
      </w:r>
      <w:r w:rsidR="00214177">
        <w:t>terechtstelling op 21 januari 1793.</w:t>
      </w:r>
      <w:r w:rsidR="00582F70">
        <w:br/>
      </w:r>
      <w:r w:rsidR="00214177">
        <w:t>De</w:t>
      </w:r>
      <w:r w:rsidR="00582F70">
        <w:t xml:space="preserve"> veroordeling </w:t>
      </w:r>
      <w:r w:rsidR="00214177">
        <w:t>en terechtstelling waren</w:t>
      </w:r>
      <w:r w:rsidR="00582F70">
        <w:t xml:space="preserve"> </w:t>
      </w:r>
      <w:r w:rsidR="00214177">
        <w:t>zeer controversieel in 1793 en zijn</w:t>
      </w:r>
      <w:r w:rsidR="00582F70">
        <w:t xml:space="preserve"> dat altijd gebleven</w:t>
      </w:r>
      <w:r w:rsidR="00214177">
        <w:t xml:space="preserve"> in de geschiedschrijving</w:t>
      </w:r>
      <w:r w:rsidR="00582F70">
        <w:t>. De controverse in 1793 blijkt alleen al uit het</w:t>
      </w:r>
      <w:r w:rsidR="00214177">
        <w:t xml:space="preserve"> aantal stemmen dat voor en</w:t>
      </w:r>
      <w:r w:rsidR="00582F70">
        <w:t xml:space="preserve"> tegen de dood van </w:t>
      </w:r>
      <w:r w:rsidR="00214177">
        <w:t>Lodewijk XVI</w:t>
      </w:r>
      <w:r w:rsidR="00C25875">
        <w:t xml:space="preserve"> werd uitgebracht;</w:t>
      </w:r>
      <w:r w:rsidR="00582F70">
        <w:t xml:space="preserve"> 361 leden van de Conventie stemden voor de dood van </w:t>
      </w:r>
      <w:r w:rsidR="00C25875">
        <w:t xml:space="preserve">de </w:t>
      </w:r>
      <w:r w:rsidR="00582F70">
        <w:t>koning, zonder enige verlichtende condities</w:t>
      </w:r>
      <w:r w:rsidR="00C25875">
        <w:t>;</w:t>
      </w:r>
      <w:r w:rsidR="00582F70">
        <w:t xml:space="preserve"> 321 leden stemden voor </w:t>
      </w:r>
      <w:r w:rsidR="001A7116">
        <w:t xml:space="preserve">gevangenschap, ofwel levenslang, ofwel tot de oorlog voorbij </w:t>
      </w:r>
      <w:r w:rsidR="00C25875">
        <w:t>zou zijn</w:t>
      </w:r>
      <w:r w:rsidR="001A7116">
        <w:t xml:space="preserve">, waarna </w:t>
      </w:r>
      <w:r w:rsidR="00C25875">
        <w:t>hij</w:t>
      </w:r>
      <w:r w:rsidR="001A7116">
        <w:t xml:space="preserve"> verbannen zou worden.</w:t>
      </w:r>
      <w:r w:rsidR="00E671C6">
        <w:t xml:space="preserve"> Toch waren er ook in deze tijd mensen die er anders over dachten. Zo schreef de Amerikaan Gouverneur Morris, die tussen 1792 en 1794 ambassadeur was in Frankrijk, aan T</w:t>
      </w:r>
      <w:r w:rsidR="00C25875">
        <w:t>homas Jefferson, op dat moment m</w:t>
      </w:r>
      <w:r w:rsidR="00E671C6">
        <w:t>inister van Buitenlandse Zaken van de Verenigde Staten:</w:t>
      </w:r>
    </w:p>
    <w:p w:rsidR="00102147" w:rsidRPr="00E671C6" w:rsidRDefault="00E671C6" w:rsidP="00E671C6">
      <w:pPr>
        <w:ind w:left="567" w:right="567"/>
        <w:rPr>
          <w:lang w:val="en-GB"/>
        </w:rPr>
      </w:pPr>
      <w:r w:rsidRPr="00796163">
        <w:rPr>
          <w:i/>
          <w:lang w:val="en-GB"/>
        </w:rPr>
        <w:t>To a person less intimately acquainted than you are with the history of human affairs, it would seem strange that the mildest monarch who ever filled the French throne, one who is precipitated from it precisely because he would not adopt the harsh measures of his predecessors, a man whom none could charge with a criminal act, should be prosecuted as one of the most nefarious tyrants that ever disgraced the annals of human nature – that he, Louis the Sixteenth, should be prosecuted even to death.</w:t>
      </w:r>
      <w:r>
        <w:rPr>
          <w:rStyle w:val="FootnoteReference"/>
          <w:i/>
          <w:lang w:val="en-GB"/>
        </w:rPr>
        <w:footnoteReference w:id="1"/>
      </w:r>
    </w:p>
    <w:p w:rsidR="00822AC6" w:rsidRDefault="00214177" w:rsidP="004A0890">
      <w:r>
        <w:t>Het proces</w:t>
      </w:r>
      <w:r w:rsidR="00F068C2">
        <w:t xml:space="preserve"> </w:t>
      </w:r>
      <w:r w:rsidR="005D1AE9">
        <w:t xml:space="preserve">werd in de twintigste eeuw een object van discussie. Verschillende vraagtekens werden </w:t>
      </w:r>
      <w:r w:rsidR="0046597A">
        <w:t>er</w:t>
      </w:r>
      <w:r w:rsidR="005D1AE9">
        <w:t>bij gezet. Eén van de vragen die gesteld werd</w:t>
      </w:r>
      <w:r>
        <w:t>en</w:t>
      </w:r>
      <w:r w:rsidR="005D1AE9">
        <w:t xml:space="preserve"> was </w:t>
      </w:r>
      <w:r w:rsidR="001A7116">
        <w:t xml:space="preserve">of dit proces niet </w:t>
      </w:r>
      <w:r>
        <w:t>een</w:t>
      </w:r>
      <w:r w:rsidR="001A7116">
        <w:t xml:space="preserve"> polit</w:t>
      </w:r>
      <w:r w:rsidR="00FF48A4">
        <w:t>ieke vertoning was en weinig</w:t>
      </w:r>
      <w:r w:rsidR="001A7116">
        <w:t xml:space="preserve"> te maken had met een eerlijk en rechtvaardig proces. Het politieke karakter van het proces was in elk geval duidelijk. Voorafgaand aan het proces was de Conventie al in twee grote kampen verdeeld geraakt: de </w:t>
      </w:r>
      <w:r w:rsidR="00FF48A4" w:rsidRPr="00FF48A4">
        <w:rPr>
          <w:i/>
        </w:rPr>
        <w:t>Montagnards</w:t>
      </w:r>
      <w:r w:rsidR="001A7116" w:rsidRPr="00FF48A4">
        <w:rPr>
          <w:i/>
        </w:rPr>
        <w:t xml:space="preserve"> </w:t>
      </w:r>
      <w:r w:rsidR="001A7116">
        <w:t>prefereerden een directe executie van Lodewijk XVI</w:t>
      </w:r>
      <w:r w:rsidR="00FF48A4">
        <w:t>,</w:t>
      </w:r>
      <w:r w:rsidR="001A7116">
        <w:t xml:space="preserve"> waar geen proces aan te pas hoefde te komen, </w:t>
      </w:r>
      <w:r w:rsidR="00FF48A4">
        <w:t>terwijl</w:t>
      </w:r>
      <w:r w:rsidR="001A7116">
        <w:t xml:space="preserve"> de Girondij</w:t>
      </w:r>
      <w:r w:rsidR="00FF48A4">
        <w:t>nen niet alleen een proces eist</w:t>
      </w:r>
      <w:r w:rsidR="001A7116">
        <w:t xml:space="preserve">en, maar ook dit proces zo lang mogelijk wilden vertragen. </w:t>
      </w:r>
      <w:r w:rsidR="00601B7B">
        <w:t xml:space="preserve">Dit verschil tussen de twee </w:t>
      </w:r>
      <w:r w:rsidR="00FF48A4">
        <w:t>facties</w:t>
      </w:r>
      <w:r w:rsidR="00FD3F42">
        <w:t xml:space="preserve"> is zeer belangrijk. De </w:t>
      </w:r>
      <w:r w:rsidR="00FF48A4" w:rsidRPr="00FF48A4">
        <w:rPr>
          <w:i/>
        </w:rPr>
        <w:t>Montagnards</w:t>
      </w:r>
      <w:r w:rsidR="00FD3F42">
        <w:t xml:space="preserve"> zagen een proces als</w:t>
      </w:r>
      <w:r w:rsidR="0037761D">
        <w:t xml:space="preserve"> gevaarlijk, aangezien er een vreemde situatie zou ontstaan als de koning </w:t>
      </w:r>
      <w:r w:rsidR="00FF48A4">
        <w:t>vrijgesproken zou worden</w:t>
      </w:r>
      <w:r w:rsidR="0037761D">
        <w:t>, namelijk dat de revolutionairen van 10 augustus schuldig zouden zijn. Dit zou buitengewoon contra-revolutionair zijn, volgens Robespierre.</w:t>
      </w:r>
      <w:r w:rsidR="0037761D">
        <w:rPr>
          <w:rStyle w:val="FootnoteReference"/>
        </w:rPr>
        <w:footnoteReference w:id="2"/>
      </w:r>
      <w:r w:rsidR="0037761D">
        <w:t xml:space="preserve"> </w:t>
      </w:r>
      <w:r w:rsidR="008C09A1">
        <w:t xml:space="preserve">Ook sprak hij de Conventie toe met </w:t>
      </w:r>
      <w:r w:rsidR="00FF48A4">
        <w:t>de boodschap dat hij niet van de leden</w:t>
      </w:r>
      <w:r w:rsidR="008C09A1">
        <w:t xml:space="preserve"> verwachtte dat zij rechters zouden moeten zijn, aangezien Lodewijk XVI geen beklaagde moest zijn. Robespierre noemde een – volgens hem onvermijdelijke – dood van Lodewijk XVI een nationale daad ten gunste van het algemeen belang.</w:t>
      </w:r>
      <w:r w:rsidR="008C09A1">
        <w:rPr>
          <w:rStyle w:val="FootnoteReference"/>
        </w:rPr>
        <w:footnoteReference w:id="3"/>
      </w:r>
      <w:r w:rsidR="008C09A1">
        <w:t xml:space="preserve"> De jonge </w:t>
      </w:r>
      <w:r w:rsidR="008C09A1">
        <w:rPr>
          <w:i/>
        </w:rPr>
        <w:t xml:space="preserve">Montagnard </w:t>
      </w:r>
      <w:r w:rsidR="00D53607" w:rsidRPr="008C09A1">
        <w:t>Saint</w:t>
      </w:r>
      <w:r w:rsidR="00D53607">
        <w:t>-Just ging nog verder en ontkende stellig dat er een juridische verhoud</w:t>
      </w:r>
      <w:r w:rsidR="008C09A1">
        <w:t>ing bestond tussen de koning en</w:t>
      </w:r>
      <w:r w:rsidR="00FF48A4">
        <w:t xml:space="preserve"> het</w:t>
      </w:r>
      <w:r w:rsidR="00D53607">
        <w:t xml:space="preserve"> volk en noemde de grondwet van 1791, die de koning onschendbaar </w:t>
      </w:r>
      <w:r w:rsidR="00FF48A4">
        <w:t>verklaard</w:t>
      </w:r>
      <w:r w:rsidR="00D53607">
        <w:t>e, ongeldig. Volgens Saint-Just was de koning een crimineel</w:t>
      </w:r>
      <w:r w:rsidR="00FF48A4">
        <w:t>, simpelweg omdat hij</w:t>
      </w:r>
      <w:r w:rsidR="00D53607">
        <w:t xml:space="preserve"> koning was, en </w:t>
      </w:r>
      <w:r w:rsidR="00E927EB">
        <w:t>daarom moest hij direct geëxecuteerd worden en niet vervolgd in een proces.</w:t>
      </w:r>
      <w:r w:rsidR="00E927EB">
        <w:rPr>
          <w:rStyle w:val="FootnoteReference"/>
        </w:rPr>
        <w:footnoteReference w:id="4"/>
      </w:r>
      <w:r w:rsidR="00E927EB">
        <w:br/>
        <w:t xml:space="preserve">Aan de andere kant zagen bijna alle Girondijnen Lodewijk XVI als een verrader van de Revolutie, maar zij konden het niet eens worden over wat er met hem moest gebeuren. Door </w:t>
      </w:r>
      <w:r w:rsidR="00FF48A4">
        <w:t>deze verdeeldheid en het daardoor</w:t>
      </w:r>
      <w:r w:rsidR="00E927EB">
        <w:t xml:space="preserve"> veroorzaakte gebrek aan daadkracht waren zij niet sterk genoeg om het proces te </w:t>
      </w:r>
      <w:r w:rsidR="00E927EB">
        <w:lastRenderedPageBreak/>
        <w:t>voorkomen of uit te stellen.</w:t>
      </w:r>
      <w:r w:rsidR="00F13DB5">
        <w:rPr>
          <w:rStyle w:val="FootnoteReference"/>
        </w:rPr>
        <w:footnoteReference w:id="5"/>
      </w:r>
      <w:r w:rsidR="00025C7B">
        <w:t xml:space="preserve"> </w:t>
      </w:r>
      <w:r w:rsidR="00E927EB">
        <w:t>Wel waren de Girondijnen het eens over de executie</w:t>
      </w:r>
      <w:r w:rsidR="00FF48A4">
        <w:t xml:space="preserve"> van Lodewijk XVI: deze moest</w:t>
      </w:r>
      <w:r w:rsidR="00E927EB">
        <w:t xml:space="preserve"> voorkomen worden, of de uitvoering van zijn vonnis moest vertraagd worden. </w:t>
      </w:r>
      <w:r w:rsidR="005502F6">
        <w:t xml:space="preserve">Girondijnen als Brissot en Vergniaud, die grote voorstanders waren van een Europese oorlog, waren opeens gematigd geworden en vreesden revolutionair extremisme dat in Parijs de kop op zou steken wanneer Lodewijk XVI ter dood veroordeeld zou worden. </w:t>
      </w:r>
      <w:r w:rsidR="003458BB">
        <w:t>Toen het proces bijna afgelopen was stelden de Girondijnen</w:t>
      </w:r>
      <w:r w:rsidR="0095774E">
        <w:t xml:space="preserve"> voor om het</w:t>
      </w:r>
      <w:r w:rsidR="005502F6">
        <w:t xml:space="preserve"> oordeel van de Conventie eerst voor te leggen aan </w:t>
      </w:r>
      <w:r w:rsidR="004878CF">
        <w:t>het volk</w:t>
      </w:r>
      <w:r w:rsidR="003458BB">
        <w:t>, zodat het doodvonnis in ieder geval uitgesteld zou worden en misschien zelfs geannuleerd.</w:t>
      </w:r>
      <w:r w:rsidR="005502F6">
        <w:t xml:space="preserve"> De Girondijnen </w:t>
      </w:r>
      <w:r w:rsidR="004878CF">
        <w:t>hoopten</w:t>
      </w:r>
      <w:r w:rsidR="005502F6">
        <w:t xml:space="preserve"> dat dit voorstel niet </w:t>
      </w:r>
      <w:r w:rsidR="004878CF">
        <w:t>weggestemd</w:t>
      </w:r>
      <w:r w:rsidR="005502F6">
        <w:t xml:space="preserve"> zo</w:t>
      </w:r>
      <w:r w:rsidR="004878CF">
        <w:t>u worden aangezien het de r</w:t>
      </w:r>
      <w:r w:rsidR="005502F6">
        <w:t xml:space="preserve">evolutionaire geest volgde: het volk zou namelijk beslissen en niet slechts één orgaan. De </w:t>
      </w:r>
      <w:r w:rsidR="005502F6">
        <w:rPr>
          <w:i/>
        </w:rPr>
        <w:t>Montagnards</w:t>
      </w:r>
      <w:r w:rsidR="005502F6">
        <w:t xml:space="preserve"> dachten hier echter anders over, aangezien zij niet wensten dat de souvereiniteit van de Conventie aangetast </w:t>
      </w:r>
      <w:r w:rsidR="004878CF">
        <w:t>zou worden</w:t>
      </w:r>
      <w:r w:rsidR="005502F6">
        <w:t>.</w:t>
      </w:r>
      <w:r w:rsidR="00B3624C">
        <w:t xml:space="preserve"> Het voorstel werd daarom niet aangenomen.</w:t>
      </w:r>
      <w:r w:rsidR="005502F6">
        <w:rPr>
          <w:rStyle w:val="FootnoteReference"/>
        </w:rPr>
        <w:footnoteReference w:id="6"/>
      </w:r>
      <w:r w:rsidR="005502F6">
        <w:t xml:space="preserve"> Dat de </w:t>
      </w:r>
      <w:r w:rsidR="005502F6">
        <w:rPr>
          <w:i/>
        </w:rPr>
        <w:t>Montagnards</w:t>
      </w:r>
      <w:r w:rsidR="005502F6">
        <w:t xml:space="preserve"> op dit moment hun radicale </w:t>
      </w:r>
      <w:r w:rsidR="00185908">
        <w:t xml:space="preserve">standpunten overboord gooiden – zij waren immers voor een </w:t>
      </w:r>
      <w:r w:rsidR="00C25875">
        <w:t>r</w:t>
      </w:r>
      <w:r w:rsidR="00185908">
        <w:t xml:space="preserve">evolutie van het volk – zegt veel over de politieke belangen die op het spel stonden. Wat de Girondijnen verder bemoeilijkte </w:t>
      </w:r>
      <w:r w:rsidR="004878CF">
        <w:t xml:space="preserve">de terechtstelling van de koning te voorkomen </w:t>
      </w:r>
      <w:r w:rsidR="00185908">
        <w:t xml:space="preserve">was dat hun tegenstanders </w:t>
      </w:r>
      <w:r w:rsidR="004878CF">
        <w:t xml:space="preserve">hen </w:t>
      </w:r>
      <w:r w:rsidR="00185908">
        <w:t>beschuldig</w:t>
      </w:r>
      <w:r w:rsidR="004878CF">
        <w:t>d</w:t>
      </w:r>
      <w:r w:rsidR="00185908">
        <w:t xml:space="preserve">en van royalistische </w:t>
      </w:r>
      <w:r w:rsidR="004878CF">
        <w:t>sentimenten. Zij wilden</w:t>
      </w:r>
      <w:r w:rsidR="00185908">
        <w:t xml:space="preserve"> slechts </w:t>
      </w:r>
      <w:r w:rsidR="004878CF">
        <w:t>matiging van de Conventie, maar slaagden daa</w:t>
      </w:r>
      <w:r w:rsidR="00185908">
        <w:t>r niet in</w:t>
      </w:r>
      <w:r w:rsidR="004878CF">
        <w:t xml:space="preserve"> door de algemene afschuw van</w:t>
      </w:r>
      <w:r w:rsidR="00185908">
        <w:t xml:space="preserve"> Lodewijk XVI en de angst</w:t>
      </w:r>
      <w:r w:rsidR="004878CF">
        <w:t xml:space="preserve"> voor</w:t>
      </w:r>
      <w:r w:rsidR="00185908">
        <w:t xml:space="preserve"> royalistische ideeën.</w:t>
      </w:r>
    </w:p>
    <w:p w:rsidR="0033364B" w:rsidRPr="005502F6" w:rsidRDefault="0033364B" w:rsidP="004A0890">
      <w:r>
        <w:t>Zo belandde Lodewijk op 21 januari 1793 onder de guillotine. Maar was hij daadwerkelijk schuldig aan de misdaden die door de Conventie werden opgesteld? Had hij tussen 1789 en 1792 zich zo gedragen dat hij des doods schuldig was? Deze vragen zijn nog altijd niet volledig beantwoord en hoop ik in deze scriptie te beantwoorden.</w:t>
      </w:r>
    </w:p>
    <w:p w:rsidR="005D1AE9" w:rsidRDefault="00102147" w:rsidP="004A0890">
      <w:r>
        <w:rPr>
          <w:b/>
        </w:rPr>
        <w:t>Belang</w:t>
      </w:r>
      <w:r>
        <w:rPr>
          <w:b/>
        </w:rPr>
        <w:br/>
      </w:r>
      <w:r w:rsidR="00466BEC">
        <w:t>De Franse Revolutie is nog altijd, ruim twee eeuwen later, een zeer interessante periode uit de Europese geschiedenis. Lodewijk XVI staat centraal in vele theoriën en argumenten over de Franse Revolutie</w:t>
      </w:r>
      <w:r w:rsidR="006C4749">
        <w:t>. Deze theori</w:t>
      </w:r>
      <w:r w:rsidR="00FE5AC5">
        <w:t>e</w:t>
      </w:r>
      <w:r w:rsidR="006C4749">
        <w:t>ën</w:t>
      </w:r>
      <w:r w:rsidR="00790EC8">
        <w:t xml:space="preserve"> en argumenten staan echter vaak</w:t>
      </w:r>
      <w:r w:rsidR="006C4749">
        <w:t xml:space="preserve"> haaks op elkaar</w:t>
      </w:r>
      <w:r w:rsidR="00790EC8">
        <w:t>:</w:t>
      </w:r>
      <w:r w:rsidR="006C4749">
        <w:t xml:space="preserve"> er is dus nog altijd een discussie gaande over de persoon van Lodewijk XVI. Volgens sommige historici was Lodewijk XVI een tragisch figuur, beland in een systeem waar hij niet mee kon omgaan en ondervond hij problemen die hij zelf niet kon oplossen. Volgens andere historici had hij hier wel alle mogelijkheden toe, maar heeft hij het zelf verbruid, wat uiteindelijk tot zijn dood zou leiden. </w:t>
      </w:r>
      <w:r w:rsidR="00790EC8">
        <w:t>Over het proces van de koning lopen de meningen dan ook uiteen</w:t>
      </w:r>
      <w:r w:rsidR="006C4749">
        <w:t xml:space="preserve">. Volgens de ene historicus werd hij veroordeeld voor misdaden die hij nooit had gepleegd en stonden de revolutionairen, met de </w:t>
      </w:r>
      <w:r w:rsidR="00FE5AC5">
        <w:rPr>
          <w:i/>
        </w:rPr>
        <w:t>Montagnards</w:t>
      </w:r>
      <w:r w:rsidR="006C4749">
        <w:t xml:space="preserve"> voorop, aan de verkeerde kant van de geschiedenis en hadden zij de koning juridisch gezien niet ter dood mogen veroordelen. Aan de andere kant staan er historici die stellen dat de dood van Lodewijk XVI volledi</w:t>
      </w:r>
      <w:r w:rsidR="00C25875">
        <w:t xml:space="preserve">g aan hemzelf te wijten was en </w:t>
      </w:r>
      <w:r w:rsidR="006C4749">
        <w:t>hij wel misdaden</w:t>
      </w:r>
      <w:r w:rsidR="00C25875">
        <w:t xml:space="preserve"> had</w:t>
      </w:r>
      <w:r w:rsidR="006C4749">
        <w:t xml:space="preserve"> gepleegd, waardoor zij de</w:t>
      </w:r>
      <w:r w:rsidR="00C25875">
        <w:t xml:space="preserve"> mening toegedaan zijn dat hij </w:t>
      </w:r>
      <w:r w:rsidR="006C4749">
        <w:t>terecht veroordeeld is.</w:t>
      </w:r>
      <w:r w:rsidR="00790EC8">
        <w:br/>
        <w:t xml:space="preserve">Wat verder </w:t>
      </w:r>
      <w:r w:rsidR="00C25875">
        <w:t>vermeldens</w:t>
      </w:r>
      <w:r w:rsidR="00790EC8">
        <w:t xml:space="preserve">waardig is, is dat het proces van Lodewijk XVI vaak weinig bladzijden </w:t>
      </w:r>
      <w:r w:rsidR="00FE5AC5">
        <w:t>krijgt</w:t>
      </w:r>
      <w:r w:rsidR="00790EC8">
        <w:t xml:space="preserve"> in de geschiedenisboeken. </w:t>
      </w:r>
      <w:r w:rsidR="00FE5AC5">
        <w:t xml:space="preserve">In </w:t>
      </w:r>
      <w:r w:rsidR="00790EC8">
        <w:t xml:space="preserve">de handboeken over de Franse Revolutie wordt deze gebeurtenis </w:t>
      </w:r>
      <w:r w:rsidR="00C25875">
        <w:t>veelal</w:t>
      </w:r>
      <w:r w:rsidR="00790EC8">
        <w:t xml:space="preserve"> summier </w:t>
      </w:r>
      <w:r w:rsidR="00FE5AC5">
        <w:t>afgedaan</w:t>
      </w:r>
      <w:r w:rsidR="00790EC8">
        <w:t xml:space="preserve"> en de biografi</w:t>
      </w:r>
      <w:r w:rsidR="006D53C0">
        <w:t>e</w:t>
      </w:r>
      <w:r w:rsidR="00790EC8">
        <w:t xml:space="preserve">ën over Lodewijk XVI zijn ook te algemeen van aard en laten niet </w:t>
      </w:r>
      <w:r w:rsidR="006D53C0">
        <w:t>duidelijk zien wat er gebeurde tijdens</w:t>
      </w:r>
      <w:r w:rsidR="00790EC8">
        <w:t xml:space="preserve"> het proces, </w:t>
      </w:r>
      <w:r w:rsidR="006D53C0">
        <w:t>zij concentreren zich op de</w:t>
      </w:r>
      <w:r w:rsidR="00790EC8">
        <w:t xml:space="preserve"> persoonlijke geschiedenis van Lodewijk XVI en </w:t>
      </w:r>
      <w:r w:rsidR="006D53C0">
        <w:t>de</w:t>
      </w:r>
      <w:r w:rsidR="00790EC8">
        <w:t xml:space="preserve"> woorden </w:t>
      </w:r>
      <w:r w:rsidR="006D53C0">
        <w:t xml:space="preserve">die </w:t>
      </w:r>
      <w:r w:rsidR="00790EC8">
        <w:t xml:space="preserve">hij sprak </w:t>
      </w:r>
      <w:r w:rsidR="006D53C0">
        <w:t xml:space="preserve">voor </w:t>
      </w:r>
      <w:r w:rsidR="00790EC8">
        <w:t>de voltrekking van het vonnis. De boeken van Michael Walzer en David Paul Jordan zijn de belangrijke uitzonderingen hierop</w:t>
      </w:r>
      <w:r w:rsidR="00C25875">
        <w:t>.</w:t>
      </w:r>
      <w:r w:rsidR="00790EC8">
        <w:t xml:space="preserve"> </w:t>
      </w:r>
      <w:r w:rsidR="00C25875">
        <w:t>D</w:t>
      </w:r>
      <w:r w:rsidR="00790EC8">
        <w:t xml:space="preserve">e eerste </w:t>
      </w:r>
      <w:r w:rsidR="006D53C0">
        <w:t>gaat vooral diep in</w:t>
      </w:r>
      <w:r w:rsidR="00790EC8">
        <w:t xml:space="preserve"> op de </w:t>
      </w:r>
      <w:r w:rsidR="006D53C0">
        <w:t>juridische aspecten van het proces</w:t>
      </w:r>
      <w:r w:rsidR="00933585">
        <w:t xml:space="preserve"> en behandelt </w:t>
      </w:r>
      <w:r w:rsidR="00C25875">
        <w:t>verdere</w:t>
      </w:r>
      <w:r w:rsidR="00933585">
        <w:t xml:space="preserve"> en politieke </w:t>
      </w:r>
      <w:r w:rsidR="00933585">
        <w:lastRenderedPageBreak/>
        <w:t>problemen die naar voren kwamen</w:t>
      </w:r>
      <w:r w:rsidR="00C25875">
        <w:t>, niet</w:t>
      </w:r>
      <w:r w:rsidR="00933585">
        <w:t xml:space="preserve"> wat er precies gebeurde. De tweede </w:t>
      </w:r>
      <w:r w:rsidR="00C25875">
        <w:t>ging</w:t>
      </w:r>
      <w:r w:rsidR="00933585">
        <w:t xml:space="preserve"> compleet </w:t>
      </w:r>
      <w:r w:rsidR="00C25875">
        <w:t>anders te werk</w:t>
      </w:r>
      <w:r w:rsidR="00933585">
        <w:t>: het boek van David Paul Jordan is geen analytische studie van het proces, maar vertelt het verhaal – al is het wel het volledige verhaal – van het proces van de koning. Deze boeken zijn daarom ook niet ideaal om te fungeren als standaardwerk over het proces.</w:t>
      </w:r>
    </w:p>
    <w:p w:rsidR="006A7E05" w:rsidRDefault="006C4749" w:rsidP="004A0890">
      <w:r>
        <w:t xml:space="preserve">Kortom, </w:t>
      </w:r>
      <w:r w:rsidR="006A7E05">
        <w:t>er heerst veel onduidelijkheid,</w:t>
      </w:r>
      <w:r>
        <w:t xml:space="preserve"> onenigheid</w:t>
      </w:r>
      <w:r w:rsidR="006A7E05">
        <w:t xml:space="preserve"> en controverse</w:t>
      </w:r>
      <w:r>
        <w:t xml:space="preserve"> over Lodewijk XVI en het proces dat tegen h</w:t>
      </w:r>
      <w:r w:rsidR="006D53C0">
        <w:t xml:space="preserve">em gevoerd werd. Daarom zie ik </w:t>
      </w:r>
      <w:r>
        <w:t xml:space="preserve">duidelijk </w:t>
      </w:r>
      <w:r w:rsidR="006D53C0">
        <w:t>ruimte voor mijn scriptie en wil ik de</w:t>
      </w:r>
      <w:r>
        <w:t xml:space="preserve"> onduidelijkhei</w:t>
      </w:r>
      <w:r w:rsidR="006D53C0">
        <w:t>d en onenigheid onderzoeken om</w:t>
      </w:r>
      <w:r>
        <w:t xml:space="preserve"> tot een conclusie te komen die, terwijl ik alle stromingen in mijn onderzoek mee zal nemen</w:t>
      </w:r>
      <w:r w:rsidR="006A7E05">
        <w:t xml:space="preserve">, </w:t>
      </w:r>
      <w:r w:rsidR="006D53C0">
        <w:t>helder</w:t>
      </w:r>
      <w:r w:rsidR="006A7E05">
        <w:t xml:space="preserve"> is en een antwoord zal geven op de hierboven geformuleerde hoofdvraag</w:t>
      </w:r>
      <w:r w:rsidR="006D53C0">
        <w:t>.</w:t>
      </w:r>
      <w:r w:rsidR="00790EC8">
        <w:t xml:space="preserve"> Daarnaast hoop ik door middel van dit paper een overzicht te </w:t>
      </w:r>
      <w:r w:rsidR="006D53C0">
        <w:t>geven</w:t>
      </w:r>
      <w:r w:rsidR="00790EC8">
        <w:t xml:space="preserve"> van wat er gebeurde </w:t>
      </w:r>
      <w:r w:rsidR="00C25875">
        <w:t>tijdens</w:t>
      </w:r>
      <w:r w:rsidR="00790EC8">
        <w:t xml:space="preserve"> het proces van Lodewijk XVI.</w:t>
      </w:r>
    </w:p>
    <w:p w:rsidR="00FD716C" w:rsidRDefault="00FD716C" w:rsidP="00FD716C">
      <w:r>
        <w:rPr>
          <w:b/>
        </w:rPr>
        <w:t>Historiografie</w:t>
      </w:r>
      <w:r>
        <w:rPr>
          <w:b/>
        </w:rPr>
        <w:br/>
      </w:r>
      <w:r>
        <w:t>Het hard</w:t>
      </w:r>
      <w:r w:rsidR="00C25875">
        <w:t>st over de koning oordeelt</w:t>
      </w:r>
      <w:r>
        <w:t xml:space="preserve"> Albert Goodwin, die in een korte passage over het proces weinig goeds te zeggen heeft over Lodewijk XVI. In zijn werk uit 1953, getiteld </w:t>
      </w:r>
      <w:r>
        <w:rPr>
          <w:i/>
        </w:rPr>
        <w:t>The French Revolution</w:t>
      </w:r>
      <w:r>
        <w:t>, kiest hij er dan ook voor om zich te concentreren op de Conventie en de argumenten die zij had. Wel zegt Goodwin dat het duidelijk was dat de koning verraad had gepleegd en hiervoor terecht kon worden gesteld.</w:t>
      </w:r>
      <w:r>
        <w:rPr>
          <w:rStyle w:val="FootnoteReference"/>
        </w:rPr>
        <w:footnoteReference w:id="7"/>
      </w:r>
      <w:r>
        <w:t xml:space="preserve"> Hier</w:t>
      </w:r>
      <w:r w:rsidR="00C25875">
        <w:t>mee</w:t>
      </w:r>
      <w:r>
        <w:t xml:space="preserve"> staat hij aan het einde van één kant van het spectrum, aangezien anderen ook argumenten aandragen die voor de koning spreken.</w:t>
      </w:r>
      <w:r>
        <w:br/>
        <w:t xml:space="preserve">Albert Soboul sloeg in 1972 een andere richting in. Hij stelt dat de leden van de Conventie alle schepen achter zich hadden verbrand door de koning te executeren en beargumenteert dit met de inhoud van de toespraken die in de Conventie gehouden werden. Er was voor de revolutionairen geen weg terug. Soboul beschouwt de discussie tussen de Girondijnen en de </w:t>
      </w:r>
      <w:r>
        <w:rPr>
          <w:i/>
        </w:rPr>
        <w:t xml:space="preserve">Montagnards </w:t>
      </w:r>
      <w:r>
        <w:t xml:space="preserve">als het hoogtepunt van de discussies tussen het Oude Europa en de Revolutionairen. Hij gaat echter niet in op de vraag of de schuld van de koning </w:t>
      </w:r>
      <w:r w:rsidR="00C25875">
        <w:t>de doodstraf rechtvaardigde;</w:t>
      </w:r>
      <w:r>
        <w:t xml:space="preserve"> wel behandelt hij de argumenten van Saint-Just en Robespierre uitvoeriger dan de argumenten van de Girondijnen.</w:t>
      </w:r>
      <w:r>
        <w:br/>
        <w:t xml:space="preserve">Tussen deze </w:t>
      </w:r>
      <w:r w:rsidR="00C25875">
        <w:t>historici</w:t>
      </w:r>
      <w:r>
        <w:t xml:space="preserve"> gaat de discussie vooral over de vraag of de Fransen de dood van hun koning als een overwinning zagen en of ze er gelukkig mee waren. In het boek </w:t>
      </w:r>
      <w:r>
        <w:rPr>
          <w:i/>
        </w:rPr>
        <w:t xml:space="preserve">Regicide and Revolution </w:t>
      </w:r>
      <w:r>
        <w:t>uit 1974, waarvan Michael Walzer de hoofdredacteur is, komt de vraag aan de orde of Lodewijk XVI daadwerkelijk des doods schuldig was. Te midden van de wirwar aan juridische termen en gevolgtrekkingen stelt Walzer dat er wel degelijk reden was om Lodewijk XVI te vervolgen, aangezien hij daadwerkelijk criminele daden had verricht. Hij had getracht het revolutionaire regime omver te werpen en de monarchie te herstellen met de hulp van buitenlandse legers. Volgens Walzer zijn er twee mogelijke manieren om hiernaar te kijken. Volgens degenen die Lodewijk XVI steunden was hij slechts schuldig aan een mislukte poging tot het bereiken van deze doelen. Maar volgens Walzer getuigden zijn acties van verraad aan het Franse volk, dat de vergaderingen had bijeengeroepen die Lodewijk XVI wilde omverwerpen. Dit was verraad, waar Lodewijk als een man en burger volgens Walzer voor kon worden gestraft.</w:t>
      </w:r>
      <w:r>
        <w:rPr>
          <w:rStyle w:val="FootnoteReference"/>
        </w:rPr>
        <w:footnoteReference w:id="8"/>
      </w:r>
      <w:r>
        <w:t xml:space="preserve"> Daarnaast gaat Walzer net als Soboul in op de emoties van degenen die Lodewijk XVI veroordeelden  </w:t>
      </w:r>
      <w:r w:rsidR="00C25875">
        <w:t>tot de doodstraf</w:t>
      </w:r>
      <w:r>
        <w:t xml:space="preserve">. Walzer voert aan dat er geen bewijs is </w:t>
      </w:r>
      <w:r w:rsidR="00C25875">
        <w:t>van de stelling</w:t>
      </w:r>
      <w:r>
        <w:t xml:space="preserve"> dat een grote groep de executie van de koning zag als een daad van wraakzucht</w:t>
      </w:r>
      <w:r w:rsidR="00C25875">
        <w:t xml:space="preserve"> van het volk</w:t>
      </w:r>
      <w:r>
        <w:t xml:space="preserve">, omdat er weinig mensen riepen om wraak. Walzer </w:t>
      </w:r>
      <w:r w:rsidR="00C25875">
        <w:t>meent</w:t>
      </w:r>
      <w:r>
        <w:t xml:space="preserve"> daarom dat er een andere reden was om de koning terecht te stellen, namelijk om het volk duidelijk te maken dat de koning een misdrijf had begaan. Wanneer de koning gestraft </w:t>
      </w:r>
      <w:r w:rsidR="00C25875">
        <w:t>zou worden</w:t>
      </w:r>
      <w:r>
        <w:t xml:space="preserve"> op een minder radicale manier – zoals </w:t>
      </w:r>
      <w:r>
        <w:lastRenderedPageBreak/>
        <w:t>gevangenschap – of überhaupt niet gestraft zou worden, zou het volk het idee krijgen dat koninklijk verraad minder serieus was dan verraad van zijn onderdanen. De Conventie vond dat iedereen op dezelfde manier berecht moest worden en daarom vond zij de dood van  Lodewijk XVI  via een publieke executie een passende maatregel. Op een andere manier was niet duidelijk dat koninklijk verraad zwaar gestraft werd.</w:t>
      </w:r>
      <w:r>
        <w:rPr>
          <w:rStyle w:val="FootnoteReference"/>
        </w:rPr>
        <w:footnoteReference w:id="9"/>
      </w:r>
      <w:r>
        <w:br/>
        <w:t xml:space="preserve">Wat David Paul Jordan bijzonder vond aan het proces is dat Lodewijk XVI slechts twee keer voor zijn aanklagers verscheen. In zijn werk </w:t>
      </w:r>
      <w:r>
        <w:rPr>
          <w:i/>
        </w:rPr>
        <w:t>The King’s Trial</w:t>
      </w:r>
      <w:r>
        <w:t xml:space="preserve"> stelt hij daarom dat Lodewijk XVI niet </w:t>
      </w:r>
      <w:r w:rsidR="00C25875">
        <w:t>centraal stond</w:t>
      </w:r>
      <w:r>
        <w:t xml:space="preserve"> in zijn eigen proces, maar dat het proces door andere problemen (zoals de strijd tussen de </w:t>
      </w:r>
      <w:r>
        <w:rPr>
          <w:i/>
        </w:rPr>
        <w:t xml:space="preserve">Montagnards </w:t>
      </w:r>
      <w:r>
        <w:t>en de Girondijnen) werd opgeslokt.</w:t>
      </w:r>
      <w:r>
        <w:rPr>
          <w:rStyle w:val="FootnoteReference"/>
        </w:rPr>
        <w:footnoteReference w:id="10"/>
      </w:r>
      <w:r>
        <w:t xml:space="preserve"> Jordan heeft </w:t>
      </w:r>
      <w:r w:rsidR="00C25875">
        <w:t xml:space="preserve">in </w:t>
      </w:r>
      <w:r>
        <w:t xml:space="preserve">zijn boek geprobeerd het verhaal </w:t>
      </w:r>
      <w:r w:rsidR="00C25875">
        <w:t xml:space="preserve">van </w:t>
      </w:r>
      <w:r>
        <w:t>het proces van de koning zo volledig moge</w:t>
      </w:r>
      <w:r w:rsidR="00C25875">
        <w:t xml:space="preserve">lijk te vertellen en behandelt </w:t>
      </w:r>
      <w:r>
        <w:t>de gebeurtenissen van beide zijden. Hij is geen groot fan van Robespierre, die hij persoonlijk verantwoordelijk houdt voor het feit dat Lodewijk XVI naar de guillotine is gestuurd.</w:t>
      </w:r>
      <w:r>
        <w:rPr>
          <w:rStyle w:val="FootnoteReference"/>
        </w:rPr>
        <w:footnoteReference w:id="11"/>
      </w:r>
      <w:r>
        <w:t xml:space="preserve"> Maar over Lodewijk XVI is Jordan ook niet positief</w:t>
      </w:r>
      <w:r w:rsidR="00625F35">
        <w:t>;</w:t>
      </w:r>
      <w:r>
        <w:t xml:space="preserve"> </w:t>
      </w:r>
      <w:r w:rsidR="00625F35">
        <w:t>hij oordeelt</w:t>
      </w:r>
      <w:r>
        <w:t>, net als ve</w:t>
      </w:r>
      <w:r w:rsidR="00625F35">
        <w:t>e</w:t>
      </w:r>
      <w:r>
        <w:t xml:space="preserve">l anderen, dat </w:t>
      </w:r>
      <w:r w:rsidR="00625F35">
        <w:t>deze</w:t>
      </w:r>
      <w:r>
        <w:t xml:space="preserve"> de tact miste om een goede monarch te zijn. Dit blijkt uit de beschrijving die Jordan geeft over </w:t>
      </w:r>
      <w:r w:rsidR="00625F35">
        <w:t xml:space="preserve">de </w:t>
      </w:r>
      <w:r>
        <w:t xml:space="preserve">voorlegging van het doodvonnis aan het volk: Lodewijk XVI zag deze manoeuvre als een mogelijkheid om de dood te ontlopen. Hij had echter, volgens Jordan, nooit eerder in zijn achttien jaar </w:t>
      </w:r>
      <w:r w:rsidR="00625F35">
        <w:t>op de troon geluisterd naar de wil van het volk</w:t>
      </w:r>
      <w:r>
        <w:t xml:space="preserve">, behalve toen hij opriep om </w:t>
      </w:r>
      <w:r>
        <w:rPr>
          <w:i/>
        </w:rPr>
        <w:t>cahiers de doléances</w:t>
      </w:r>
      <w:r>
        <w:t xml:space="preserve"> op te stellen. Lodewijk XVI wilde </w:t>
      </w:r>
      <w:r w:rsidR="00625F35">
        <w:t>nu</w:t>
      </w:r>
      <w:r>
        <w:t xml:space="preserve"> dat het v</w:t>
      </w:r>
      <w:r w:rsidR="00625F35">
        <w:t xml:space="preserve">olk, dat hij achtien jaar lang </w:t>
      </w:r>
      <w:r>
        <w:t xml:space="preserve">had genegeerd, </w:t>
      </w:r>
      <w:r w:rsidR="00625F35">
        <w:t>zou opstaan</w:t>
      </w:r>
      <w:r>
        <w:t xml:space="preserve"> om zijn hoofd te redden.</w:t>
      </w:r>
      <w:r>
        <w:rPr>
          <w:rStyle w:val="FootnoteReference"/>
        </w:rPr>
        <w:footnoteReference w:id="12"/>
      </w:r>
      <w:r>
        <w:t xml:space="preserve"> Jordan levert dus kritiek op  beide partijen en is er daarom naar mijn mening in ges</w:t>
      </w:r>
      <w:r w:rsidR="00625F35">
        <w:t>laagd om een evenwichtige</w:t>
      </w:r>
      <w:r>
        <w:t xml:space="preserve"> geschiedenis te schrijven van het proces. </w:t>
      </w:r>
      <w:r>
        <w:br/>
        <w:t xml:space="preserve">François Furet beschrijft in zijn meest invloedrijke werk </w:t>
      </w:r>
      <w:r>
        <w:rPr>
          <w:i/>
        </w:rPr>
        <w:t>La Révolution</w:t>
      </w:r>
      <w:r>
        <w:t xml:space="preserve"> uit 1988 uitgebreid welke kwesties er speelden voor Lodewijk XVI werd veroordeeld tot de dood. In de concluderende alinea’s behandelt hij de vraag of met de executie van Lodew</w:t>
      </w:r>
      <w:r w:rsidR="00625F35">
        <w:t>ijk XVI de koning werd vermoord,</w:t>
      </w:r>
      <w:r>
        <w:t xml:space="preserve"> of er een eind </w:t>
      </w:r>
      <w:r w:rsidR="00625F35">
        <w:t>werd gemaakt</w:t>
      </w:r>
      <w:r>
        <w:t xml:space="preserve"> aan een instituut dat volgens de publieke opinie al ten dode opgeschreven was. Furet steunt de tweede stelling, aangezien de Conventie naar zijn idee niet alleen Lodewijk XVI wilde doden, maar het instituut monarchie definitief uit de Franse geschiedenisboeken wilde schrappen. Volgens Furet </w:t>
      </w:r>
      <w:r w:rsidR="00625F35">
        <w:t xml:space="preserve">dachten </w:t>
      </w:r>
      <w:r>
        <w:t xml:space="preserve">degenen die voor de dood van de koning </w:t>
      </w:r>
      <w:r w:rsidR="00625F35">
        <w:t>stemden ook zo;</w:t>
      </w:r>
      <w:r>
        <w:t xml:space="preserve"> zij rekenden </w:t>
      </w:r>
      <w:r w:rsidR="00625F35">
        <w:t xml:space="preserve">erop </w:t>
      </w:r>
      <w:r>
        <w:t>dat er geen restauratie zou komen die hen niet tot criminelen zou veroordelen.</w:t>
      </w:r>
      <w:r>
        <w:rPr>
          <w:rStyle w:val="FootnoteReference"/>
        </w:rPr>
        <w:footnoteReference w:id="13"/>
      </w:r>
      <w:r>
        <w:t xml:space="preserve"> Hiermee staat Furet aan de kant van Soboul. Er zijn echter een paar verschillen.  Furet legt </w:t>
      </w:r>
      <w:r w:rsidR="00625F35">
        <w:t>de</w:t>
      </w:r>
      <w:r>
        <w:t xml:space="preserve"> nadruk op de motieven van de Girondijnen en </w:t>
      </w:r>
      <w:r>
        <w:rPr>
          <w:i/>
        </w:rPr>
        <w:t>Montagnards</w:t>
      </w:r>
      <w:r>
        <w:t xml:space="preserve"> en vertelt uitgebreider </w:t>
      </w:r>
      <w:r>
        <w:rPr>
          <w:i/>
        </w:rPr>
        <w:t>waarom</w:t>
      </w:r>
      <w:r>
        <w:t xml:space="preserve"> zij zo handelden. Een ander verschil is dat Soboul, zoals eerder gezegd, de discussie tussen beide partijen als hoogtepunt beschouw</w:t>
      </w:r>
      <w:r w:rsidR="00625F35">
        <w:t>de</w:t>
      </w:r>
      <w:r>
        <w:t xml:space="preserve"> van de discussie tussen het Oude Europa en de Revolutionairen.</w:t>
      </w:r>
      <w:r>
        <w:rPr>
          <w:rStyle w:val="FootnoteReference"/>
        </w:rPr>
        <w:footnoteReference w:id="14"/>
      </w:r>
      <w:r>
        <w:t xml:space="preserve"> Furet is hier een stuk genuanceerder in en gaat niet zo ver om een term als ‘hoogtepunt’ te gebruiken. In plaats daarvan neemt hij de tijd om het debat uiteen te zetten en te verwijzen na</w:t>
      </w:r>
      <w:r w:rsidR="00625F35">
        <w:t>ar wat er daadwerkelijk gebeurde</w:t>
      </w:r>
      <w:r>
        <w:t>, zonder hier een waardeoordeel aan te verbinden. Voor de rest zijn ze het eens.</w:t>
      </w:r>
      <w:r>
        <w:br/>
        <w:t xml:space="preserve">In 1989 kwamen er twee boeken uit met bijna compleet tegenovergestelde standpunten. </w:t>
      </w:r>
      <w:r w:rsidRPr="00354712">
        <w:rPr>
          <w:lang w:val="en-GB"/>
        </w:rPr>
        <w:t xml:space="preserve">William Doyle </w:t>
      </w:r>
      <w:proofErr w:type="spellStart"/>
      <w:r w:rsidR="00625F35">
        <w:rPr>
          <w:lang w:val="en-GB"/>
        </w:rPr>
        <w:t>publiceerde</w:t>
      </w:r>
      <w:proofErr w:type="spellEnd"/>
      <w:r w:rsidR="00625F35">
        <w:rPr>
          <w:lang w:val="en-GB"/>
        </w:rPr>
        <w:t xml:space="preserve"> </w:t>
      </w:r>
      <w:r w:rsidR="00625F35">
        <w:rPr>
          <w:i/>
          <w:lang w:val="en-GB"/>
        </w:rPr>
        <w:t>T</w:t>
      </w:r>
      <w:r w:rsidRPr="00354712">
        <w:rPr>
          <w:i/>
          <w:lang w:val="en-GB"/>
        </w:rPr>
        <w:t>he Oxford History of the French Revolution</w:t>
      </w:r>
      <w:r w:rsidR="00C20F72">
        <w:rPr>
          <w:i/>
          <w:lang w:val="en-GB"/>
        </w:rPr>
        <w:t xml:space="preserve"> </w:t>
      </w:r>
      <w:proofErr w:type="spellStart"/>
      <w:r w:rsidR="00C20F72">
        <w:rPr>
          <w:lang w:val="en-GB"/>
        </w:rPr>
        <w:t>en</w:t>
      </w:r>
      <w:proofErr w:type="spellEnd"/>
      <w:r w:rsidR="00C20F72">
        <w:rPr>
          <w:lang w:val="en-GB"/>
        </w:rPr>
        <w:t xml:space="preserve"> </w:t>
      </w:r>
      <w:r w:rsidRPr="00354712">
        <w:rPr>
          <w:lang w:val="en-GB"/>
        </w:rPr>
        <w:t xml:space="preserve">Simon </w:t>
      </w:r>
      <w:proofErr w:type="spellStart"/>
      <w:r w:rsidRPr="00354712">
        <w:rPr>
          <w:lang w:val="en-GB"/>
        </w:rPr>
        <w:t>Schama</w:t>
      </w:r>
      <w:proofErr w:type="spellEnd"/>
      <w:r w:rsidRPr="00354712">
        <w:rPr>
          <w:lang w:val="en-GB"/>
        </w:rPr>
        <w:t xml:space="preserve"> </w:t>
      </w:r>
      <w:proofErr w:type="spellStart"/>
      <w:r w:rsidR="00625F35">
        <w:rPr>
          <w:lang w:val="en-GB"/>
        </w:rPr>
        <w:t>publiceerde</w:t>
      </w:r>
      <w:proofErr w:type="spellEnd"/>
      <w:r w:rsidRPr="00354712">
        <w:rPr>
          <w:lang w:val="en-GB"/>
        </w:rPr>
        <w:t xml:space="preserve"> </w:t>
      </w:r>
      <w:r w:rsidRPr="00354712">
        <w:rPr>
          <w:i/>
          <w:lang w:val="en-GB"/>
        </w:rPr>
        <w:t>Citizens: A Chronicle of the French Revolution</w:t>
      </w:r>
      <w:r w:rsidRPr="00354712">
        <w:rPr>
          <w:lang w:val="en-GB"/>
        </w:rPr>
        <w:t xml:space="preserve">. </w:t>
      </w:r>
      <w:r w:rsidRPr="00354712">
        <w:t xml:space="preserve">Doyle </w:t>
      </w:r>
      <w:r>
        <w:t xml:space="preserve">is het in grote lijnen eens met </w:t>
      </w:r>
      <w:r w:rsidR="00625F35">
        <w:t xml:space="preserve">Soboul </w:t>
      </w:r>
      <w:r>
        <w:t xml:space="preserve">en </w:t>
      </w:r>
      <w:r w:rsidR="00625F35">
        <w:t>Furet</w:t>
      </w:r>
      <w:r>
        <w:t xml:space="preserve">, maar is wel een stuk harder tegenover de koning. Waar </w:t>
      </w:r>
      <w:r w:rsidR="00625F35">
        <w:t xml:space="preserve">Soboul </w:t>
      </w:r>
      <w:r>
        <w:t xml:space="preserve">en </w:t>
      </w:r>
      <w:r w:rsidR="00625F35">
        <w:t xml:space="preserve">Furet </w:t>
      </w:r>
      <w:r>
        <w:t xml:space="preserve">niet duidelijk ingaan op hoe </w:t>
      </w:r>
      <w:r>
        <w:lastRenderedPageBreak/>
        <w:t xml:space="preserve">Lodewijk XVI zich gedroeg tijdens zijn proces noemt Doyle hem simpelweg een leugenaar. </w:t>
      </w:r>
      <w:r w:rsidR="00625F35">
        <w:t xml:space="preserve">Volgens </w:t>
      </w:r>
      <w:r>
        <w:t xml:space="preserve">Doyle </w:t>
      </w:r>
      <w:r w:rsidR="00625F35">
        <w:t>was</w:t>
      </w:r>
      <w:r>
        <w:t xml:space="preserve"> de dood van Lodewijk XVI niet zozeer een overwinning, maar meer een uitdaging  voor de nieuw gevormde republiek; </w:t>
      </w:r>
      <w:r w:rsidR="00625F35">
        <w:t>hoewel</w:t>
      </w:r>
      <w:r>
        <w:t xml:space="preserve"> hij het met Soboul eens is dat met de dood van Lodewijk XVI een logische climax werd gecreëerd, zijn ze het op dit punt oneens. Soboul en Furet </w:t>
      </w:r>
      <w:r w:rsidR="00625F35">
        <w:t>beklemtonen</w:t>
      </w:r>
      <w:r>
        <w:t xml:space="preserve"> dat de leden van de Conventie wisten dat er geen weg terug was, </w:t>
      </w:r>
      <w:r w:rsidR="00625F35">
        <w:t xml:space="preserve">terwijl </w:t>
      </w:r>
      <w:r>
        <w:t xml:space="preserve">Doyle </w:t>
      </w:r>
      <w:r w:rsidR="00625F35">
        <w:t>de nadruk legt</w:t>
      </w:r>
      <w:r>
        <w:t xml:space="preserve"> op de angst die er heerste na de executie van Lodewijk XVI.  Volgens Doyle hadden de leden van de Conventie door dat zij met de veroordeling van Lodewijk XVI meer vijanden hadden gecreëerd en dat oude vijanden nog meer reden hadden om de Revolutie te bevechten.</w:t>
      </w:r>
      <w:r>
        <w:rPr>
          <w:rStyle w:val="FootnoteReference"/>
        </w:rPr>
        <w:footnoteReference w:id="15"/>
      </w:r>
      <w:r>
        <w:t xml:space="preserve"> Soboul en Furet wekken de indruk dat de dood van de koning wél een overwinning was. Furet gaat zelfs zo ver om Michelet aan te halen, d</w:t>
      </w:r>
      <w:r w:rsidR="00BD379C">
        <w:t xml:space="preserve">ie had geschreven </w:t>
      </w:r>
      <w:r>
        <w:t xml:space="preserve">dat </w:t>
      </w:r>
      <w:r w:rsidRPr="003672E1">
        <w:t>‘het nodig was om het belachelijke mysterie dat de barbaarse mens al zo lang tot een religie had verheven – namelijk koninklijke incarnatie – voor het daglicht te slepen, ten</w:t>
      </w:r>
      <w:r w:rsidR="00BD379C">
        <w:t xml:space="preserve"> </w:t>
      </w:r>
      <w:r w:rsidRPr="003672E1">
        <w:t>toon</w:t>
      </w:r>
      <w:r>
        <w:t xml:space="preserve"> te stellen en te openen</w:t>
      </w:r>
      <w:r w:rsidRPr="003672E1">
        <w:t>, zodat iedereen deze afgod, vol met insecten en wormen</w:t>
      </w:r>
      <w:r>
        <w:t>,</w:t>
      </w:r>
      <w:r w:rsidRPr="003672E1">
        <w:t xml:space="preserve"> kon zien</w:t>
      </w:r>
      <w:r>
        <w:t>.</w:t>
      </w:r>
      <w:r w:rsidRPr="003672E1">
        <w:t>’</w:t>
      </w:r>
      <w:r w:rsidRPr="00BD379C">
        <w:rPr>
          <w:rStyle w:val="FootnoteReference"/>
        </w:rPr>
        <w:footnoteReference w:id="16"/>
      </w:r>
      <w:r>
        <w:br/>
        <w:t>Simon Schama staat in zijn mening ver weg van William Doyle en beschouwt Lodewijk XVI als een triest figuur in de geschiedenis</w:t>
      </w:r>
      <w:r w:rsidR="00BD379C">
        <w:t>,</w:t>
      </w:r>
      <w:r>
        <w:t xml:space="preserve"> die het slachtoffer </w:t>
      </w:r>
      <w:r w:rsidR="00BD379C">
        <w:t>wa</w:t>
      </w:r>
      <w:r>
        <w:t>s van de tijd waarin hij leef</w:t>
      </w:r>
      <w:r w:rsidR="00BD379C">
        <w:t>de</w:t>
      </w:r>
      <w:r>
        <w:t>. Ook is hij een van de weinige historici die in een algemene geschiedenis van de Franse Revolutie  veel aandacht besteedt aan het proces van Lodewijk XVI. Dit doet hij op een  verhalende manier</w:t>
      </w:r>
      <w:r>
        <w:rPr>
          <w:rStyle w:val="FootnoteReference"/>
        </w:rPr>
        <w:footnoteReference w:id="17"/>
      </w:r>
      <w:r>
        <w:t xml:space="preserve">, maar buiten het streven naar het vertellen van een mooi verhaal zijn enkele interpretaties van het proces en de executie van de koning te vinden </w:t>
      </w:r>
      <w:r w:rsidR="00BD379C">
        <w:t>verschillen van</w:t>
      </w:r>
      <w:r>
        <w:t xml:space="preserve"> de interpretaties van de hiervoor </w:t>
      </w:r>
      <w:r w:rsidR="00BD379C">
        <w:t xml:space="preserve">genoemde historici. Hij is het </w:t>
      </w:r>
      <w:r>
        <w:t xml:space="preserve">wel eens met </w:t>
      </w:r>
      <w:r w:rsidR="00BD379C">
        <w:t xml:space="preserve">Soboul en </w:t>
      </w:r>
      <w:r>
        <w:t>Furet dat de Conventie niet de koning wilde vermoorden, maar het hele concept van een Frans koningschap over de kling wilde jagen.</w:t>
      </w:r>
      <w:r>
        <w:rPr>
          <w:rStyle w:val="FootnoteReference"/>
        </w:rPr>
        <w:footnoteReference w:id="18"/>
      </w:r>
      <w:r>
        <w:t xml:space="preserve"> </w:t>
      </w:r>
      <w:r w:rsidR="00BD379C">
        <w:t>Volgens</w:t>
      </w:r>
      <w:r>
        <w:t xml:space="preserve"> Schama </w:t>
      </w:r>
      <w:r w:rsidR="00BD379C">
        <w:t>was Lodewijk XVI een koning</w:t>
      </w:r>
      <w:r>
        <w:t xml:space="preserve"> die over het algemeen enkel goed probeerde te doen. Robespierre behandelt hij met een uiterst Brits gevoel voor sarcasme en het is duidelijk dat </w:t>
      </w:r>
      <w:r w:rsidR="00BD379C">
        <w:t>hij</w:t>
      </w:r>
      <w:r>
        <w:t xml:space="preserve"> geen goed woord voor hem over heeft.</w:t>
      </w:r>
      <w:r>
        <w:rPr>
          <w:rStyle w:val="FootnoteReference"/>
        </w:rPr>
        <w:footnoteReference w:id="19"/>
      </w:r>
      <w:r>
        <w:t xml:space="preserve"> Met dit standpunt bevindt hij zich tegenover William Doyle en Michael Walzer, die een stuk harder </w:t>
      </w:r>
      <w:r w:rsidR="00BD379C">
        <w:t>oordelen over</w:t>
      </w:r>
      <w:r>
        <w:t xml:space="preserve"> de koning. Minder ver hiervan</w:t>
      </w:r>
      <w:r w:rsidR="00BD379C">
        <w:t>daan</w:t>
      </w:r>
      <w:r>
        <w:t xml:space="preserve"> staan </w:t>
      </w:r>
      <w:r w:rsidR="00BD379C">
        <w:t xml:space="preserve">Soboul en </w:t>
      </w:r>
      <w:r>
        <w:t xml:space="preserve">Furet, die zich het liefst neutraal houden in deze discussie. </w:t>
      </w:r>
      <w:r>
        <w:br/>
        <w:t xml:space="preserve">Schama vindt een medestander in John Hardman. Hij noemt in zijn </w:t>
      </w:r>
      <w:r w:rsidR="00BD379C">
        <w:t>biografie</w:t>
      </w:r>
      <w:r>
        <w:t xml:space="preserve"> Lodewijk XVI letterlijk een tragisch figuur en stelt dat hij wel degelijk veel vaardigheden had die relevant waren voor het besturen van een land, zoals verstand van financiën en van buitenlandse zaken. Hardman noemt hem echter wel een besluiteloos man.</w:t>
      </w:r>
      <w:r>
        <w:rPr>
          <w:rStyle w:val="FootnoteReference"/>
        </w:rPr>
        <w:footnoteReference w:id="20"/>
      </w:r>
      <w:r>
        <w:t xml:space="preserve"> Ook schrijft Hardman op een zeer verhalende manier, waardoor </w:t>
      </w:r>
      <w:r w:rsidR="00BD379C">
        <w:t xml:space="preserve">het </w:t>
      </w:r>
      <w:r>
        <w:t>ook hier moeilijk is om zijn expliciete mening over het proces te achterhalen. Wel is het duidelijk dat Hardman gelooft in het goede van de koning, terwijl hij zijn mening over de Conventie in het midden laat.</w:t>
      </w:r>
      <w:r>
        <w:br/>
        <w:t xml:space="preserve">Het meest neutraal van alle genoemde historici is  Sylvia Neely, die zich er in haar </w:t>
      </w:r>
      <w:r>
        <w:rPr>
          <w:i/>
        </w:rPr>
        <w:t>A Concise History of the French Revolution</w:t>
      </w:r>
      <w:r>
        <w:t xml:space="preserve"> uit 2008 van weerhoudt om eigen uitspraken te doen over het proces en de </w:t>
      </w:r>
      <w:r>
        <w:lastRenderedPageBreak/>
        <w:t xml:space="preserve">schuld of onschuld van de koning. In haar summiere samenvatting van het proces </w:t>
      </w:r>
      <w:r w:rsidR="00BD379C">
        <w:t>wijst</w:t>
      </w:r>
      <w:r>
        <w:t xml:space="preserve"> ze wel kort </w:t>
      </w:r>
      <w:r w:rsidR="00BD379C">
        <w:t xml:space="preserve">op </w:t>
      </w:r>
      <w:r>
        <w:t xml:space="preserve">het debat over </w:t>
      </w:r>
      <w:r w:rsidR="00BD379C">
        <w:t xml:space="preserve">de </w:t>
      </w:r>
      <w:r>
        <w:t xml:space="preserve">onschendbaarheid van de koning en </w:t>
      </w:r>
      <w:r w:rsidR="00BD379C">
        <w:t xml:space="preserve">op </w:t>
      </w:r>
      <w:r>
        <w:t>de toespraken van Saint-Just en Robespierre. Wat Neely zelf vindt van het proces zegt zij niet.</w:t>
      </w:r>
      <w:r>
        <w:rPr>
          <w:rStyle w:val="FootnoteReference"/>
        </w:rPr>
        <w:footnoteReference w:id="21"/>
      </w:r>
      <w:r>
        <w:br/>
        <w:t xml:space="preserve">Alison Johnson </w:t>
      </w:r>
      <w:r w:rsidR="00BD379C">
        <w:t>gaat</w:t>
      </w:r>
      <w:r>
        <w:t xml:space="preserve"> in haar boek </w:t>
      </w:r>
      <w:r>
        <w:rPr>
          <w:i/>
        </w:rPr>
        <w:t>Louis XVI and the French Revolution</w:t>
      </w:r>
      <w:r>
        <w:t xml:space="preserve"> uit 2013 duidelijk uit</w:t>
      </w:r>
      <w:r w:rsidR="00BD379C">
        <w:t xml:space="preserve"> van</w:t>
      </w:r>
      <w:r>
        <w:t xml:space="preserve"> het standpunt van de koning, zoals de titel ook doet vermoeden. Het is dan ook geen verrassing dat zij positiever </w:t>
      </w:r>
      <w:r w:rsidR="00BD379C">
        <w:t>oordeelt</w:t>
      </w:r>
      <w:r>
        <w:t xml:space="preserve"> over Lodewijk XVI dan andere historici. Zo beschrijft zij uitvoerig hoe de koning met veel gratie zijn dood tegemoet trad en citeert zij veel uit koningsgezinde primaire bronnen. Uit haar epiloog is duidelijk op te maken dat zij de dood van Lodewijk XVI ziet als één grote tragedie, </w:t>
      </w:r>
      <w:r w:rsidR="00BD379C">
        <w:t>doe zijn vrouw en kinderen onnoemelijk verdriet deed</w:t>
      </w:r>
      <w:r>
        <w:t>. De terreur slaat zij over, op één gebeurtenis na, namelijk de dood van Robespierre, waarna “more sympathetic men took charge of the [royal] children”.</w:t>
      </w:r>
      <w:r>
        <w:rPr>
          <w:rStyle w:val="FootnoteReference"/>
        </w:rPr>
        <w:footnoteReference w:id="22"/>
      </w:r>
      <w:r>
        <w:t xml:space="preserve"> </w:t>
      </w:r>
      <w:r>
        <w:br/>
        <w:t xml:space="preserve">Belangrijker is echter wat zij over het proces zelf zegt. Johnson geeft toe dat Lodewijk XVI loog tijdens het proces, maar </w:t>
      </w:r>
      <w:r w:rsidR="004D382B">
        <w:t xml:space="preserve">speculeert </w:t>
      </w:r>
      <w:r>
        <w:t>zonder bewijs aan te voeren over de redenen  waarom hij loog. Een voorbeeld is dat Lodewijk XVI het bestaan van het geheim</w:t>
      </w:r>
      <w:r w:rsidR="004D382B">
        <w:t>e ijzeren kistje in de Tuilerieën ontkende;</w:t>
      </w:r>
      <w:r>
        <w:t xml:space="preserve"> </w:t>
      </w:r>
      <w:r w:rsidR="004D382B">
        <w:t>volgens</w:t>
      </w:r>
      <w:r>
        <w:t xml:space="preserve"> Johnson </w:t>
      </w:r>
      <w:r w:rsidR="004D382B">
        <w:t>deed hij dit</w:t>
      </w:r>
      <w:r>
        <w:t xml:space="preserve"> om mensen te beschermen met wie hij correspondeerde.</w:t>
      </w:r>
      <w:r>
        <w:rPr>
          <w:rStyle w:val="FootnoteReference"/>
        </w:rPr>
        <w:footnoteReference w:id="23"/>
      </w:r>
      <w:r w:rsidR="004D382B">
        <w:t xml:space="preserve"> Johnson blijft</w:t>
      </w:r>
      <w:r>
        <w:t xml:space="preserve"> stellig geloven dat Lodewijk XVI altijd het beste voor had met Frankrijk en de Fransen. Verder schrijft zij in een soortgelijke verhalende stijl als Simon Schama, waardoor het boek enerzijds aangrijpend is om te lezen, maar anderzijds de belangrijkste historische gebeurtenissen naar de achtergrond verdwijnen.</w:t>
      </w:r>
      <w:r>
        <w:br/>
        <w:t xml:space="preserve">P.M. Jones schrijft in zijn handboek uit 2014 zeer weinig over het proces, maar wat hij schrijft is duidelijk vanuit het standpunt van de </w:t>
      </w:r>
      <w:r>
        <w:rPr>
          <w:i/>
        </w:rPr>
        <w:t>Montagnards</w:t>
      </w:r>
      <w:r w:rsidR="004D382B">
        <w:rPr>
          <w:i/>
        </w:rPr>
        <w:t xml:space="preserve"> </w:t>
      </w:r>
      <w:r w:rsidR="004D382B">
        <w:t>bekeken</w:t>
      </w:r>
      <w:r>
        <w:t>. Het meest duidelijk komt dit naar voren uit</w:t>
      </w:r>
      <w:r w:rsidR="004D382B">
        <w:t xml:space="preserve"> het feit dat hij Lodewijk XVI</w:t>
      </w:r>
      <w:r>
        <w:t xml:space="preserve"> Louis Capet noemt, </w:t>
      </w:r>
      <w:r w:rsidR="004D382B">
        <w:t>terwijl</w:t>
      </w:r>
      <w:r>
        <w:t xml:space="preserve"> andere historici erg voorzichtig blijven met die naam.</w:t>
      </w:r>
      <w:r>
        <w:rPr>
          <w:rStyle w:val="FootnoteReference"/>
        </w:rPr>
        <w:footnoteReference w:id="24"/>
      </w:r>
    </w:p>
    <w:p w:rsidR="004C5292" w:rsidRDefault="00FD716C" w:rsidP="004C5292">
      <w:r>
        <w:rPr>
          <w:b/>
        </w:rPr>
        <w:t>De datum van de terechtstelling</w:t>
      </w:r>
      <w:r>
        <w:rPr>
          <w:b/>
        </w:rPr>
        <w:br/>
      </w:r>
      <w:r>
        <w:t xml:space="preserve">De Wetgevende Vergadering besloot op 10 augustus 1792 de monarchie tijdelijk op te heffen tot er een nationale Conventie samen </w:t>
      </w:r>
      <w:r w:rsidR="00EE5244">
        <w:t>zou zijn</w:t>
      </w:r>
      <w:r>
        <w:t xml:space="preserve"> gekomen om te beslissen over een nieuwe staatsvorm. Hoewel deze beslissing slechts een opschorting van de monarchie betekende, waren er maar weinig mensen die geloofden dat Lodewijk XVI de troon weer zou bestijgen zonder buitenlandse hulp. De vraag is daarom waarom het duurde tot december 1792 voordat Lodewijk XVI </w:t>
      </w:r>
      <w:r w:rsidR="00EE5244">
        <w:t>werd</w:t>
      </w:r>
      <w:r>
        <w:t xml:space="preserve"> berecht. De sleutel ligt bij de Conventie, die na stemrondes op 27 augustus en 2 september op 21 september 1792 samenkwam. Op deze dag werd direct beslist dat de monarchie zou worden afgeschaft.</w:t>
      </w:r>
      <w:r>
        <w:rPr>
          <w:rStyle w:val="FootnoteReference"/>
        </w:rPr>
        <w:footnoteReference w:id="25"/>
      </w:r>
      <w:r>
        <w:t xml:space="preserve"> Hier waren verschillende redenen voor. Allereerst was het vertrouwen in Lodewijk XVI als constitutioneel monarch zeer klein geworden </w:t>
      </w:r>
      <w:r w:rsidR="00EE5244">
        <w:t>toen</w:t>
      </w:r>
      <w:r>
        <w:t xml:space="preserve"> hij niet meewerkte </w:t>
      </w:r>
      <w:r w:rsidR="00EE5244">
        <w:t xml:space="preserve">aan </w:t>
      </w:r>
      <w:r>
        <w:t xml:space="preserve">voorstellen die de Wetgevende Vergadering aan hem voorlegde, zoals het vogelvrij verklaren van </w:t>
      </w:r>
      <w:r>
        <w:rPr>
          <w:i/>
        </w:rPr>
        <w:t xml:space="preserve">emigrés </w:t>
      </w:r>
      <w:r>
        <w:t>en het verplichten van de geestelijkheid om een nieuwe eed af te leggen. In beide gevallen gebruikte de koning zijn veto.</w:t>
      </w:r>
      <w:r>
        <w:br/>
        <w:t>Een andere reden ligt in de aard van de Conventie: de gekozen leden waren relatief jong, met driekwart van de leden tussen de 31 en 50 jaar oud. De mannen van deze generatie werden volwassen in de laatste jaren van Lodewijk XV of in de eerste hoopvolle jaren van Lodewijk XVI. Het was juist in deze tijd dat, door de schrijvers van de Verlichting, republikeinse ideeën opkwamen in de samenleving</w:t>
      </w:r>
      <w:r w:rsidR="00A17268">
        <w:t>. Leden van de Conventie citeerden dan ook veelvuldig</w:t>
      </w:r>
      <w:r>
        <w:t xml:space="preserve"> </w:t>
      </w:r>
      <w:r w:rsidR="00A17268">
        <w:t xml:space="preserve">auteurs uit de Verlichting, </w:t>
      </w:r>
      <w:r>
        <w:t xml:space="preserve">zoals </w:t>
      </w:r>
      <w:r>
        <w:lastRenderedPageBreak/>
        <w:t>Rousseau en Voltaire.</w:t>
      </w:r>
      <w:r>
        <w:rPr>
          <w:rStyle w:val="FootnoteReference"/>
        </w:rPr>
        <w:footnoteReference w:id="26"/>
      </w:r>
      <w:r>
        <w:t xml:space="preserve"> </w:t>
      </w:r>
      <w:r>
        <w:br/>
        <w:t xml:space="preserve">Tenslotte waren het geen willekeurige mannen die werden verkozen tot de Conventie. Ongeveer één vijfde van alle stemgerechtigden had gestemd; dit waren geen gematigde mannen, maar mannen met een duidelijke mening, wat ook blijkt dat uit het feit dat de verkiezingen plaatsvonden in de </w:t>
      </w:r>
      <w:r>
        <w:rPr>
          <w:i/>
        </w:rPr>
        <w:t>Club des Jacobins</w:t>
      </w:r>
      <w:r>
        <w:t xml:space="preserve">. De zetels in de Conventie </w:t>
      </w:r>
      <w:r w:rsidR="00EE5244">
        <w:t>vielen toe aan</w:t>
      </w:r>
      <w:r>
        <w:t xml:space="preserve"> mannen </w:t>
      </w:r>
      <w:r w:rsidR="00EE5244">
        <w:t>die</w:t>
      </w:r>
      <w:r>
        <w:t xml:space="preserve"> stuk voor stuk voor troonsafstand door Lodew</w:t>
      </w:r>
      <w:r w:rsidR="00EE5244">
        <w:t>ijk XVI waren. De leden van de C</w:t>
      </w:r>
      <w:r>
        <w:t>onventie waren ook ervaren politici</w:t>
      </w:r>
      <w:r w:rsidR="00EE5244">
        <w:t>;</w:t>
      </w:r>
      <w:r>
        <w:t xml:space="preserve"> bijna de helft </w:t>
      </w:r>
      <w:r w:rsidR="00EE5244">
        <w:t>had</w:t>
      </w:r>
      <w:r>
        <w:t xml:space="preserve"> ook in de Constituante </w:t>
      </w:r>
      <w:r w:rsidR="00EE5244">
        <w:t>of de Wetgevende Vergadering</w:t>
      </w:r>
      <w:r>
        <w:t xml:space="preserve"> gezeten. Een significant deel van de andere leden had minstens regionale bestuurservaring. De meerderheid van de Conventie had dus actief meegemaakt hoe Lodewijk XVI bestuurs</w:t>
      </w:r>
      <w:r w:rsidR="00EE5244">
        <w:t>her</w:t>
      </w:r>
      <w:r>
        <w:t>vorming</w:t>
      </w:r>
      <w:r w:rsidR="00EE5244">
        <w:t>en</w:t>
      </w:r>
      <w:r>
        <w:t xml:space="preserve"> tegenwerkte als constitutioneel monarch en wilde dat niet meer.</w:t>
      </w:r>
      <w:r>
        <w:rPr>
          <w:rStyle w:val="FootnoteReference"/>
        </w:rPr>
        <w:footnoteReference w:id="27"/>
      </w:r>
      <w:r>
        <w:br/>
        <w:t>Wanneer al deze redenen beschouwd worden is er geen twijfel over mogelijk dat de mo</w:t>
      </w:r>
      <w:r w:rsidR="00CD6456">
        <w:t>narchie opgedoekt zou worden. Di</w:t>
      </w:r>
      <w:r>
        <w:t>t verklaart echter nog niet waarom er zo lang gewacht is tot het proces kon starten. Dit is verklaa</w:t>
      </w:r>
      <w:r w:rsidR="00663D6B">
        <w:t>r</w:t>
      </w:r>
      <w:r>
        <w:t xml:space="preserve">baar uit de verdeeldheid van de Conventie. Afgevaardigden uit de provincies waren geschokt door het radicale karakter van Parijs en François Buzot ging zelfs zo ver </w:t>
      </w:r>
      <w:r w:rsidR="00CD6456">
        <w:t>door</w:t>
      </w:r>
      <w:r>
        <w:t xml:space="preserve"> te stellen dat de Conventie ergens anders zou vergaderen omdat </w:t>
      </w:r>
      <w:r w:rsidR="00CD6456">
        <w:t>in Parijs niet vrij kon worden vergaderd</w:t>
      </w:r>
      <w:r>
        <w:t>. De provinciale vertegenwoordigers kwamen daardoor op gespannen voet te staan met de afgevaardigden uit Parijs, die bijna allemaal tot de Jacobijnen behoorden.</w:t>
      </w:r>
      <w:r>
        <w:rPr>
          <w:rStyle w:val="FootnoteReference"/>
        </w:rPr>
        <w:footnoteReference w:id="28"/>
      </w:r>
      <w:r>
        <w:t xml:space="preserve"> Naast deze spanningen ontstonden ook al snel spanningen tussen de Girondijnen en </w:t>
      </w:r>
      <w:r>
        <w:rPr>
          <w:i/>
        </w:rPr>
        <w:t>Montagnards</w:t>
      </w:r>
      <w:r>
        <w:t xml:space="preserve">. De Septembermoorden </w:t>
      </w:r>
      <w:r w:rsidR="00CD6456">
        <w:t>wakkerden de tweedracht aan</w:t>
      </w:r>
      <w:r>
        <w:t>, aangezien de Girondijn Vergniaud de Jacobijnen verantwoordelijk achtte voor de massamoord.</w:t>
      </w:r>
      <w:r>
        <w:rPr>
          <w:rStyle w:val="FootnoteReference"/>
        </w:rPr>
        <w:footnoteReference w:id="29"/>
      </w:r>
      <w:r>
        <w:t xml:space="preserve"> Door deze ruzies en spanningen </w:t>
      </w:r>
      <w:r w:rsidR="00CD6456">
        <w:t xml:space="preserve">duurde het </w:t>
      </w:r>
      <w:r>
        <w:t xml:space="preserve">een paar maanden voor het proces uiteindelijk startte. </w:t>
      </w:r>
    </w:p>
    <w:p w:rsidR="004C5292" w:rsidRDefault="004C5292" w:rsidP="004C5292">
      <w:r>
        <w:t xml:space="preserve">Een </w:t>
      </w:r>
      <w:r w:rsidR="00CD6456">
        <w:t>keerpunt</w:t>
      </w:r>
      <w:r>
        <w:t xml:space="preserve"> in het debat </w:t>
      </w:r>
      <w:r w:rsidR="00CD6456">
        <w:t>was</w:t>
      </w:r>
      <w:r>
        <w:t xml:space="preserve"> de uitkomst van de commissie Mailhe, die onderzocht of Lodwijk XVI als koning van Frankrijk berecht kon worden. Zijn onschendbaarheid w</w:t>
      </w:r>
      <w:r w:rsidR="00CD6456">
        <w:t>as</w:t>
      </w:r>
      <w:r>
        <w:t xml:space="preserve"> tenslotte gegarandeerd door de grondwet van 1791. Verder </w:t>
      </w:r>
      <w:r w:rsidR="00CD6456">
        <w:t xml:space="preserve">was in </w:t>
      </w:r>
      <w:r>
        <w:t xml:space="preserve">deze grondwet </w:t>
      </w:r>
      <w:r w:rsidR="00CD6456">
        <w:t xml:space="preserve">sprake van </w:t>
      </w:r>
      <w:r>
        <w:t>specifieke misdaden waarvoor een Franse koning kon worden berecht, namelijk met een leger Frankrijk aanvallen, het land verlaten zonder terug te keren of weigeren de eed af te leggen. Er werd wel beargumenteerd dat hij zich schuldig had gemaakt aan het verlaten van het land toen hij zijn vluchtpoging ondernam die eindigde in Varennes, maar omdat hij</w:t>
      </w:r>
      <w:r w:rsidR="00CD6456">
        <w:t xml:space="preserve"> zijn bevoegdheden toendertijd </w:t>
      </w:r>
      <w:r>
        <w:t>had ingeleverd was hem amnestie verleend voor dit vergrijp.</w:t>
      </w:r>
      <w:r>
        <w:rPr>
          <w:rStyle w:val="FootnoteReference"/>
        </w:rPr>
        <w:footnoteReference w:id="30"/>
      </w:r>
      <w:r>
        <w:t xml:space="preserve"> De grondwet was duidelijk over de straf voor dit soort misdaden, namelijk het afstand doen van de troon. Lodewijk XVI had dit al moeten doen; hij kon dus niet voor zijn vlucht berecht worden. Wanneer een strikt juridische interpretatie werd gevolgd kon Lodewijk XVI, of zoals de Conventie hem noemde Lo</w:t>
      </w:r>
      <w:r w:rsidR="00CD6456">
        <w:t xml:space="preserve">uis </w:t>
      </w:r>
      <w:r>
        <w:t>Capet, slechts berecht worden voor misdaden die hij had gepleegd ná zi</w:t>
      </w:r>
      <w:r w:rsidR="00CD6456">
        <w:t xml:space="preserve">jn abdicatie, maar </w:t>
      </w:r>
      <w:r>
        <w:t xml:space="preserve">omdat hij </w:t>
      </w:r>
      <w:r w:rsidR="00FA23CF">
        <w:t xml:space="preserve">die periode </w:t>
      </w:r>
      <w:r>
        <w:t>in gevangenschap had doorgebracht kon er nauwelijks gesproken worden over zulke misdaden.</w:t>
      </w:r>
      <w:r>
        <w:rPr>
          <w:rStyle w:val="FootnoteReference"/>
        </w:rPr>
        <w:footnoteReference w:id="31"/>
      </w:r>
      <w:r>
        <w:t xml:space="preserve"> Daarnaast zou de aanklacht van ‘verraad’ betekenen dat Lodewijk XVI verraad ten opzichte van zijn eigen persoon zou hebben gepleegd.</w:t>
      </w:r>
      <w:r>
        <w:rPr>
          <w:rStyle w:val="FootnoteReference"/>
        </w:rPr>
        <w:footnoteReference w:id="32"/>
      </w:r>
      <w:r>
        <w:br/>
        <w:t>Dit was een zeer vreemde situatie; Lodewijk XVI zat vast in een gevangeniscel ter</w:t>
      </w:r>
      <w:r w:rsidR="00CD6456">
        <w:t>wijl er werd gediscussieerd</w:t>
      </w:r>
      <w:r>
        <w:t xml:space="preserve"> of </w:t>
      </w:r>
      <w:r w:rsidR="00CD6456">
        <w:t>hij</w:t>
      </w:r>
      <w:r>
        <w:t xml:space="preserve"> berecht kon worden.  Hier blijkt uit dat de Conventie in onzekerheid</w:t>
      </w:r>
      <w:r w:rsidR="00A17268">
        <w:t xml:space="preserve"> verkeerde </w:t>
      </w:r>
      <w:r w:rsidR="00CD6456">
        <w:t xml:space="preserve">of </w:t>
      </w:r>
      <w:r>
        <w:t xml:space="preserve">zij de nodige autoriteit had om over dit soort zaken te kunnen beslissen. Uiteindelijk werd het </w:t>
      </w:r>
      <w:r>
        <w:lastRenderedPageBreak/>
        <w:t xml:space="preserve">probleem door de Conventie opgelost door te stellen dat Lodewijk </w:t>
      </w:r>
      <w:r w:rsidR="00CD6456">
        <w:t>XVI</w:t>
      </w:r>
      <w:r>
        <w:t xml:space="preserve"> een normale burger was geworden en dat de wetten die hij had gebroken de wetten voor corrupte ambtenaren </w:t>
      </w:r>
      <w:r w:rsidR="00CD6456">
        <w:t>waren</w:t>
      </w:r>
      <w:r>
        <w:t>. Wanneer de koning op deze manier beschouwd werd kon hij vervolgd worden.</w:t>
      </w:r>
      <w:r>
        <w:rPr>
          <w:rStyle w:val="FootnoteReference"/>
        </w:rPr>
        <w:footnoteReference w:id="33"/>
      </w:r>
      <w:r>
        <w:t xml:space="preserve"> Een ander argument kunnen we terugvinden in artikel VI van de Declaratie van de Rechten van de Mens, waarin staat dat de wet hetzelfde is voor iedereen. Als dit daadwerkelijk zo was, hoe zou het dan mogelijk zijn dat de koning slechts afgezet zou worden voor acties die voor andere mensen de doodstraf zouden betekenen?</w:t>
      </w:r>
      <w:r>
        <w:rPr>
          <w:rStyle w:val="FootnoteReference"/>
        </w:rPr>
        <w:footnoteReference w:id="34"/>
      </w:r>
      <w:r>
        <w:t xml:space="preserve"> Met deze argumenten had de Conventie voor zichzelf het juridische probleem opgelost en kon het proces van start gaan.</w:t>
      </w:r>
    </w:p>
    <w:p w:rsidR="004C5292" w:rsidRDefault="004C5292" w:rsidP="00FD716C">
      <w:r>
        <w:t xml:space="preserve">Een ander probleem was door wie Lodewijk XVI berecht zou worden. Hij was tenslotte het staatshoofd en ambtenaren en officieren waren onderdanen die geen autoriteit hadden over de koning. </w:t>
      </w:r>
      <w:r w:rsidR="00A17268">
        <w:t>Volgens de grondwet stond s</w:t>
      </w:r>
      <w:r>
        <w:t>lechts God boven hem en zo kon technisch gezien alleen God hem berechten. Deze kwestie werd door de commissie Maihle beslecht en er werd besloten om de koning voor de Conventie te berechten, omdat die op dat moment soeverein was, maar ook omdat een normale rechtbank of een speciaal tribunaal niet de nodige autoriteit zou hebben. De Conventie bestond uit vertegenwoordigers van het Franse volk, zo was de gedachte, en uiteindelijk was het het Franse volk dat moest beslissen.</w:t>
      </w:r>
      <w:r>
        <w:rPr>
          <w:rStyle w:val="FootnoteReference"/>
        </w:rPr>
        <w:footnoteReference w:id="35"/>
      </w:r>
      <w:r>
        <w:t xml:space="preserve"> Dit strookt natuurlijk met het besluit van de </w:t>
      </w:r>
      <w:r>
        <w:rPr>
          <w:i/>
        </w:rPr>
        <w:t xml:space="preserve">Montagnards </w:t>
      </w:r>
      <w:r>
        <w:t xml:space="preserve">om het vonnis van de Conventie niet aan het volk voor te leggen, </w:t>
      </w:r>
      <w:r w:rsidR="00FA23CF">
        <w:t xml:space="preserve">want zij beschouwden zich als vertegen woordigers van het volk, </w:t>
      </w:r>
      <w:r>
        <w:t>wat hun opportunistische politiek duidelijk maakt.</w:t>
      </w:r>
    </w:p>
    <w:p w:rsidR="00FD716C" w:rsidRDefault="004C5292" w:rsidP="00FD716C">
      <w:r>
        <w:t xml:space="preserve">Uiteindelijk gebeurde er iets waardoor de besluitvorming in een stroomversnelling terechtkwam. </w:t>
      </w:r>
      <w:r w:rsidR="00FD716C">
        <w:t xml:space="preserve">Op 20 november 1792 deed de Girondijn Jean-Marie Roland de mededeling aan de Conventie dat de slotenmaker van Lodewijk XVI een geheim ijzeren kastje (het </w:t>
      </w:r>
      <w:r w:rsidR="00FD716C">
        <w:rPr>
          <w:i/>
        </w:rPr>
        <w:t xml:space="preserve">armoire de </w:t>
      </w:r>
      <w:r w:rsidR="00FD716C" w:rsidRPr="005117EC">
        <w:rPr>
          <w:i/>
        </w:rPr>
        <w:t>fer</w:t>
      </w:r>
      <w:r w:rsidR="00FD716C">
        <w:t>)</w:t>
      </w:r>
      <w:r w:rsidR="00FD716C">
        <w:rPr>
          <w:i/>
        </w:rPr>
        <w:t xml:space="preserve"> </w:t>
      </w:r>
      <w:r w:rsidR="00FD716C" w:rsidRPr="005117EC">
        <w:t xml:space="preserve">had </w:t>
      </w:r>
      <w:r w:rsidR="00FD716C">
        <w:t xml:space="preserve">gemaakt waarin de koning zijn geheime correspondentie deponeerde. Roland had enkele brieven al ingezien, wat leidde tot woede en argwaan van de Jacobijnen, die beweerden dat hij brieven die konden </w:t>
      </w:r>
      <w:r w:rsidR="005165A2">
        <w:t>aantonen dat de Girondijnen zich schuldig hadden gemaakt aan</w:t>
      </w:r>
      <w:r w:rsidR="00FD716C">
        <w:t xml:space="preserve"> verraad had vernietigd voor anderen de brieven kon</w:t>
      </w:r>
      <w:r w:rsidR="005165A2">
        <w:t>den</w:t>
      </w:r>
      <w:r w:rsidR="00FD716C">
        <w:t xml:space="preserve"> </w:t>
      </w:r>
      <w:r w:rsidR="005165A2">
        <w:t>in</w:t>
      </w:r>
      <w:r w:rsidR="00FD716C">
        <w:t xml:space="preserve">zien. Nadat deze storm was gaan liggen bleek in deze brieven veel bewijs te </w:t>
      </w:r>
      <w:r w:rsidR="005165A2">
        <w:t>vinden</w:t>
      </w:r>
      <w:r w:rsidR="00FD716C">
        <w:t xml:space="preserve"> voor </w:t>
      </w:r>
      <w:r w:rsidR="005165A2">
        <w:t>verraderlijke</w:t>
      </w:r>
      <w:r w:rsidR="00FD716C">
        <w:t xml:space="preserve">acties van de koning. Zo had hij veel geld geschonken aan </w:t>
      </w:r>
      <w:r w:rsidR="00FD716C">
        <w:rPr>
          <w:i/>
        </w:rPr>
        <w:t>émigr</w:t>
      </w:r>
      <w:r w:rsidR="00FA23CF">
        <w:rPr>
          <w:i/>
        </w:rPr>
        <w:t>é</w:t>
      </w:r>
      <w:r w:rsidR="00FD716C">
        <w:rPr>
          <w:i/>
        </w:rPr>
        <w:t>s</w:t>
      </w:r>
      <w:r w:rsidR="00FD716C">
        <w:t>, had hij de katholieke kerk beloofd d</w:t>
      </w:r>
      <w:r w:rsidR="005165A2">
        <w:t>e macht die zij had verloren</w:t>
      </w:r>
      <w:r w:rsidR="00FD716C">
        <w:t xml:space="preserve"> terug te geven wanneer hij weer zou regeren en sprak hij meermaals over zijn onvrede en woede over de grondwet van 1791. Voor vele leden van de Conventie was dit onacceptabel en was het duidelijk dat Lodewijk XVI berecht moest worden. De enige vraag di</w:t>
      </w:r>
      <w:r w:rsidR="005165A2">
        <w:t xml:space="preserve">e overbleef was of hij na </w:t>
      </w:r>
      <w:r w:rsidR="00FD716C">
        <w:t>een proces terechtgesteld moest worden, zoals de Girondijnen wilden, of direct geëxecuteerd moest worden, naar de wens van de Jacobijnen.</w:t>
      </w:r>
      <w:r w:rsidR="00FD716C">
        <w:rPr>
          <w:rStyle w:val="FootnoteReference"/>
        </w:rPr>
        <w:footnoteReference w:id="36"/>
      </w:r>
    </w:p>
    <w:p w:rsidR="00FD716C" w:rsidRDefault="008731BF" w:rsidP="00FD716C">
      <w:r>
        <w:rPr>
          <w:b/>
        </w:rPr>
        <w:t>De sessie van 11</w:t>
      </w:r>
      <w:r w:rsidR="00607D97">
        <w:rPr>
          <w:b/>
        </w:rPr>
        <w:t xml:space="preserve"> december</w:t>
      </w:r>
      <w:r w:rsidR="00FD716C">
        <w:rPr>
          <w:b/>
        </w:rPr>
        <w:br/>
      </w:r>
      <w:r w:rsidR="00FD716C">
        <w:t xml:space="preserve">Lodewijk XVI werd op 11 december voor de Conventie gebracht en voor de eerste keer verhoord. Hij had tot zijn eigen verontwaardiging geen beschikking </w:t>
      </w:r>
      <w:r w:rsidR="00FA23CF">
        <w:t>over</w:t>
      </w:r>
      <w:r w:rsidR="00FD716C">
        <w:t xml:space="preserve"> een advocaat tijdens dit verhoor. De voorzitter van de Conventie, Bertrand Barère, legde aan hem een totaal van 35 beschuldigingen voor, waarvan sommige teruggingen naar 1789 en andere meer recent waren. </w:t>
      </w:r>
      <w:r w:rsidR="00BB6448">
        <w:t xml:space="preserve">Nadat elke </w:t>
      </w:r>
      <w:r w:rsidR="00FD716C">
        <w:t xml:space="preserve">beschuldiging </w:t>
      </w:r>
      <w:r w:rsidR="00BB6448">
        <w:t>op w</w:t>
      </w:r>
      <w:r w:rsidR="005165A2">
        <w:t>as</w:t>
      </w:r>
      <w:r w:rsidR="00FD716C">
        <w:t xml:space="preserve"> gelezen, w</w:t>
      </w:r>
      <w:r w:rsidR="00BB6448">
        <w:t>as</w:t>
      </w:r>
      <w:r w:rsidR="00FD716C">
        <w:t xml:space="preserve"> Lodewijk XVI verplicht om meteen een antwoord te geven, waar hij aan voldeed.</w:t>
      </w:r>
      <w:r w:rsidR="00FD716C">
        <w:rPr>
          <w:rStyle w:val="FootnoteReference"/>
        </w:rPr>
        <w:footnoteReference w:id="37"/>
      </w:r>
      <w:r w:rsidR="00FD716C">
        <w:t xml:space="preserve"> Na drie uur was Barère klaar met het oplezen van de beschuldigingen en vroeg hij aan Lodewijk XVI </w:t>
      </w:r>
      <w:r w:rsidR="00FD716C">
        <w:lastRenderedPageBreak/>
        <w:t>of hij iets had toe te voegen. Lodewijk XVI vroeg of hij de bewijsstukken in mocht zien en vroeg ook naar het recht o</w:t>
      </w:r>
      <w:r w:rsidR="00AD4BBA">
        <w:t>p</w:t>
      </w:r>
      <w:r w:rsidR="00FD716C">
        <w:t xml:space="preserve"> een advocaat.  Aan het eerste verzoek werd voldaan, maar het verzoek om een advocaat werd genegeerd. Op dit punt nam </w:t>
      </w:r>
      <w:r w:rsidR="00FD716C" w:rsidRPr="00326840">
        <w:t>Charles Éléonor Dufriche de Valazé</w:t>
      </w:r>
      <w:r w:rsidR="00FD716C">
        <w:t xml:space="preserve"> het over van Barère en legde de bewijsstukken voor aan Lodewijk XVI. De laatste beweerde echter dat hij van het bestaan van geen van de brieven</w:t>
      </w:r>
      <w:r w:rsidR="00AD44F2">
        <w:t xml:space="preserve"> </w:t>
      </w:r>
      <w:r w:rsidR="005165A2">
        <w:t>af</w:t>
      </w:r>
      <w:r w:rsidR="00FD716C">
        <w:t>wist. Ook ontkende hij dat hij een geheime kluis had laten bouwen, wilde hij zijn handschrift niet herkennen en legde</w:t>
      </w:r>
      <w:r w:rsidR="005165A2">
        <w:t xml:space="preserve"> hij</w:t>
      </w:r>
      <w:r w:rsidR="00FD716C">
        <w:t xml:space="preserve"> uit dat de officiële Zegel van Frankrijk, waarmee </w:t>
      </w:r>
      <w:r w:rsidR="00AD4BBA">
        <w:t>brieven werden</w:t>
      </w:r>
      <w:r w:rsidR="00FD716C">
        <w:t xml:space="preserve"> </w:t>
      </w:r>
      <w:r w:rsidR="00AD4BBA">
        <w:t>ver</w:t>
      </w:r>
      <w:r w:rsidR="00FD716C">
        <w:t>zegeld, niet exclusief van de koning was.</w:t>
      </w:r>
      <w:r w:rsidR="00FD716C">
        <w:rPr>
          <w:rStyle w:val="FootnoteReference"/>
        </w:rPr>
        <w:footnoteReference w:id="38"/>
      </w:r>
      <w:r w:rsidR="00FD716C">
        <w:t xml:space="preserve"> Later beweerde Lodewijk XVI ook dat de brieven </w:t>
      </w:r>
      <w:r w:rsidR="005165A2">
        <w:t xml:space="preserve">vervalst konden zijn. Toen </w:t>
      </w:r>
      <w:r w:rsidR="00FD716C">
        <w:t>de koning bleef ontkennen dat hij de brieven eerder had gezien raakte het geduld van zowel Dufriche-Valazé als d</w:t>
      </w:r>
      <w:r w:rsidR="005165A2">
        <w:t>at van Lodewijk XVI op. Hoewel</w:t>
      </w:r>
      <w:r w:rsidR="00FD716C">
        <w:t xml:space="preserve"> veel brieven nog niet getoond waren aan de koning, besloot Valazé</w:t>
      </w:r>
      <w:r w:rsidR="005165A2">
        <w:t xml:space="preserve"> dat het geen nut had dat</w:t>
      </w:r>
      <w:r w:rsidR="00FD716C">
        <w:t xml:space="preserve"> te doen. De notulen van het proces beweren dat iedereen op de banken het hiermee eens was. Lodewijk XVI vroeg nog één keer om een advocaat en vertrok.</w:t>
      </w:r>
      <w:r w:rsidR="00FD716C">
        <w:rPr>
          <w:rStyle w:val="FootnoteReference"/>
        </w:rPr>
        <w:footnoteReference w:id="39"/>
      </w:r>
    </w:p>
    <w:p w:rsidR="00FD716C" w:rsidRDefault="00FD716C" w:rsidP="00FD716C">
      <w:r>
        <w:t>Er zijn verschillende redenen te bedenken waarom Lodewijk XVI tijdens dit gedeelte van het proces loog. Alison Johnson gaat uit van het goede in de koning en neemt aan dat hij degenen aan wie de brieven gericht waren wilde beschermen, zodat er niet nog meer bloed vergoten zou worden.</w:t>
      </w:r>
      <w:r>
        <w:rPr>
          <w:rStyle w:val="FootnoteReference"/>
        </w:rPr>
        <w:footnoteReference w:id="40"/>
      </w:r>
      <w:r>
        <w:t xml:space="preserve"> Hoewel dit idee niet ondenkbaar is, vind ik het te naïef om dit zomaar aan te nemen. Ik acht het waarschijnlijker dat Lodewijk XVI niet wist wat hij met al deze documenten aan moest, wat versterkt werd door het feit dat </w:t>
      </w:r>
      <w:r w:rsidR="00AD4BBA">
        <w:t xml:space="preserve">ze </w:t>
      </w:r>
      <w:r>
        <w:t xml:space="preserve">zonder enige waarschuwing aan hem gepresenteerd werden en </w:t>
      </w:r>
      <w:r w:rsidR="005165A2">
        <w:t>dat hij besefte dat zijn leven op het spel stond</w:t>
      </w:r>
      <w:r>
        <w:t xml:space="preserve">. Daarom wilde hij zich niet in </w:t>
      </w:r>
      <w:r w:rsidR="005165A2">
        <w:t>onmogelijke bochten wringen en koos hij voor de ge</w:t>
      </w:r>
      <w:r>
        <w:t>makkelijk</w:t>
      </w:r>
      <w:r w:rsidR="005165A2">
        <w:t>st</w:t>
      </w:r>
      <w:r>
        <w:t>e oplossing.</w:t>
      </w:r>
    </w:p>
    <w:p w:rsidR="00FD716C" w:rsidRDefault="00FD716C" w:rsidP="00FD716C">
      <w:r>
        <w:t xml:space="preserve">Opvallend is hoe groot het verschil is tussen het gedrag van Lodewijk XVI tijdens dit proces en het gedrag van Karel I van Engeland, </w:t>
      </w:r>
      <w:r w:rsidR="005165A2">
        <w:t>tijdens zijn proces in</w:t>
      </w:r>
      <w:r>
        <w:t xml:space="preserve"> 1649</w:t>
      </w:r>
      <w:r w:rsidR="005165A2">
        <w:t>,</w:t>
      </w:r>
      <w:r>
        <w:t xml:space="preserve"> </w:t>
      </w:r>
      <w:r w:rsidR="005165A2">
        <w:t>die</w:t>
      </w:r>
      <w:r>
        <w:t xml:space="preserve"> ook ter dood veroordeeld werd. Karel I ontkende de autoriteit van de rechtbank en hield stug vol dat het Lagerhuis niet de autoriteit had om hem </w:t>
      </w:r>
      <w:r w:rsidR="005165A2">
        <w:t>te berechten</w:t>
      </w:r>
      <w:r>
        <w:t>, laat staan te veroordelen.</w:t>
      </w:r>
      <w:r>
        <w:rPr>
          <w:rStyle w:val="FootnoteReference"/>
        </w:rPr>
        <w:footnoteReference w:id="41"/>
      </w:r>
      <w:r>
        <w:t xml:space="preserve"> De w</w:t>
      </w:r>
      <w:r w:rsidR="005165A2">
        <w:t>aardigheid waarmee hij dit deed verzwakte</w:t>
      </w:r>
      <w:r>
        <w:t xml:space="preserve"> de beschuldigingen tegen hem. </w:t>
      </w:r>
      <w:r w:rsidR="005165A2">
        <w:t>Zijn houding</w:t>
      </w:r>
      <w:r>
        <w:t xml:space="preserve"> maakte echter ook een schikking onmogelijk en op 30 januari 1649 werd hij </w:t>
      </w:r>
      <w:r w:rsidR="006921A1">
        <w:t>onthoofd</w:t>
      </w:r>
      <w:r>
        <w:t>.</w:t>
      </w:r>
      <w:r>
        <w:rPr>
          <w:rStyle w:val="FootnoteReference"/>
        </w:rPr>
        <w:footnoteReference w:id="42"/>
      </w:r>
      <w:r>
        <w:t xml:space="preserve"> Lodewijk XVI daarentegen </w:t>
      </w:r>
      <w:r w:rsidR="006921A1">
        <w:t xml:space="preserve">doorstond met ontkenningen en leugens </w:t>
      </w:r>
      <w:r>
        <w:t xml:space="preserve">de eerste dag van zijn proces, maar hij deed geen poging om de </w:t>
      </w:r>
      <w:r w:rsidR="006921A1">
        <w:t xml:space="preserve">bevoegdheid van de </w:t>
      </w:r>
      <w:r>
        <w:t xml:space="preserve">Conventie </w:t>
      </w:r>
      <w:r w:rsidR="006921A1">
        <w:t xml:space="preserve">als rechtbank </w:t>
      </w:r>
      <w:r>
        <w:t xml:space="preserve">aan te vallen. Natuurlijk waren er grote verschillen tussen de beide processen: in Engeland opereerde het Lagerhuis op de rand van </w:t>
      </w:r>
      <w:r w:rsidR="006921A1">
        <w:t>het ongeschreven recht dat de macht van de koning nauwelijks aan banden legde</w:t>
      </w:r>
      <w:r>
        <w:t xml:space="preserve">. In Frankrijk lag dat anders, aangezien Lodewijk XVI een </w:t>
      </w:r>
      <w:r w:rsidR="006921A1">
        <w:t>constitutioneel monarch was geweest op basis van een door hem geaccepteerde</w:t>
      </w:r>
      <w:r>
        <w:t xml:space="preserve"> grondwet en niet meer </w:t>
      </w:r>
      <w:r w:rsidR="006921A1">
        <w:t>over onbeperkt gezag beschikte</w:t>
      </w:r>
      <w:r>
        <w:t>, zoals Karel I.</w:t>
      </w:r>
      <w:r>
        <w:rPr>
          <w:rStyle w:val="FootnoteReference"/>
        </w:rPr>
        <w:footnoteReference w:id="43"/>
      </w:r>
      <w:r>
        <w:t xml:space="preserve"> Het </w:t>
      </w:r>
      <w:r w:rsidR="006921A1">
        <w:t>had voor Lodewijk XVI daarom</w:t>
      </w:r>
      <w:r>
        <w:t xml:space="preserve"> geen zin om zich te verzetten tegen zijn proces.</w:t>
      </w:r>
    </w:p>
    <w:p w:rsidR="004D47BE" w:rsidRDefault="0077733D" w:rsidP="00FD716C">
      <w:r>
        <w:rPr>
          <w:b/>
        </w:rPr>
        <w:t>De voorbereiding op de tweede sessie</w:t>
      </w:r>
      <w:r w:rsidR="00607D97">
        <w:br/>
      </w:r>
      <w:r w:rsidR="004D47BE">
        <w:t xml:space="preserve">Na het </w:t>
      </w:r>
      <w:r w:rsidR="006921A1">
        <w:t>verhoor</w:t>
      </w:r>
      <w:r w:rsidR="004D47BE">
        <w:t xml:space="preserve"> van Lodewijk XVI op 10 december werd, na een lange en hevige discussie, zijn verzoek gehonoreerd en mocht hij een advocaat naar keuze verzoeken om hem bij te staan. Zijn eerste keuze viel op Guy-Jean Target en, mocht deze het verzoek afwijzen, François-Denis Tronchet. </w:t>
      </w:r>
      <w:r w:rsidR="006921A1">
        <w:lastRenderedPageBreak/>
        <w:t>Target wees he</w:t>
      </w:r>
      <w:r w:rsidR="004D47BE">
        <w:t xml:space="preserve">t verzoek af omdat zijn gezondheid achteruit </w:t>
      </w:r>
      <w:r w:rsidR="006921A1">
        <w:t>zou zijn</w:t>
      </w:r>
      <w:r w:rsidR="004D47BE">
        <w:t xml:space="preserve"> gegaan, wat achteraf gezien ee</w:t>
      </w:r>
      <w:r w:rsidR="006921A1">
        <w:t>n drog</w:t>
      </w:r>
      <w:r w:rsidR="004D47BE">
        <w:t xml:space="preserve">reden bleek omdat hij het een jaar later geen probleem vond om te werken als secretaris van het </w:t>
      </w:r>
      <w:r w:rsidR="004D47BE">
        <w:rPr>
          <w:i/>
        </w:rPr>
        <w:t>Comité de Salut Public</w:t>
      </w:r>
      <w:r w:rsidR="004D47BE">
        <w:t xml:space="preserve"> tijdens de Terreur. Tronche</w:t>
      </w:r>
      <w:r w:rsidR="006921A1">
        <w:t>t accepteerde het verzoek</w:t>
      </w:r>
      <w:r w:rsidR="004D47BE">
        <w:t xml:space="preserve"> wel. Hij was één van de belangrijkste bedenkers van de </w:t>
      </w:r>
      <w:r w:rsidR="004D47BE">
        <w:rPr>
          <w:i/>
        </w:rPr>
        <w:t>Code pénal de 1791</w:t>
      </w:r>
      <w:r w:rsidR="00C817D2">
        <w:t xml:space="preserve">, die </w:t>
      </w:r>
      <w:r w:rsidR="006921A1">
        <w:t>het</w:t>
      </w:r>
      <w:r w:rsidR="00C817D2">
        <w:t xml:space="preserve"> strafrecht vastlegde. De 72-jarige Lamoignon de Malesherbes sloot zich hierna </w:t>
      </w:r>
      <w:r w:rsidR="006921A1">
        <w:t xml:space="preserve">bij hem </w:t>
      </w:r>
      <w:r w:rsidR="00C817D2">
        <w:t>aan op vrijwillige basis. De reden hiervoor, zo schreef hij in een brief aan de Conventie, was dat hij zich verplicht voelde</w:t>
      </w:r>
      <w:r w:rsidR="00607D97">
        <w:t xml:space="preserve"> om</w:t>
      </w:r>
      <w:r w:rsidR="00C817D2">
        <w:t xml:space="preserve"> Lodewijk XVI te verdedigen, omdat hij dit ook steevast deed voordat de Franse Revolutie begonnen was.</w:t>
      </w:r>
      <w:r w:rsidR="00C817D2">
        <w:rPr>
          <w:rStyle w:val="FootnoteReference"/>
        </w:rPr>
        <w:footnoteReference w:id="44"/>
      </w:r>
      <w:r w:rsidR="00C817D2">
        <w:br/>
        <w:t xml:space="preserve">Het proces werd hierna gestaakt zodat Lodewijk XVI, Tronchet en Malesherbes zich over het bewijsmateriaal konden buigen, zoals in de </w:t>
      </w:r>
      <w:r w:rsidR="00C817D2">
        <w:rPr>
          <w:i/>
        </w:rPr>
        <w:t>Code pénal</w:t>
      </w:r>
      <w:r w:rsidR="00C817D2">
        <w:t xml:space="preserve"> verplicht gesteld werd. De Conventie liet echter op meerdere momente</w:t>
      </w:r>
      <w:r w:rsidR="00515430">
        <w:t>n in deze dagen zien dat voor haar</w:t>
      </w:r>
      <w:r w:rsidR="00C817D2">
        <w:t xml:space="preserve"> de </w:t>
      </w:r>
      <w:r w:rsidR="00C817D2">
        <w:rPr>
          <w:i/>
        </w:rPr>
        <w:t>Code pénal</w:t>
      </w:r>
      <w:r w:rsidR="00C817D2">
        <w:t xml:space="preserve"> niet een </w:t>
      </w:r>
      <w:r w:rsidR="00515430">
        <w:t>keurslijf</w:t>
      </w:r>
      <w:r w:rsidR="00C817D2">
        <w:t xml:space="preserve"> was. Zo </w:t>
      </w:r>
      <w:r w:rsidR="00515430">
        <w:t xml:space="preserve">besloot zij </w:t>
      </w:r>
      <w:r w:rsidR="006E0CED">
        <w:t xml:space="preserve">op 15 december dat de documenten uit de </w:t>
      </w:r>
      <w:r w:rsidR="006E0CED">
        <w:rPr>
          <w:i/>
        </w:rPr>
        <w:t>armoire de fer</w:t>
      </w:r>
      <w:r w:rsidR="00515430">
        <w:t xml:space="preserve"> niet geverifi</w:t>
      </w:r>
      <w:r w:rsidR="006E0CED">
        <w:t xml:space="preserve">eerd hoefden te worden door middel van een handschrift-deskundige en accepteerde </w:t>
      </w:r>
      <w:r w:rsidR="007714DD">
        <w:t>zij</w:t>
      </w:r>
      <w:r w:rsidR="006E0CED">
        <w:t xml:space="preserve"> de autenticiteit van de documenten.</w:t>
      </w:r>
      <w:r w:rsidR="006E0CED">
        <w:rPr>
          <w:rStyle w:val="FootnoteReference"/>
        </w:rPr>
        <w:footnoteReference w:id="45"/>
      </w:r>
      <w:r w:rsidR="006E0CED">
        <w:t xml:space="preserve"> Op 18 december werden twee besluiten genomen.</w:t>
      </w:r>
      <w:r w:rsidR="007714DD">
        <w:t xml:space="preserve"> Lodewijk XVI werd</w:t>
      </w:r>
      <w:r w:rsidR="00A17268">
        <w:t xml:space="preserve"> een derde advocaat </w:t>
      </w:r>
      <w:r w:rsidR="007714DD">
        <w:t xml:space="preserve">toebedeeld </w:t>
      </w:r>
      <w:r w:rsidR="00A17268">
        <w:t>en uitstel van de tweede sessie werd geweigerd.</w:t>
      </w:r>
      <w:r w:rsidR="006E0CED">
        <w:t xml:space="preserve"> De advocaten van Lodewijk XVI merkten op dat zij te weinig tijd hadden om hun zaak voor te bereiden, aangezien op 26 december Lodewijk XVI alweer voor moest komen. Daarom verzochten zij om een extra advocaat en om uitstel van de sessie op 26 december. De extra advocaat werd toegewezen in de persoon</w:t>
      </w:r>
      <w:r w:rsidR="007714DD">
        <w:t xml:space="preserve"> van Raymond DeSèze, maar het verhoor</w:t>
      </w:r>
      <w:r w:rsidR="006E0CED">
        <w:t xml:space="preserve"> van Lodewijk XVI zou nog steeds op 26 december plaatsvinden. Beide besluiten </w:t>
      </w:r>
      <w:r w:rsidR="00AD4BBA">
        <w:t>gingen</w:t>
      </w:r>
      <w:r w:rsidR="006E0CED">
        <w:t xml:space="preserve"> tegen de </w:t>
      </w:r>
      <w:r w:rsidR="006E0CED">
        <w:rPr>
          <w:i/>
        </w:rPr>
        <w:t>Code pénal</w:t>
      </w:r>
      <w:r w:rsidR="006E0CED">
        <w:t xml:space="preserve"> in, aangezien de </w:t>
      </w:r>
      <w:r w:rsidR="006E0CED">
        <w:rPr>
          <w:i/>
        </w:rPr>
        <w:t>Code</w:t>
      </w:r>
      <w:r w:rsidR="006E0CED">
        <w:t xml:space="preserve"> een maximum stelde van twee advocaten en omdat de </w:t>
      </w:r>
      <w:r w:rsidR="006E0CED">
        <w:rPr>
          <w:i/>
        </w:rPr>
        <w:t>Code</w:t>
      </w:r>
      <w:r w:rsidR="006E0CED">
        <w:t xml:space="preserve"> garant stond voor genoeg voorbereidingstijd voor de verdedinging.</w:t>
      </w:r>
      <w:r w:rsidR="00766E76">
        <w:rPr>
          <w:rStyle w:val="FootnoteReference"/>
        </w:rPr>
        <w:footnoteReference w:id="46"/>
      </w:r>
      <w:r w:rsidR="006E0CED">
        <w:t xml:space="preserve"> Natuurlijk was de extra advocaat gunstig voor Lodewijk XVI, maar tegelijkertijd gebruikte hij </w:t>
      </w:r>
      <w:r w:rsidR="00AD4BBA">
        <w:t xml:space="preserve">de </w:t>
      </w:r>
      <w:r w:rsidR="006E0CED">
        <w:rPr>
          <w:i/>
        </w:rPr>
        <w:t>Code pénal</w:t>
      </w:r>
      <w:r w:rsidR="006E0CED">
        <w:t xml:space="preserve"> om zijn eigen leven te redden. De voorbereidingstijd was echter een groot probleem voor Lodewijk XVI, Tronchet, Malesherbes en DeSèzes</w:t>
      </w:r>
      <w:r w:rsidR="007714DD">
        <w:t>.</w:t>
      </w:r>
      <w:r w:rsidR="006E0CED">
        <w:t xml:space="preserve"> </w:t>
      </w:r>
      <w:r w:rsidR="007714DD">
        <w:t xml:space="preserve">Zij brachten de twee weken tussen 10 en 26 </w:t>
      </w:r>
      <w:r w:rsidR="00607D97">
        <w:t xml:space="preserve">door met het lezen van de vele documenten. </w:t>
      </w:r>
      <w:r w:rsidR="00766E76">
        <w:t xml:space="preserve">Elke avond </w:t>
      </w:r>
      <w:r w:rsidR="007714DD">
        <w:t xml:space="preserve">analyseerden </w:t>
      </w:r>
      <w:r w:rsidR="00766E76">
        <w:t xml:space="preserve">de vier mannen </w:t>
      </w:r>
      <w:r w:rsidR="00610026">
        <w:t>alle</w:t>
      </w:r>
      <w:r w:rsidR="007714DD">
        <w:t xml:space="preserve"> documenten</w:t>
      </w:r>
      <w:r w:rsidR="00766E76">
        <w:t xml:space="preserve">. DeSèze </w:t>
      </w:r>
      <w:r w:rsidR="007714DD">
        <w:t xml:space="preserve">sliep volgens sommige bronnen </w:t>
      </w:r>
      <w:r w:rsidR="00766E76">
        <w:t xml:space="preserve">de vier dagen voor de tweede sessie </w:t>
      </w:r>
      <w:r w:rsidR="007714DD">
        <w:t xml:space="preserve">zelfs </w:t>
      </w:r>
      <w:r w:rsidR="00766E76">
        <w:t>niet.</w:t>
      </w:r>
      <w:r w:rsidR="00766E76">
        <w:rPr>
          <w:rStyle w:val="FootnoteReference"/>
        </w:rPr>
        <w:footnoteReference w:id="47"/>
      </w:r>
      <w:r w:rsidR="00766E76">
        <w:t xml:space="preserve"> </w:t>
      </w:r>
      <w:r w:rsidR="007714DD">
        <w:t>D</w:t>
      </w:r>
      <w:r w:rsidR="00607D97">
        <w:t xml:space="preserve">e Conventie </w:t>
      </w:r>
      <w:r w:rsidR="007714DD">
        <w:t>was</w:t>
      </w:r>
      <w:r w:rsidR="00607D97">
        <w:t xml:space="preserve"> duidelijk </w:t>
      </w:r>
      <w:r w:rsidR="007714DD">
        <w:t>niet in staat de vereiste documenten te verstrekken.</w:t>
      </w:r>
      <w:r w:rsidR="00607D97">
        <w:t xml:space="preserve"> n. De advocaten schreven vele brieven waarin ze vroegen om een bepaald document dat zij nog niet hadden ontvangen. Het is zelfs niet duidelijk of de verdediging überhaupt alle documenten – die zij juridisch gezien zonder probleem in mocht zien – had ontvangen voor de sessie op 26 december begon.</w:t>
      </w:r>
      <w:r w:rsidR="00607D97">
        <w:rPr>
          <w:rStyle w:val="FootnoteReference"/>
        </w:rPr>
        <w:footnoteReference w:id="48"/>
      </w:r>
    </w:p>
    <w:p w:rsidR="00521C07" w:rsidRDefault="00DC2F11" w:rsidP="00FD716C">
      <w:r>
        <w:t xml:space="preserve">Uit deze </w:t>
      </w:r>
      <w:r w:rsidR="007714DD">
        <w:t>episode</w:t>
      </w:r>
      <w:r>
        <w:t xml:space="preserve"> valt duidelijk op te maken</w:t>
      </w:r>
      <w:r w:rsidR="005A1C01">
        <w:t xml:space="preserve"> dat de Conventie niet haar best deed </w:t>
      </w:r>
      <w:r w:rsidR="007714DD">
        <w:t>voor een eerlijk</w:t>
      </w:r>
      <w:r w:rsidR="005A1C01">
        <w:t xml:space="preserve"> proces.  </w:t>
      </w:r>
      <w:r w:rsidR="00235862">
        <w:t xml:space="preserve">Het was voor Lodewijk XVI zelf ook duidelijk dat dit een </w:t>
      </w:r>
      <w:r w:rsidR="00AD4BBA">
        <w:t xml:space="preserve">politiek </w:t>
      </w:r>
      <w:r w:rsidR="00235862">
        <w:t xml:space="preserve">proces was </w:t>
      </w:r>
      <w:r w:rsidR="00766E76">
        <w:t xml:space="preserve">, </w:t>
      </w:r>
      <w:r w:rsidR="001E6E54">
        <w:t>waarbij</w:t>
      </w:r>
      <w:r w:rsidR="00766E76">
        <w:t xml:space="preserve"> hij als vijand van de Revolutie werd berecht</w:t>
      </w:r>
      <w:r w:rsidR="001E6E54">
        <w:t>,</w:t>
      </w:r>
      <w:r w:rsidR="00766E76">
        <w:t xml:space="preserve"> en dat de Revolutie de monarchie niet samen konden bestaan. </w:t>
      </w:r>
      <w:r w:rsidR="00521C07">
        <w:t>Hij sprak de volgende woorden tegen Malesherbes:</w:t>
      </w:r>
    </w:p>
    <w:p w:rsidR="00521C07" w:rsidRPr="00521C07" w:rsidRDefault="00521C07" w:rsidP="00521C07">
      <w:pPr>
        <w:ind w:left="567" w:right="567"/>
        <w:rPr>
          <w:i/>
        </w:rPr>
      </w:pPr>
      <w:r w:rsidRPr="00521C07">
        <w:rPr>
          <w:i/>
        </w:rPr>
        <w:t>J’en suis sùr, ils me feront périr; ils en out le pouvoir et la volonté: n’importe, occupons-nous de mon procès comme si je devais le gagne; et je le gagnerai en effet, parce que la m</w:t>
      </w:r>
      <w:r>
        <w:rPr>
          <w:i/>
        </w:rPr>
        <w:t>émoire que je laisserai sera sans tache.</w:t>
      </w:r>
      <w:r>
        <w:rPr>
          <w:rStyle w:val="FootnoteReference"/>
          <w:i/>
        </w:rPr>
        <w:footnoteReference w:id="49"/>
      </w:r>
    </w:p>
    <w:p w:rsidR="005A1C01" w:rsidRDefault="00521C07" w:rsidP="00FD716C">
      <w:r>
        <w:lastRenderedPageBreak/>
        <w:t>Uit deze woorden blijkt dat Lodewijk XVI zelf geen enkel vertrouwen had in het proces. De Conventie had volgens hem de macht en de wil om hem ter dood te</w:t>
      </w:r>
      <w:r w:rsidR="00C80A34">
        <w:t xml:space="preserve"> veroordelen, maar hij wilde zichzelf voorhou</w:t>
      </w:r>
      <w:r w:rsidR="001E6E54">
        <w:t>den dat hij wel kon winnen, om</w:t>
      </w:r>
      <w:r w:rsidR="00C80A34">
        <w:t xml:space="preserve"> de herinnering die hij achter zou laten smetteloos </w:t>
      </w:r>
      <w:r w:rsidR="001E6E54">
        <w:t>te laten zijn</w:t>
      </w:r>
      <w:r w:rsidR="00C80A34">
        <w:t>.</w:t>
      </w:r>
      <w:r>
        <w:br/>
        <w:t xml:space="preserve">De Conventie stond echter niet </w:t>
      </w:r>
      <w:r w:rsidR="001E6E54">
        <w:t>alleen</w:t>
      </w:r>
      <w:r>
        <w:t xml:space="preserve">. Radicale Parijzenaars en </w:t>
      </w:r>
      <w:r>
        <w:rPr>
          <w:i/>
        </w:rPr>
        <w:t>sans-culottes</w:t>
      </w:r>
      <w:r>
        <w:t xml:space="preserve"> </w:t>
      </w:r>
      <w:r w:rsidR="00DC2F11">
        <w:t xml:space="preserve">zouden </w:t>
      </w:r>
      <w:r>
        <w:t xml:space="preserve">het niet </w:t>
      </w:r>
      <w:r w:rsidR="00DC2F11">
        <w:t xml:space="preserve">tolereren als het proces nog </w:t>
      </w:r>
      <w:r w:rsidR="001E6E54">
        <w:t>langer</w:t>
      </w:r>
      <w:r w:rsidR="00DC2F11">
        <w:t xml:space="preserve"> uitgesteld zou worden.</w:t>
      </w:r>
      <w:r w:rsidR="00C80A34">
        <w:t xml:space="preserve"> Dit zou leiden tot hevige rellen in de stad.</w:t>
      </w:r>
      <w:r w:rsidR="00DC2F11">
        <w:rPr>
          <w:rStyle w:val="FootnoteReference"/>
        </w:rPr>
        <w:footnoteReference w:id="50"/>
      </w:r>
      <w:r w:rsidR="00DC2F11">
        <w:t xml:space="preserve"> D</w:t>
      </w:r>
      <w:r w:rsidR="00610026">
        <w:t>e Conventie heeft dus uitstel van</w:t>
      </w:r>
      <w:r w:rsidR="001E6E54">
        <w:t xml:space="preserve"> het</w:t>
      </w:r>
      <w:r w:rsidR="00610026">
        <w:t xml:space="preserve"> proces niet uitsluitend tegengewerkt uit minachting </w:t>
      </w:r>
      <w:r w:rsidR="001E6E54">
        <w:t>voor</w:t>
      </w:r>
      <w:r w:rsidR="00610026">
        <w:t xml:space="preserve"> Lodewijk XVI, maar moest ook rekening houden met de onrust die uitstel zou veroorzaken. Daarom begon de tweede sessie</w:t>
      </w:r>
      <w:r w:rsidR="00C80A34">
        <w:t xml:space="preserve"> al</w:t>
      </w:r>
      <w:r w:rsidR="00610026">
        <w:t xml:space="preserve"> op 26 december 1792.</w:t>
      </w:r>
    </w:p>
    <w:p w:rsidR="00610026" w:rsidRDefault="00610026" w:rsidP="00FD716C">
      <w:r>
        <w:rPr>
          <w:b/>
        </w:rPr>
        <w:t>De tweede sessie</w:t>
      </w:r>
      <w:r w:rsidR="0033364B">
        <w:rPr>
          <w:b/>
        </w:rPr>
        <w:br/>
      </w:r>
      <w:r w:rsidR="00C80A34">
        <w:t xml:space="preserve">Op 26 december werd Lodewijk voor de tweede keer naar de Conventie gebracht. De speech van Raymond DeSèze stond centraal tijdens deze sessie. DeSèze wilde de koning neerzetten als een slachtoffer van veranderde omstandigheden, om zo duidelijk te maken dat </w:t>
      </w:r>
      <w:r w:rsidR="001E6E54">
        <w:t>hij</w:t>
      </w:r>
      <w:r w:rsidR="00C80A34">
        <w:t xml:space="preserve"> nooit een tiran had willen zijn. Hij ging zelfs zo ver </w:t>
      </w:r>
      <w:r w:rsidR="001E6E54">
        <w:t>in pleiten</w:t>
      </w:r>
      <w:r w:rsidR="00C80A34">
        <w:t xml:space="preserve"> dat Lodewijk XVI een koning was die zijn volk alles had gegeven waar het om vroeg, inclusief de zo belangrijke </w:t>
      </w:r>
      <w:r w:rsidR="00C80A34">
        <w:rPr>
          <w:i/>
        </w:rPr>
        <w:t>liberté</w:t>
      </w:r>
      <w:r w:rsidR="00C80A34">
        <w:t>.</w:t>
      </w:r>
      <w:r w:rsidR="00C80A34">
        <w:rPr>
          <w:rStyle w:val="FootnoteReference"/>
        </w:rPr>
        <w:footnoteReference w:id="51"/>
      </w:r>
      <w:r w:rsidR="00C80A34">
        <w:t xml:space="preserve"> </w:t>
      </w:r>
      <w:r w:rsidR="00C64C27">
        <w:br/>
        <w:t xml:space="preserve">Deze speech was echter niet wat </w:t>
      </w:r>
      <w:r w:rsidR="00DB1402">
        <w:t>hij</w:t>
      </w:r>
      <w:r w:rsidR="00C64C27">
        <w:t xml:space="preserve"> had kunnen zijn. Toen DeSèze zijn eerste versie voorlegde aan Lodewijk XVI, Malesherbes en Tronchet</w:t>
      </w:r>
      <w:r w:rsidR="005C6F7B">
        <w:t xml:space="preserve"> was de speech emotioneler. Malesherbes schreef in zijn memoires dat hij nog nooit iets had gehoord dat zo roerend was en dat hij en Tronchet tot tranen toe </w:t>
      </w:r>
      <w:r w:rsidR="001E6E54">
        <w:t>bewogen waren</w:t>
      </w:r>
      <w:r w:rsidR="005C6F7B">
        <w:t>. Lodewijk XVI wilde echter niet</w:t>
      </w:r>
      <w:r w:rsidR="001E6E54">
        <w:t xml:space="preserve"> </w:t>
      </w:r>
      <w:r w:rsidR="005C6F7B">
        <w:t xml:space="preserve">– tegen het advies van zijn advocaten in –de gevoelens van de leden van de Conventie </w:t>
      </w:r>
      <w:r w:rsidR="001E6E54">
        <w:t>bespelen</w:t>
      </w:r>
      <w:r w:rsidR="00A47466">
        <w:t>.</w:t>
      </w:r>
      <w:r w:rsidR="00A17268">
        <w:t xml:space="preserve"> Zijn advocaten vonden dit </w:t>
      </w:r>
      <w:r w:rsidR="005C6F7B">
        <w:t xml:space="preserve">om twee redenen onverstandig. Allereerst was het goed mogelijk dat er in de Conventie enkele </w:t>
      </w:r>
      <w:r w:rsidR="001E6E54">
        <w:t>mannen</w:t>
      </w:r>
      <w:r w:rsidR="005C6F7B">
        <w:t xml:space="preserve"> waren die Lodewijk goed gezind waren, maar deze gevoelens niet kenbaar maakten uit angst om </w:t>
      </w:r>
      <w:r w:rsidR="00DB1402">
        <w:t>beticht</w:t>
      </w:r>
      <w:r w:rsidR="005C6F7B">
        <w:t xml:space="preserve"> te worden </w:t>
      </w:r>
      <w:r w:rsidR="00DB1402">
        <w:t>van royalisme</w:t>
      </w:r>
      <w:r w:rsidR="005C6F7B">
        <w:t>. Een emotionele speech zou deze gevoelens op kunnen wekken, waardoor deze Conventieleden niet voor de doodstraf zouden stemmen.</w:t>
      </w:r>
      <w:r w:rsidR="005C6F7B">
        <w:rPr>
          <w:rStyle w:val="FootnoteReference"/>
        </w:rPr>
        <w:footnoteReference w:id="52"/>
      </w:r>
      <w:r w:rsidR="00585EBE">
        <w:t xml:space="preserve"> Daarnaast stond Raymond DeSèze </w:t>
      </w:r>
      <w:r w:rsidR="001E6E54">
        <w:t>in</w:t>
      </w:r>
      <w:r w:rsidR="00585EBE">
        <w:t xml:space="preserve"> heel Frankrijk bekend om zijn emotionele speeches en viel deze speech daarom tegen. Journalisten schreven over deze speech dat deze goed was, maar tegelijkertijd erg kil, waardoor er een gevoel van teleurstelling heerste bij het publiek.</w:t>
      </w:r>
      <w:r w:rsidR="00585EBE">
        <w:rPr>
          <w:rStyle w:val="FootnoteReference"/>
        </w:rPr>
        <w:footnoteReference w:id="53"/>
      </w:r>
    </w:p>
    <w:p w:rsidR="00585EBE" w:rsidRDefault="00A47466" w:rsidP="00FD716C">
      <w:r>
        <w:t xml:space="preserve">Dit was tekenend voor de houding van Lodewijk XVI tijdens het proces. Hij wilde met zo veel mogelijk waardigheid </w:t>
      </w:r>
      <w:r w:rsidR="001E6E54">
        <w:t>het</w:t>
      </w:r>
      <w:r>
        <w:t xml:space="preserve"> proces </w:t>
      </w:r>
      <w:r w:rsidR="001E6E54">
        <w:t>weren</w:t>
      </w:r>
      <w:r>
        <w:t xml:space="preserve">, maar deze wens leidde tot koppigheid. Nog altijd voelde hij zich koning – hij weigerde dan ook de naam </w:t>
      </w:r>
      <w:r>
        <w:rPr>
          <w:i/>
        </w:rPr>
        <w:t>Louis Capet</w:t>
      </w:r>
      <w:r>
        <w:t xml:space="preserve"> aan te nemen – en het paste niet bij een koning om </w:t>
      </w:r>
      <w:r w:rsidR="00D8652E">
        <w:t xml:space="preserve">bij zijn onderdanen </w:t>
      </w:r>
      <w:r>
        <w:t xml:space="preserve">te bedelen voor zijn </w:t>
      </w:r>
      <w:r w:rsidR="00D8652E">
        <w:t>leven</w:t>
      </w:r>
      <w:r>
        <w:t xml:space="preserve">. Daarom wilde hij niet de originele speech van DeSèze ten gehore laten brengen voor de Conventie. </w:t>
      </w:r>
      <w:r w:rsidRPr="00A47466">
        <w:t xml:space="preserve"> </w:t>
      </w:r>
      <w:r w:rsidR="00D8652E">
        <w:t>In plaats van bedelen wilde Lodewijk XVI ingaan op de argumenten van de Conventie</w:t>
      </w:r>
      <w:r w:rsidR="002E5F9A">
        <w:t xml:space="preserve">, om zo door middel van een waardige discussie zijn leven te kunnen redden. </w:t>
      </w:r>
    </w:p>
    <w:p w:rsidR="00AD44F2" w:rsidRDefault="00AD44F2" w:rsidP="00FD716C">
      <w:r>
        <w:t xml:space="preserve">Nadat DeSèze klaar was met zijn ruim twee uur lange toespraak nam Lodewijk XVI zelf het woord. Hij wilde zijn verdediging niet herhalen, maar de Conventie vertellen dat zijn ‘geweten hem niets verweet en de verdediging slechts de waarheid had gesproken’. Tenslotte ging hij nog één keer in op de beschuldiging die hem het meest had geraakt: dat hij </w:t>
      </w:r>
      <w:r w:rsidR="00DB1402">
        <w:t>opzettelijk</w:t>
      </w:r>
      <w:r>
        <w:t xml:space="preserve"> Frans bloed had vergoten en de gebeurtenissen van 10 augustus 1</w:t>
      </w:r>
      <w:r w:rsidR="00DB1402">
        <w:t>79</w:t>
      </w:r>
      <w:r>
        <w:t xml:space="preserve">2 zijn schuld waren. Lodewijk XVI had namelijk altijd zijn liefde </w:t>
      </w:r>
      <w:r>
        <w:lastRenderedPageBreak/>
        <w:t xml:space="preserve">voor het volk laten zien, zo sprak hij zelf, en de manier waarop hij zich had gedragen was voor hem </w:t>
      </w:r>
      <w:r w:rsidR="00D83E5F">
        <w:t>‘</w:t>
      </w:r>
      <w:r>
        <w:t>genoeg bewijs</w:t>
      </w:r>
      <w:r w:rsidR="00A17268">
        <w:t>’</w:t>
      </w:r>
      <w:r>
        <w:t xml:space="preserve"> om te laten zien dat hij </w:t>
      </w:r>
      <w:r w:rsidR="00A17268">
        <w:t>zichzelf vaak in gevaar had gebracht, om te</w:t>
      </w:r>
      <w:r w:rsidR="00D83E5F">
        <w:t xml:space="preserve"> zorgen dat het</w:t>
      </w:r>
      <w:r>
        <w:t xml:space="preserve"> bloed</w:t>
      </w:r>
      <w:r w:rsidR="00D83E5F">
        <w:t xml:space="preserve"> van het Franse volk </w:t>
      </w:r>
      <w:r w:rsidR="00A17268">
        <w:t xml:space="preserve">niet </w:t>
      </w:r>
      <w:r w:rsidR="00D83E5F">
        <w:t>vergoten zou worden.’</w:t>
      </w:r>
      <w:r w:rsidR="00D83E5F">
        <w:rPr>
          <w:rStyle w:val="FootnoteReference"/>
        </w:rPr>
        <w:footnoteReference w:id="54"/>
      </w:r>
      <w:r w:rsidR="00D83E5F">
        <w:br/>
        <w:t>Nadat hij dit had gezegd volgde er no</w:t>
      </w:r>
      <w:r w:rsidR="0077733D">
        <w:t>g een kort verhoor. Een commissie onder leiding van Dufriche-Valazé had een sleutelbos van de kamerdienaar van Lodewijk XVI, Marc-Antoine Thierry, geconfisceerd en</w:t>
      </w:r>
      <w:r w:rsidR="00A17268">
        <w:t xml:space="preserve"> legde deze voor aan</w:t>
      </w:r>
      <w:r w:rsidR="0077733D">
        <w:t xml:space="preserve"> Lodewijk XVI </w:t>
      </w:r>
      <w:r w:rsidR="00DB1402">
        <w:t xml:space="preserve">met de vraag </w:t>
      </w:r>
      <w:r w:rsidR="0077733D">
        <w:t xml:space="preserve">of hij de sleutel </w:t>
      </w:r>
      <w:r w:rsidR="001E6E54">
        <w:t>van</w:t>
      </w:r>
      <w:r w:rsidR="0077733D">
        <w:t xml:space="preserve"> het beruchte </w:t>
      </w:r>
      <w:r w:rsidR="0077733D">
        <w:rPr>
          <w:i/>
        </w:rPr>
        <w:t>armoire de fer</w:t>
      </w:r>
      <w:r w:rsidR="0077733D">
        <w:t xml:space="preserve"> herkende. De koning gaf toe dat hij sleutels aan Thierry had gegeven, maar hij wist niet meer waar</w:t>
      </w:r>
      <w:r w:rsidR="001E6E54">
        <w:t xml:space="preserve"> </w:t>
      </w:r>
      <w:r w:rsidR="0077733D">
        <w:t>deze sleutels voor waren. Toen daarna gevraagd werd of hij verder iets te zeggen had ter  verdediging, antwoordde de koning met ‘nee’ en werd hem verzocht te vertrekken.</w:t>
      </w:r>
      <w:r w:rsidR="0077733D">
        <w:rPr>
          <w:rStyle w:val="FootnoteReference"/>
        </w:rPr>
        <w:footnoteReference w:id="55"/>
      </w:r>
    </w:p>
    <w:p w:rsidR="00D8652E" w:rsidRDefault="001E6E54" w:rsidP="00FD716C">
      <w:r>
        <w:t>De</w:t>
      </w:r>
      <w:r w:rsidR="00D8652E">
        <w:t xml:space="preserve"> royalistische visie op deze </w:t>
      </w:r>
      <w:r w:rsidR="002F5C05">
        <w:t>sessie</w:t>
      </w:r>
      <w:r w:rsidR="00D8652E">
        <w:t xml:space="preserve"> gaat ervan</w:t>
      </w:r>
      <w:r w:rsidR="002A6CB0">
        <w:t xml:space="preserve"> </w:t>
      </w:r>
      <w:r w:rsidR="00D8652E">
        <w:t xml:space="preserve">uit dat het voor Lodewijk XVI duidelijk was dat hij niets fout had gedaan. Hij was koning en of </w:t>
      </w:r>
      <w:r>
        <w:t>de</w:t>
      </w:r>
      <w:r w:rsidR="00D8652E">
        <w:t xml:space="preserve"> koning slechte daden had verricht was niet aan de mensen om te beslissen, want juridisch kon </w:t>
      </w:r>
      <w:r>
        <w:t>de</w:t>
      </w:r>
      <w:r w:rsidR="00D8652E">
        <w:t xml:space="preserve"> koning niets fout doen. Hij geloofde dus duidelijk in zowel de monarchie als zijn onschuld en daarom kon hij een juridisch duel accepteren.</w:t>
      </w:r>
      <w:r w:rsidR="00D8652E">
        <w:rPr>
          <w:rStyle w:val="FootnoteReference"/>
        </w:rPr>
        <w:footnoteReference w:id="56"/>
      </w:r>
      <w:r w:rsidR="00D8652E">
        <w:t xml:space="preserve"> Deze visie leidt echter tot </w:t>
      </w:r>
      <w:r>
        <w:t>de</w:t>
      </w:r>
      <w:r w:rsidR="00D8652E">
        <w:t xml:space="preserve"> vraag: als Lodewijk XVI uitging van zijn onschuld </w:t>
      </w:r>
      <w:r>
        <w:t>vanwege</w:t>
      </w:r>
      <w:r w:rsidR="00D8652E">
        <w:t xml:space="preserve"> zijn koningschap, waarom </w:t>
      </w:r>
      <w:r w:rsidR="002F5C05">
        <w:t xml:space="preserve">gebruikte hij deze royalistische ideologie niet tijdens het proces? Hij en DeSèze gingen in op de argumenten </w:t>
      </w:r>
      <w:r>
        <w:t xml:space="preserve">van de Conventie </w:t>
      </w:r>
      <w:r w:rsidR="002F5C05">
        <w:t>– waar ik later aandacht aan zal besteden –</w:t>
      </w:r>
      <w:r w:rsidR="00A17268">
        <w:t>en niet op de be</w:t>
      </w:r>
      <w:r>
        <w:t>tekenis van het koningschap van</w:t>
      </w:r>
      <w:r w:rsidR="00A17268">
        <w:t>.</w:t>
      </w:r>
      <w:r w:rsidR="002F5C05">
        <w:t xml:space="preserve"> </w:t>
      </w:r>
      <w:r w:rsidR="00A17268">
        <w:t>Zij</w:t>
      </w:r>
      <w:r w:rsidR="002F5C05">
        <w:t xml:space="preserve"> </w:t>
      </w:r>
      <w:r>
        <w:t>gingen</w:t>
      </w:r>
      <w:r w:rsidR="002F5C05">
        <w:t xml:space="preserve"> </w:t>
      </w:r>
      <w:r w:rsidR="002A6CB0">
        <w:t xml:space="preserve">daarmee </w:t>
      </w:r>
      <w:r w:rsidR="002F5C05">
        <w:t xml:space="preserve">een discussie </w:t>
      </w:r>
      <w:r>
        <w:t>aan</w:t>
      </w:r>
      <w:r w:rsidR="00A17268">
        <w:t>.</w:t>
      </w:r>
      <w:r w:rsidR="002F5C05">
        <w:t xml:space="preserve"> De royalistische ideologie als tactiek gebruiken had </w:t>
      </w:r>
      <w:r w:rsidR="002A6CB0">
        <w:t xml:space="preserve">Louis XVI </w:t>
      </w:r>
      <w:r w:rsidR="002F5C05">
        <w:t xml:space="preserve"> al achter zich gelaten toen hij de Conventie als </w:t>
      </w:r>
      <w:r w:rsidR="005E186D">
        <w:t>macht accepteerde</w:t>
      </w:r>
      <w:r w:rsidR="002F5C05">
        <w:t xml:space="preserve">. Daarnaast had Lodewijk XVI al eerder </w:t>
      </w:r>
      <w:r w:rsidR="005E186D">
        <w:t>te kennen gegeven</w:t>
      </w:r>
      <w:r w:rsidR="002F5C05">
        <w:t xml:space="preserve"> dat hij geen vertrouwen </w:t>
      </w:r>
      <w:r w:rsidR="005E186D">
        <w:t xml:space="preserve">in de uitslag van het proces had; hij wilde zich rechtvaardigen en </w:t>
      </w:r>
      <w:r w:rsidR="002F5C05">
        <w:t xml:space="preserve">nog één keer laten zien dat hij het beste voor had </w:t>
      </w:r>
      <w:r w:rsidR="005E186D">
        <w:t xml:space="preserve">gehad </w:t>
      </w:r>
      <w:r w:rsidR="002F5C05">
        <w:t xml:space="preserve">met de </w:t>
      </w:r>
      <w:r w:rsidR="005E186D">
        <w:t>bevolking</w:t>
      </w:r>
      <w:r w:rsidR="002F5C05">
        <w:t xml:space="preserve">, om zijn geweten schoon te vegen. </w:t>
      </w:r>
      <w:r w:rsidR="005E186D">
        <w:t>Daarop concertreerde hij zich dan ook tijdens het proces.</w:t>
      </w:r>
    </w:p>
    <w:p w:rsidR="000641E3" w:rsidRDefault="000641E3" w:rsidP="00FD716C">
      <w:r>
        <w:rPr>
          <w:b/>
        </w:rPr>
        <w:t>De veroordeling</w:t>
      </w:r>
      <w:r>
        <w:rPr>
          <w:b/>
        </w:rPr>
        <w:br/>
      </w:r>
      <w:r w:rsidR="00A01815">
        <w:t xml:space="preserve">Nadat deze sessie voorbij was gingen de discussies in de </w:t>
      </w:r>
      <w:r w:rsidR="00A17268">
        <w:t>Conventie niet meer over</w:t>
      </w:r>
      <w:r w:rsidR="00A01815">
        <w:t xml:space="preserve"> de schuld van de koning, maar </w:t>
      </w:r>
      <w:r w:rsidR="002A6CB0">
        <w:t>over</w:t>
      </w:r>
      <w:r w:rsidR="00A17268">
        <w:t xml:space="preserve"> zijn lot</w:t>
      </w:r>
      <w:r w:rsidR="00A01815">
        <w:t xml:space="preserve">. </w:t>
      </w:r>
      <w:r w:rsidR="00B3624C">
        <w:t xml:space="preserve">Zoals in de inleiding vermeld deden de Girondijnen hun best om, na het </w:t>
      </w:r>
      <w:r w:rsidR="005E186D">
        <w:t>verhoor</w:t>
      </w:r>
      <w:r w:rsidR="00B3624C">
        <w:t xml:space="preserve"> van de koning, </w:t>
      </w:r>
      <w:r w:rsidR="005E186D">
        <w:t>het</w:t>
      </w:r>
      <w:r w:rsidR="00B3624C">
        <w:t xml:space="preserve"> uiteindelijk oordeel voor te laten leggen aan het volk. </w:t>
      </w:r>
      <w:r w:rsidR="008433C9">
        <w:t xml:space="preserve">De leden van het Conventie konden het hier echter niet over eens worden – geleid door de spanningen tussen Girondijnen en </w:t>
      </w:r>
      <w:r w:rsidR="008433C9">
        <w:rPr>
          <w:i/>
        </w:rPr>
        <w:t>Montagnards</w:t>
      </w:r>
      <w:r w:rsidR="008433C9">
        <w:t xml:space="preserve"> – </w:t>
      </w:r>
      <w:r w:rsidR="00A01815">
        <w:t>en zo duurde de discussie voort</w:t>
      </w:r>
      <w:r w:rsidR="008433C9">
        <w:t xml:space="preserve">. </w:t>
      </w:r>
      <w:r w:rsidR="00A01815">
        <w:t xml:space="preserve">Daarnaast ging de dagenlang durende discussie ook over de formulering van de vragen </w:t>
      </w:r>
      <w:r w:rsidR="005E186D">
        <w:t>waarover</w:t>
      </w:r>
      <w:r w:rsidR="00A01815">
        <w:t xml:space="preserve"> gestemd moest worden en over de volgorde waarin deze </w:t>
      </w:r>
      <w:r w:rsidR="005E186D">
        <w:t>gesteld zouden worden</w:t>
      </w:r>
      <w:r w:rsidR="00A01815">
        <w:t>. Uiteindelijk was op 1</w:t>
      </w:r>
      <w:r w:rsidR="00363927">
        <w:t>5</w:t>
      </w:r>
      <w:r w:rsidR="00A01815">
        <w:t xml:space="preserve"> januari 1793 de Conventie klaar om met het stemmen te beginnen. </w:t>
      </w:r>
      <w:r w:rsidR="008433C9">
        <w:t>De stemming ging over d</w:t>
      </w:r>
      <w:r w:rsidR="005E186D">
        <w:t>e volgende drie vragen:</w:t>
      </w:r>
      <w:r w:rsidR="005E186D">
        <w:br/>
        <w:t>- Is Louis</w:t>
      </w:r>
      <w:r w:rsidR="008433C9">
        <w:t xml:space="preserve"> Capet, voorm</w:t>
      </w:r>
      <w:r w:rsidR="005E186D">
        <w:t>alig k</w:t>
      </w:r>
      <w:r w:rsidR="008433C9">
        <w:t xml:space="preserve">oning van de Fransen, schuldig aan </w:t>
      </w:r>
      <w:r w:rsidR="00363927">
        <w:t xml:space="preserve">samenzwering gericht tegen </w:t>
      </w:r>
      <w:r w:rsidR="008433C9">
        <w:t xml:space="preserve">de </w:t>
      </w:r>
      <w:r w:rsidR="00363927">
        <w:t xml:space="preserve">openbare </w:t>
      </w:r>
      <w:r w:rsidR="008433C9">
        <w:t xml:space="preserve">vrijheid en </w:t>
      </w:r>
      <w:r w:rsidR="00363927">
        <w:t>aan aanslagen op de nationale veiligheid?</w:t>
      </w:r>
      <w:r w:rsidR="008433C9">
        <w:t xml:space="preserve"> </w:t>
      </w:r>
      <w:r w:rsidR="00A01815">
        <w:t>Ja of N</w:t>
      </w:r>
      <w:r w:rsidR="005E186D">
        <w:t>ee</w:t>
      </w:r>
      <w:r w:rsidR="00A01815">
        <w:rPr>
          <w:rStyle w:val="FootnoteReference"/>
        </w:rPr>
        <w:footnoteReference w:id="57"/>
      </w:r>
      <w:r w:rsidR="008433C9">
        <w:br/>
        <w:t xml:space="preserve">- </w:t>
      </w:r>
      <w:r w:rsidR="001F6952">
        <w:t>Zal deze uitkomst voorgelegd worden aan het volk ter ratificatie?</w:t>
      </w:r>
      <w:r w:rsidR="005E186D">
        <w:t xml:space="preserve"> Ja of Nee?</w:t>
      </w:r>
      <w:r w:rsidR="008433C9">
        <w:br/>
        <w:t>- Welke straf zal Lodewijk XVI opgelegd krijgen?</w:t>
      </w:r>
      <w:r w:rsidR="00A01815">
        <w:rPr>
          <w:rStyle w:val="FootnoteReference"/>
        </w:rPr>
        <w:footnoteReference w:id="58"/>
      </w:r>
    </w:p>
    <w:p w:rsidR="00A01815" w:rsidRDefault="00363927" w:rsidP="00FD716C">
      <w:r>
        <w:t xml:space="preserve">Van de 719 aanwezige leden van de Conventie stemden er 693 ‘Ja’ op de eerste vraag. De </w:t>
      </w:r>
      <w:r w:rsidR="007A1309">
        <w:t>andere 26 gaven een onduidelijk</w:t>
      </w:r>
      <w:r>
        <w:t xml:space="preserve"> </w:t>
      </w:r>
      <w:r w:rsidR="007A1309">
        <w:t>antwoord</w:t>
      </w:r>
      <w:r>
        <w:t xml:space="preserve">: ze waren onzeker </w:t>
      </w:r>
      <w:r w:rsidR="001F6952">
        <w:t xml:space="preserve">of vonden niet dat de Conventie het recht had de </w:t>
      </w:r>
      <w:r w:rsidR="001F6952">
        <w:lastRenderedPageBreak/>
        <w:t>koning te berechten. Het result</w:t>
      </w:r>
      <w:r w:rsidR="007A1309">
        <w:t>aat was echter duidelijk;</w:t>
      </w:r>
      <w:r w:rsidR="001F6952">
        <w:t xml:space="preserve"> Lodewijk XVI was schuldig aan verraad.</w:t>
      </w:r>
      <w:r w:rsidR="001F6952">
        <w:rPr>
          <w:rStyle w:val="FootnoteReference"/>
        </w:rPr>
        <w:footnoteReference w:id="59"/>
      </w:r>
      <w:r w:rsidR="00A17268">
        <w:t xml:space="preserve"> De tweede vraag werd</w:t>
      </w:r>
      <w:r w:rsidR="00AE48A6">
        <w:t xml:space="preserve"> weggestemd, met 283 stemmen voor en 424 tegen.</w:t>
      </w:r>
      <w:r w:rsidR="00AE48A6">
        <w:rPr>
          <w:rStyle w:val="FootnoteReference"/>
        </w:rPr>
        <w:footnoteReference w:id="60"/>
      </w:r>
      <w:r w:rsidR="00AE48A6">
        <w:t xml:space="preserve"> De Conventie wist </w:t>
      </w:r>
      <w:r w:rsidR="002A6CB0">
        <w:t xml:space="preserve">daarna </w:t>
      </w:r>
      <w:r w:rsidR="00AE48A6">
        <w:t xml:space="preserve">dat het lot van hun voormalige koning volledig in hun handen rustte. Over de derde vraag </w:t>
      </w:r>
      <w:r w:rsidR="007A1309">
        <w:t>nam</w:t>
      </w:r>
      <w:r w:rsidR="00AE48A6">
        <w:t xml:space="preserve"> de Conventie </w:t>
      </w:r>
      <w:r w:rsidR="007A1309">
        <w:t>de meeste tijd</w:t>
      </w:r>
      <w:r w:rsidR="00AE48A6">
        <w:t>, maar na 36 uur was duidelijk dat de koning naar de guillotine zou worden gestuurd. Nadat elk lid gestemd had, was dit de uitslag:</w:t>
      </w:r>
    </w:p>
    <w:p w:rsidR="00AE48A6" w:rsidRDefault="00AE48A6" w:rsidP="00AE48A6">
      <w:pPr>
        <w:ind w:left="567" w:hanging="567"/>
      </w:pPr>
      <w:r>
        <w:tab/>
        <w:t>361 voor de doodstraf, zonder voorwaarden</w:t>
      </w:r>
      <w:r>
        <w:br/>
        <w:t>26 voor de doodstraf, maar met mogelijkheid tot ui</w:t>
      </w:r>
      <w:r w:rsidR="007A1309">
        <w:t>tstel.</w:t>
      </w:r>
      <w:r w:rsidR="007A1309">
        <w:br/>
      </w:r>
      <w:r>
        <w:t>46 voor de doodstraf, maar allee</w:t>
      </w:r>
      <w:r w:rsidR="007A1309">
        <w:t>n onder bepaalde omstandigheden</w:t>
      </w:r>
      <w:r w:rsidR="000A5CCF">
        <w:br/>
        <w:t>286 voor gevangenisstraf, met mogelijkheid tot verbanning</w:t>
      </w:r>
      <w:r w:rsidR="000A5CCF">
        <w:br/>
        <w:t>2 voor levenslange gevangenisstraf</w:t>
      </w:r>
      <w:r w:rsidR="000A5CCF">
        <w:rPr>
          <w:rStyle w:val="FootnoteReference"/>
        </w:rPr>
        <w:footnoteReference w:id="61"/>
      </w:r>
    </w:p>
    <w:p w:rsidR="000A5CCF" w:rsidRDefault="000A5CCF" w:rsidP="000A5CCF">
      <w:r>
        <w:t>Toen deze uitslag bekend werd</w:t>
      </w:r>
      <w:r w:rsidR="002A6CB0">
        <w:t>,</w:t>
      </w:r>
      <w:r>
        <w:t xml:space="preserve"> was het tijd voor de laatste daad die Lodewijk XVI kon doen om zijn leven te redden. DeSèze, die samen met de andere advocaten de stemrondes had aanschouwd, las een brief van de koning voor. In deze brief stelde </w:t>
      </w:r>
      <w:r w:rsidR="002A6CB0">
        <w:t xml:space="preserve">de </w:t>
      </w:r>
      <w:r w:rsidR="007A1309">
        <w:t>vorst</w:t>
      </w:r>
      <w:r>
        <w:t xml:space="preserve"> dat hij het zijn eer en familie verplicht</w:t>
      </w:r>
      <w:r w:rsidR="002A6CB0">
        <w:t xml:space="preserve"> was</w:t>
      </w:r>
      <w:r>
        <w:t xml:space="preserve"> om geen ‘oordeel te accepteren dat hem beschuldig</w:t>
      </w:r>
      <w:r w:rsidR="002A6CB0">
        <w:t>de</w:t>
      </w:r>
      <w:r>
        <w:t xml:space="preserve"> van</w:t>
      </w:r>
      <w:r w:rsidR="0074102C">
        <w:t xml:space="preserve"> een misdaad waar hij</w:t>
      </w:r>
      <w:r w:rsidR="007A1309">
        <w:t xml:space="preserve"> zichzelf niet schuldig aan </w:t>
      </w:r>
      <w:r w:rsidR="00D01E94">
        <w:t>vo</w:t>
      </w:r>
      <w:r w:rsidR="0074102C">
        <w:t>nd</w:t>
      </w:r>
      <w:r w:rsidR="00D01E94">
        <w:t xml:space="preserve">’, en riep </w:t>
      </w:r>
      <w:r w:rsidR="0074102C">
        <w:t xml:space="preserve">het volk </w:t>
      </w:r>
      <w:r w:rsidR="002A6CB0">
        <w:t xml:space="preserve">op </w:t>
      </w:r>
      <w:r w:rsidR="0074102C">
        <w:t>om hem te verdedigen door h</w:t>
      </w:r>
      <w:r w:rsidR="00D01E94">
        <w:t>e</w:t>
      </w:r>
      <w:r w:rsidR="007A1309">
        <w:t>t</w:t>
      </w:r>
      <w:r w:rsidR="0074102C">
        <w:t xml:space="preserve"> het vonnis voor te leggen. Hij riep zijn ‘officiële verdedigers’ op </w:t>
      </w:r>
      <w:r w:rsidR="002A6CB0">
        <w:t>zo</w:t>
      </w:r>
      <w:r w:rsidR="0074102C">
        <w:t xml:space="preserve">dat zij de Conventie zouden laten weten dat dit zou gebeuren. </w:t>
      </w:r>
      <w:r w:rsidR="007A1309">
        <w:t>D</w:t>
      </w:r>
      <w:r w:rsidR="0074102C">
        <w:t xml:space="preserve">e Conventie reageerde hier furieus op. Hier was weer de koning die </w:t>
      </w:r>
      <w:r w:rsidR="007A1309">
        <w:t xml:space="preserve">de leden </w:t>
      </w:r>
      <w:r w:rsidR="0074102C">
        <w:t>kenden als een absoluut vorst, de koning die bevelen gaf en verwachtte dat die werden opgevolgd. Robespierre was degene die deze oproep zonder enig compromis neersabelde en het bleek dat vriend en vijand het met hem eens was.</w:t>
      </w:r>
      <w:r w:rsidR="0074102C">
        <w:rPr>
          <w:rStyle w:val="FootnoteReference"/>
        </w:rPr>
        <w:footnoteReference w:id="62"/>
      </w:r>
      <w:r>
        <w:br/>
        <w:t xml:space="preserve">Uiteindelijk werd er nog </w:t>
      </w:r>
      <w:r w:rsidR="0074102C">
        <w:t xml:space="preserve">op 18 januari </w:t>
      </w:r>
      <w:r>
        <w:t>een voorstel gedaan om de voltrekking van het vonnis uit te stellen.</w:t>
      </w:r>
      <w:r w:rsidR="0074102C">
        <w:t xml:space="preserve"> De uitslag kwam op 20 januari.</w:t>
      </w:r>
      <w:r>
        <w:t xml:space="preserve"> 380 leden stemden tegen, 310 voor. </w:t>
      </w:r>
      <w:r w:rsidR="002A6CB0">
        <w:t>Er</w:t>
      </w:r>
      <w:r w:rsidR="0074102C">
        <w:t xml:space="preserve"> werd besloten dat het vonnis de volgende dag voltrokken </w:t>
      </w:r>
      <w:r w:rsidR="007A1309">
        <w:t>zou</w:t>
      </w:r>
      <w:r w:rsidR="0074102C">
        <w:t xml:space="preserve"> worden.</w:t>
      </w:r>
      <w:r w:rsidR="0074102C">
        <w:rPr>
          <w:rStyle w:val="FootnoteReference"/>
        </w:rPr>
        <w:footnoteReference w:id="63"/>
      </w:r>
    </w:p>
    <w:p w:rsidR="003F2192" w:rsidRDefault="00EA6A92" w:rsidP="000A5CCF">
      <w:r>
        <w:t xml:space="preserve">Zo werd het proces van Lodewijk – Capet of XVI – uiteindelijk beëindigd. Het lot van de voormalige koning werd </w:t>
      </w:r>
      <w:r w:rsidR="002A6CB0">
        <w:t>be</w:t>
      </w:r>
      <w:r>
        <w:t xml:space="preserve">zegeld door een uitzonderlijk lange stemronde, waar hij geen controle over had. De vraag blijft echter waarom hij ter dood veroordeeld </w:t>
      </w:r>
      <w:r w:rsidR="009C7E30">
        <w:t>i</w:t>
      </w:r>
      <w:r>
        <w:t xml:space="preserve">s. Wat waren de belangrijkste beschuldigingen van de Conventie tegen Lodewijk XVI en hoe verdedigden Lodewijk XVI en zijn advocaten </w:t>
      </w:r>
      <w:r w:rsidR="007A1309">
        <w:t xml:space="preserve">zich tegen </w:t>
      </w:r>
      <w:r>
        <w:t>deze beschuldigingen? En waren deze beschuldigingen überhaupt wel gegrond? Hier ga ik nu naar kijken.</w:t>
      </w:r>
    </w:p>
    <w:p w:rsidR="003F2192" w:rsidRDefault="003F2192" w:rsidP="000A5CCF">
      <w:r>
        <w:rPr>
          <w:b/>
        </w:rPr>
        <w:t>De beschuldigingen</w:t>
      </w:r>
      <w:r>
        <w:rPr>
          <w:b/>
        </w:rPr>
        <w:br/>
      </w:r>
      <w:r w:rsidR="004D2F81">
        <w:t xml:space="preserve">Voor Lodewijk XVI werd een </w:t>
      </w:r>
      <w:r w:rsidR="004D2F81">
        <w:rPr>
          <w:i/>
        </w:rPr>
        <w:t>acte énonciatif</w:t>
      </w:r>
      <w:r w:rsidR="001A2DD4">
        <w:t xml:space="preserve"> opgesteld, waarin 33 beschuldigingen aan het adres van de koning opgesteld waren. Dit document werd op 11 december 1792 tijdens de eerste sessie opgelezen, waarna het verhoor </w:t>
      </w:r>
      <w:r w:rsidR="007513A5">
        <w:t>door</w:t>
      </w:r>
      <w:r w:rsidR="001A2DD4">
        <w:t xml:space="preserve"> Barère begon. </w:t>
      </w:r>
      <w:r w:rsidR="00F25108">
        <w:t>Ik heb niet alle beschuldigingen behandeld, maar twee criteria gebruikt om tot mijn selectie te komen. Allereerst vereisen sommige beschuldigingen een extensief onderzoek dat beter past in een apart artikel in plaats van in deze brede bachelorscriptie. Daarnaast zijn sommige beschuldigingen niet interessant omdat er geen discussie over mogelijk is, aangezien het bewijsmateriaal niet meer beschikbaar is, of omdat ze door beide partijen geaccepteerd werden als de waarheid</w:t>
      </w:r>
      <w:r w:rsidR="001A2DD4">
        <w:t>.</w:t>
      </w:r>
      <w:r w:rsidR="008F7BCB">
        <w:t xml:space="preserve"> Een voorbeeld van laatstgenoemde is beschuldiging </w:t>
      </w:r>
      <w:r w:rsidR="008F7BCB">
        <w:lastRenderedPageBreak/>
        <w:t>no.</w:t>
      </w:r>
      <w:r w:rsidR="007513A5">
        <w:t xml:space="preserve"> </w:t>
      </w:r>
      <w:r w:rsidR="008F7BCB">
        <w:t xml:space="preserve">28, waarin staat dat Lodewijk XVI zijn Zwitserse Garde bij zich hield, ook al was dit verboden door de </w:t>
      </w:r>
      <w:r w:rsidR="00AE24C1">
        <w:t>grondwet</w:t>
      </w:r>
      <w:r w:rsidR="008F7BCB">
        <w:t xml:space="preserve"> en had de Wetgevende Vergadering de koning </w:t>
      </w:r>
      <w:r w:rsidR="007513A5">
        <w:t xml:space="preserve">meermaals </w:t>
      </w:r>
      <w:r w:rsidR="008F7BCB">
        <w:t>bevolen dat de gardisten moesten vertrekken. Aangezien hier geen discussie over mogelijk is – de gardisten bleven tenslotte tot 10 augustus 1792 bij Lodewijk XVI – heeft het geen nut deze beschuldiging apart te bespreken.</w:t>
      </w:r>
      <w:r w:rsidR="008F7BCB">
        <w:br/>
      </w:r>
      <w:r w:rsidR="001A2DD4">
        <w:t xml:space="preserve">Naast de beschuldigingen in de </w:t>
      </w:r>
      <w:r w:rsidR="001A2DD4">
        <w:rPr>
          <w:i/>
        </w:rPr>
        <w:t>acte énonciatif</w:t>
      </w:r>
      <w:r w:rsidR="001A2DD4">
        <w:t xml:space="preserve"> zal ik me ook richten op het verhoor </w:t>
      </w:r>
      <w:r w:rsidR="007513A5">
        <w:t>door</w:t>
      </w:r>
      <w:r w:rsidR="001A2DD4">
        <w:t xml:space="preserve"> Barère, waarin </w:t>
      </w:r>
      <w:r w:rsidR="007513A5">
        <w:t xml:space="preserve">de </w:t>
      </w:r>
      <w:r w:rsidR="001A2DD4">
        <w:t>verdere context van d</w:t>
      </w:r>
      <w:r w:rsidR="002C624B">
        <w:t xml:space="preserve">e beschuldigingen wordt gegeven en Lodewijk XVI zijn </w:t>
      </w:r>
      <w:r w:rsidR="00AE24C1">
        <w:t>eigen weerwoord gaf zonder bijzijn van zijn advocaten.</w:t>
      </w:r>
    </w:p>
    <w:p w:rsidR="00A65461" w:rsidRDefault="00A65461" w:rsidP="000A5CCF">
      <w:r>
        <w:t>De eerste beschuldiging gaat terug naar 2</w:t>
      </w:r>
      <w:r w:rsidR="003C3C5A">
        <w:t xml:space="preserve">0 juni 1789, de dag dat de grote hal van de </w:t>
      </w:r>
      <w:r w:rsidR="003C3C5A">
        <w:rPr>
          <w:i/>
        </w:rPr>
        <w:t xml:space="preserve">Menus </w:t>
      </w:r>
      <w:r w:rsidR="003C3C5A" w:rsidRPr="003C3C5A">
        <w:rPr>
          <w:i/>
        </w:rPr>
        <w:t>Plaisirs</w:t>
      </w:r>
      <w:r w:rsidR="003C3C5A">
        <w:rPr>
          <w:i/>
        </w:rPr>
        <w:t xml:space="preserve">, </w:t>
      </w:r>
      <w:r w:rsidRPr="003C3C5A">
        <w:t xml:space="preserve">waar </w:t>
      </w:r>
      <w:r>
        <w:t xml:space="preserve">de </w:t>
      </w:r>
      <w:r w:rsidR="003C3C5A">
        <w:t>Nationale Vergadering</w:t>
      </w:r>
      <w:r>
        <w:t xml:space="preserve"> samenkwam</w:t>
      </w:r>
      <w:r w:rsidR="003C3C5A">
        <w:t>,</w:t>
      </w:r>
      <w:r>
        <w:t xml:space="preserve"> gesloten werd. De Conventie zag dit als een aanval op de soevereiniteit van </w:t>
      </w:r>
      <w:r w:rsidR="00AE24C1">
        <w:t>het volk</w:t>
      </w:r>
      <w:r w:rsidR="00A546D9">
        <w:t>.</w:t>
      </w:r>
      <w:r>
        <w:t xml:space="preserve"> Ook beweerde de Conventie dat d</w:t>
      </w:r>
      <w:r w:rsidR="007513A5">
        <w:t>e sluiting op een gewelddadige manier</w:t>
      </w:r>
      <w:r>
        <w:t xml:space="preserve"> </w:t>
      </w:r>
      <w:r w:rsidR="00AE24C1">
        <w:t>had plaatsgevonden</w:t>
      </w:r>
      <w:r>
        <w:t>.</w:t>
      </w:r>
      <w:r w:rsidR="00C20F72">
        <w:t xml:space="preserve"> </w:t>
      </w:r>
      <w:r>
        <w:t xml:space="preserve">Op deze eerste beschuldiging valt veel af te dingen. Allereerst werd de zaal gesloten om een nieuwe sessie met de koning op 23 juni voor te bereiden. Dit besluit werd </w:t>
      </w:r>
      <w:r w:rsidR="00AE24C1">
        <w:t xml:space="preserve">door het kamp van de koning </w:t>
      </w:r>
      <w:r>
        <w:t>genomen omdat de Staten Generaal er te lan</w:t>
      </w:r>
      <w:r w:rsidR="003C3C5A">
        <w:t>g over ded</w:t>
      </w:r>
      <w:r w:rsidR="007513A5">
        <w:t>en</w:t>
      </w:r>
      <w:r w:rsidR="003C3C5A">
        <w:t xml:space="preserve"> om beslissingen te </w:t>
      </w:r>
      <w:r w:rsidR="007513A5">
        <w:t>nemen</w:t>
      </w:r>
      <w:r w:rsidR="00AE24C1">
        <w:t>. Lodewijk XVI wilde</w:t>
      </w:r>
      <w:r w:rsidR="003C3C5A">
        <w:t xml:space="preserve"> </w:t>
      </w:r>
      <w:r w:rsidR="007513A5">
        <w:t xml:space="preserve">om </w:t>
      </w:r>
      <w:r w:rsidR="003C3C5A">
        <w:t>bestwil van de mensen zorgen voor nieuwe, snelle regelgeving. Daarnaast was er geen sprake van geweld, maar was de zaal gewoon gesloten.</w:t>
      </w:r>
      <w:r w:rsidR="003C3C5A">
        <w:rPr>
          <w:rStyle w:val="FootnoteReference"/>
        </w:rPr>
        <w:footnoteReference w:id="64"/>
      </w:r>
      <w:r w:rsidR="003C3C5A">
        <w:t xml:space="preserve"> Deze v</w:t>
      </w:r>
      <w:r w:rsidR="00746F7A">
        <w:t>er</w:t>
      </w:r>
      <w:r w:rsidR="003C3C5A">
        <w:t xml:space="preserve">sie laat Lodewijk XVI in </w:t>
      </w:r>
      <w:r w:rsidR="00746F7A">
        <w:t>een</w:t>
      </w:r>
      <w:r w:rsidR="003C3C5A">
        <w:t xml:space="preserve"> positie</w:t>
      </w:r>
      <w:r w:rsidR="00746F7A">
        <w:t>f</w:t>
      </w:r>
      <w:r w:rsidR="003C3C5A">
        <w:t xml:space="preserve"> daglicht zien. Maar de koning gaat niet vrijuit. </w:t>
      </w:r>
      <w:r w:rsidR="00A546D9">
        <w:t xml:space="preserve">Geen van de drie Standen was ingelicht over de koninklijke sessie, dus waren de </w:t>
      </w:r>
      <w:r w:rsidR="005926BF">
        <w:t xml:space="preserve">leden van de </w:t>
      </w:r>
      <w:r w:rsidR="00A546D9">
        <w:t xml:space="preserve">Derde Stand en ook verschillende van de Eerste Stand verbaasd, kwaad en bang toen ze zagen dat hun vergaderzaal gesloten was. De sluiting van de zaal werd daarom gezien als een ‘daad van despotisme’. Ook stonden er soldaten bij de </w:t>
      </w:r>
      <w:r w:rsidR="00A546D9">
        <w:rPr>
          <w:i/>
        </w:rPr>
        <w:t>Menus Plaisirs</w:t>
      </w:r>
      <w:r w:rsidR="00A546D9">
        <w:t>, wat de angst verder deed groeien. Van geweld was echter geen sprake.</w:t>
      </w:r>
      <w:r w:rsidR="00A546D9">
        <w:rPr>
          <w:rStyle w:val="FootnoteReference"/>
        </w:rPr>
        <w:footnoteReference w:id="65"/>
      </w:r>
      <w:r w:rsidR="00A546D9">
        <w:br/>
        <w:t xml:space="preserve">Deze eerste beschuldiging kan daarom worden gezien als een tragisch misverstand, veroorzaakt door een tactische fout </w:t>
      </w:r>
      <w:r w:rsidR="005926BF">
        <w:t>van</w:t>
      </w:r>
      <w:r w:rsidR="00A546D9">
        <w:t xml:space="preserve"> Lodewijk XVI. Het was echter </w:t>
      </w:r>
      <w:r w:rsidR="005926BF">
        <w:t xml:space="preserve">formeel gezien </w:t>
      </w:r>
      <w:r w:rsidR="00A546D9">
        <w:t xml:space="preserve">geen aanval op de soevereiniteit van de mensen, dus deze beschuldiging kan geschrapt worden. </w:t>
      </w:r>
      <w:r w:rsidR="00C20F72">
        <w:t xml:space="preserve">Tijdens het verhoor </w:t>
      </w:r>
      <w:r w:rsidR="005926BF">
        <w:t>door</w:t>
      </w:r>
      <w:r w:rsidR="00C20F72">
        <w:t xml:space="preserve"> Barère </w:t>
      </w:r>
      <w:r w:rsidR="005926BF">
        <w:t>be</w:t>
      </w:r>
      <w:r w:rsidR="00C20F72">
        <w:t>antwoordde Lodewijk XVI op deze beschuldiging door te stellen dat ‘er geen wetten bestonden die dergelijke zaken behandelde</w:t>
      </w:r>
      <w:r w:rsidR="005926BF">
        <w:t>n</w:t>
      </w:r>
      <w:r w:rsidR="00C20F72">
        <w:t xml:space="preserve">’, waarmee hij </w:t>
      </w:r>
      <w:r w:rsidR="005926BF">
        <w:t>bedoelde</w:t>
      </w:r>
      <w:r w:rsidR="00C20F72">
        <w:t xml:space="preserve"> dat hij in zijn recht stond om de zaal te sluiten en er bewakers neer te zetten.</w:t>
      </w:r>
      <w:r w:rsidR="00C20F72">
        <w:rPr>
          <w:rStyle w:val="FootnoteReference"/>
        </w:rPr>
        <w:footnoteReference w:id="66"/>
      </w:r>
    </w:p>
    <w:p w:rsidR="007A1309" w:rsidRDefault="007A1309" w:rsidP="000A5CCF">
      <w:r>
        <w:t xml:space="preserve">De tweede beschuldiging </w:t>
      </w:r>
      <w:r w:rsidR="0023444E">
        <w:t xml:space="preserve">ging over de koninklijke sessie van 23 juni. In de </w:t>
      </w:r>
      <w:r w:rsidR="0023444E">
        <w:rPr>
          <w:i/>
        </w:rPr>
        <w:t>acte énonciatif</w:t>
      </w:r>
      <w:r w:rsidR="0023444E">
        <w:t xml:space="preserve"> w</w:t>
      </w:r>
      <w:r w:rsidR="005926BF">
        <w:t>o</w:t>
      </w:r>
      <w:r w:rsidR="0023444E">
        <w:t>rd</w:t>
      </w:r>
      <w:r w:rsidR="005926BF">
        <w:t>t</w:t>
      </w:r>
      <w:r w:rsidR="00AE24C1">
        <w:t xml:space="preserve"> </w:t>
      </w:r>
      <w:r w:rsidR="0023444E">
        <w:t>ge</w:t>
      </w:r>
      <w:r w:rsidR="005926BF">
        <w:t>steld</w:t>
      </w:r>
      <w:r w:rsidR="0023444E">
        <w:t xml:space="preserve"> dat Lodewijk XVI </w:t>
      </w:r>
      <w:r w:rsidR="00BA0BD9">
        <w:t>twee koninklijke verklaringen dicteerde aan de Staten</w:t>
      </w:r>
      <w:r w:rsidR="00AE24C1">
        <w:t xml:space="preserve"> </w:t>
      </w:r>
      <w:r w:rsidR="00BA0BD9">
        <w:t xml:space="preserve">Generaal die tegen de </w:t>
      </w:r>
      <w:r w:rsidR="00BA0BD9">
        <w:rPr>
          <w:i/>
        </w:rPr>
        <w:t>liberté</w:t>
      </w:r>
      <w:r w:rsidR="00BA0BD9">
        <w:t xml:space="preserve"> in gingen. Ook beval hij de Nationale Vergadering om uiteen te gaan.</w:t>
      </w:r>
      <w:r w:rsidR="00BA0BD9">
        <w:br/>
        <w:t>De twee koninklijke verklaringen gingen over hoe de Staten</w:t>
      </w:r>
      <w:r w:rsidR="00AE24C1">
        <w:t xml:space="preserve"> </w:t>
      </w:r>
      <w:r w:rsidR="00BA0BD9">
        <w:t>Generaal de komende dagen te werk moest</w:t>
      </w:r>
      <w:r w:rsidR="005926BF">
        <w:t>en</w:t>
      </w:r>
      <w:r w:rsidR="00BA0BD9">
        <w:t xml:space="preserve"> gaan en over de nieuwe financiële maatregelen die genomen moesten worden. </w:t>
      </w:r>
      <w:r w:rsidR="00B2050F">
        <w:t xml:space="preserve">Hier maakte Lodewijk XVI een fout. </w:t>
      </w:r>
      <w:r w:rsidR="005926BF">
        <w:t>In de verklaringen van de koning werd geen van de</w:t>
      </w:r>
      <w:r w:rsidR="00B2050F">
        <w:t xml:space="preserve"> besluiten van de Nationale Vergadering  erkend</w:t>
      </w:r>
      <w:r w:rsidR="005926BF">
        <w:t>, integendeel:  niets van</w:t>
      </w:r>
      <w:r w:rsidR="00B2050F">
        <w:t xml:space="preserve"> en wat </w:t>
      </w:r>
      <w:r w:rsidR="00747C79">
        <w:t>daar</w:t>
      </w:r>
      <w:r w:rsidR="00B2050F">
        <w:t>in stond werd  meegenomen. De Stand</w:t>
      </w:r>
      <w:r w:rsidR="001D613B">
        <w:t>en werden weer gescheiden en ook werd er weer gescheiden gepraat over de privileges van de Eerste en Tweede Stand, net als over hoe de nieuwe vorm van de Staten</w:t>
      </w:r>
      <w:r w:rsidR="00AE24C1">
        <w:t xml:space="preserve"> </w:t>
      </w:r>
      <w:r w:rsidR="001D613B">
        <w:t>Generaal er constitutioneel uit zou moeten zien. Ook mochten er geen vreemdelingen bij de debatten aanwezig zijn.</w:t>
      </w:r>
      <w:r w:rsidR="001D613B">
        <w:rPr>
          <w:rStyle w:val="FootnoteReference"/>
        </w:rPr>
        <w:footnoteReference w:id="67"/>
      </w:r>
      <w:r w:rsidR="001D613B">
        <w:t xml:space="preserve"> De woede over deze eerste verklaring was niet louter gebaseerd op de inhoud, maar ook op de </w:t>
      </w:r>
      <w:r w:rsidR="00747C79">
        <w:t>presentatie ervan</w:t>
      </w:r>
      <w:r w:rsidR="001D613B">
        <w:t xml:space="preserve">. De koning had de regels opgesteld en zijn onderdanen konden niets doen dan </w:t>
      </w:r>
      <w:r w:rsidR="00AE24C1">
        <w:t>de</w:t>
      </w:r>
      <w:r w:rsidR="00747C79">
        <w:t>ze accepteren</w:t>
      </w:r>
      <w:r w:rsidR="00AE24C1">
        <w:t>. In de tweede verklaring bleek</w:t>
      </w:r>
      <w:r w:rsidR="001D613B">
        <w:t xml:space="preserve"> dat de koning </w:t>
      </w:r>
      <w:r w:rsidR="00747C79">
        <w:t xml:space="preserve">geen van </w:t>
      </w:r>
      <w:r w:rsidR="001D613B">
        <w:t xml:space="preserve">de privileges wilde </w:t>
      </w:r>
      <w:r w:rsidR="00747C79">
        <w:t>af</w:t>
      </w:r>
      <w:r w:rsidR="001D613B">
        <w:t>schaffen,</w:t>
      </w:r>
      <w:r w:rsidR="00747C79">
        <w:t xml:space="preserve">behalve </w:t>
      </w:r>
      <w:r w:rsidR="001D613B">
        <w:t xml:space="preserve"> de fiscale onaantastbaarheid </w:t>
      </w:r>
      <w:r w:rsidR="00995E16">
        <w:t>van Eerste en Tweede Stand. Wanneer de Staten</w:t>
      </w:r>
      <w:r w:rsidR="00AE24C1">
        <w:t xml:space="preserve"> </w:t>
      </w:r>
      <w:r w:rsidR="00995E16">
        <w:t xml:space="preserve">Generaal zich niet zouden </w:t>
      </w:r>
      <w:r w:rsidR="00995E16">
        <w:lastRenderedPageBreak/>
        <w:t>houden aan deze regels, zou Lodewijk XVI de vergadering opschorten.</w:t>
      </w:r>
      <w:r w:rsidR="00995E16">
        <w:rPr>
          <w:rStyle w:val="FootnoteReference"/>
        </w:rPr>
        <w:footnoteReference w:id="68"/>
      </w:r>
      <w:r w:rsidR="00995E16">
        <w:br/>
        <w:t>Uit deze twee verklaringen blijkt dat Lodewijk XVI inderdaad zijn ideeën wilde dicteren aan de Staten</w:t>
      </w:r>
      <w:r w:rsidR="00AE24C1">
        <w:t xml:space="preserve"> </w:t>
      </w:r>
      <w:r w:rsidR="00995E16">
        <w:t>Generaal. Maar, zoals Lodewijk XVI zelf zei, bestonden er toen nog geen wetten die hem  dit verboden. Deze beschuldiging leid</w:t>
      </w:r>
      <w:r w:rsidR="00747C79">
        <w:t>de</w:t>
      </w:r>
      <w:r w:rsidR="00995E16">
        <w:t xml:space="preserve"> daarom tot de discussie </w:t>
      </w:r>
      <w:r w:rsidR="00AE24C1">
        <w:t xml:space="preserve">tussen Lodewijk XVI en de Conventie </w:t>
      </w:r>
      <w:r w:rsidR="00995E16">
        <w:t xml:space="preserve">over de onschendbaarheid van de koning. </w:t>
      </w:r>
      <w:r w:rsidR="00726633">
        <w:t>Zoals eerder beschreven had de Conventie d</w:t>
      </w:r>
      <w:r w:rsidR="00995E16">
        <w:t xml:space="preserve">eze discussie al achter zich gelaten en </w:t>
      </w:r>
      <w:r w:rsidR="00747C79">
        <w:t xml:space="preserve">hadden de </w:t>
      </w:r>
      <w:r w:rsidR="00995E16">
        <w:t xml:space="preserve">daden </w:t>
      </w:r>
      <w:r w:rsidR="00747C79">
        <w:t xml:space="preserve">zoals </w:t>
      </w:r>
      <w:r w:rsidR="00995E16">
        <w:t xml:space="preserve">die </w:t>
      </w:r>
      <w:r w:rsidR="00995E16">
        <w:rPr>
          <w:b/>
        </w:rPr>
        <w:t>in</w:t>
      </w:r>
      <w:r w:rsidR="00995E16">
        <w:t xml:space="preserve"> de beschuldiging omschreven worden  daadwerkelijk </w:t>
      </w:r>
      <w:r w:rsidR="00747C79">
        <w:t>plaatsgevonden</w:t>
      </w:r>
      <w:r w:rsidR="00995E16">
        <w:t xml:space="preserve">. </w:t>
      </w:r>
      <w:r w:rsidR="00726633">
        <w:t>Deze beschuldiging kan daarom, in tegenstelling tot de vorige, niet geschrapt worden.</w:t>
      </w:r>
    </w:p>
    <w:p w:rsidR="00526247" w:rsidRDefault="00526247" w:rsidP="000A5CCF">
      <w:r>
        <w:t xml:space="preserve">In het derde artikel van de </w:t>
      </w:r>
      <w:r>
        <w:rPr>
          <w:i/>
        </w:rPr>
        <w:t>acte énonciatif</w:t>
      </w:r>
      <w:r>
        <w:t xml:space="preserve"> wordt Lodewijk XVI verweten dat hij</w:t>
      </w:r>
      <w:r w:rsidR="00587BDA">
        <w:t xml:space="preserve"> in de dagen voor de val van de Bastille</w:t>
      </w:r>
      <w:r>
        <w:t xml:space="preserve"> een leger heeft laten oprukken tegen de inwoners van Parijs; hij zou moedwillig Frans bloed </w:t>
      </w:r>
      <w:r w:rsidR="00D2161F">
        <w:t xml:space="preserve">hebben </w:t>
      </w:r>
      <w:r>
        <w:t xml:space="preserve">willen vergieten. Dit leger zou hij pas terug hebben getrokken toen de Bastille gevallen was en het voor hem duidelijk was dat het volk had gewonnen. Lodewijk XVI </w:t>
      </w:r>
      <w:r w:rsidR="00FA3238">
        <w:t>verklaarde</w:t>
      </w:r>
      <w:r>
        <w:t xml:space="preserve">  tegen Barère dat hij het recht had om de troepen te bewegen, maar </w:t>
      </w:r>
      <w:r w:rsidR="00FA3238">
        <w:t xml:space="preserve">dat </w:t>
      </w:r>
      <w:r>
        <w:t xml:space="preserve">het nooit zijn intentie was </w:t>
      </w:r>
      <w:r w:rsidR="00FA3238">
        <w:t xml:space="preserve">geweest </w:t>
      </w:r>
      <w:r>
        <w:t>om bloed te vergieten.</w:t>
      </w:r>
      <w:r w:rsidR="00D2161F">
        <w:rPr>
          <w:rStyle w:val="FootnoteReference"/>
        </w:rPr>
        <w:footnoteReference w:id="69"/>
      </w:r>
      <w:r w:rsidR="00D2161F">
        <w:t xml:space="preserve"> </w:t>
      </w:r>
      <w:r w:rsidR="00C35DB1">
        <w:t>Er is weinig bewijs voor een geplande aanval van Lodewijk XVI</w:t>
      </w:r>
      <w:r w:rsidR="00D2161F">
        <w:t xml:space="preserve">. Het zittende ministerie had wel troepen opgeroepen om Parijs veilig te houden, maar is nooit van plan geweest om deze troepen aanvallend in te zetten </w:t>
      </w:r>
      <w:r w:rsidR="00FA3238">
        <w:t>tegen</w:t>
      </w:r>
      <w:r w:rsidR="00D2161F">
        <w:t xml:space="preserve"> het Franse volk, dan wel </w:t>
      </w:r>
      <w:r w:rsidR="00FA3238">
        <w:t>tegen</w:t>
      </w:r>
      <w:r w:rsidR="00D2161F">
        <w:t xml:space="preserve"> de Nationale Vergadering in Versailles.</w:t>
      </w:r>
      <w:r w:rsidR="00D2161F">
        <w:rPr>
          <w:rStyle w:val="FootnoteReference"/>
        </w:rPr>
        <w:footnoteReference w:id="70"/>
      </w:r>
      <w:r w:rsidR="00D2161F">
        <w:t xml:space="preserve"> Het probleem </w:t>
      </w:r>
      <w:r w:rsidR="00FA3238">
        <w:t>waar</w:t>
      </w:r>
      <w:r w:rsidR="00D2161F">
        <w:t xml:space="preserve"> Lodewijk XVI hier nogmaals </w:t>
      </w:r>
      <w:r w:rsidR="00FA3238">
        <w:t>tegenaan loopt</w:t>
      </w:r>
      <w:r w:rsidR="00D2161F">
        <w:t xml:space="preserve"> is dat dit achteraf gezien niet zo lijkt en </w:t>
      </w:r>
      <w:r w:rsidR="00587BDA">
        <w:t xml:space="preserve">ook moeilijk te verdedigen is. De Conventie was er, net als de Parijzenaars in 1789, van overtuigd dat Lodewijk XVI de Nationale Vergadering met geweld wilde ontbinden. De 20.000 troepen </w:t>
      </w:r>
      <w:r w:rsidR="00FA3238">
        <w:t>aan wie</w:t>
      </w:r>
      <w:r w:rsidR="00587BDA">
        <w:t xml:space="preserve"> Lodewijk XVI had bevolen om zich rond Parijs en Versailles te verzamelen werde</w:t>
      </w:r>
      <w:r w:rsidR="00FA3238">
        <w:t>n</w:t>
      </w:r>
      <w:r w:rsidR="00587BDA">
        <w:t xml:space="preserve"> gezien als een directe bedreiging voor de Nationale Vergadering en het Parijse volk.</w:t>
      </w:r>
      <w:r w:rsidR="00587BDA">
        <w:rPr>
          <w:rStyle w:val="FootnoteReference"/>
        </w:rPr>
        <w:footnoteReference w:id="71"/>
      </w:r>
      <w:r w:rsidR="00FC3FE1">
        <w:br/>
        <w:t>De reden waarom Lodewijk XVI de troepen terugtrok op 15 juli 1789 is belangrijk bij deze d</w:t>
      </w:r>
      <w:r w:rsidR="002A28EB">
        <w:t xml:space="preserve">iscussie, en </w:t>
      </w:r>
      <w:r w:rsidR="00FA3238">
        <w:t xml:space="preserve">over </w:t>
      </w:r>
      <w:r w:rsidR="002A28EB">
        <w:t xml:space="preserve">deze redenen </w:t>
      </w:r>
      <w:r w:rsidR="00FA3238">
        <w:t xml:space="preserve">verschillen de meningen nog steeds. </w:t>
      </w:r>
      <w:r w:rsidR="00AD04DF">
        <w:t>Albert</w:t>
      </w:r>
      <w:r w:rsidR="002A28EB">
        <w:t xml:space="preserve"> Soboul </w:t>
      </w:r>
      <w:r w:rsidR="00FA3238">
        <w:t>veronderstelt</w:t>
      </w:r>
      <w:r w:rsidR="002A28EB">
        <w:t xml:space="preserve"> dat e</w:t>
      </w:r>
      <w:r w:rsidR="00FC3FE1">
        <w:t xml:space="preserve">nkele adviseurs van de koning </w:t>
      </w:r>
      <w:r w:rsidR="002A28EB">
        <w:t>hem hadden aangerad</w:t>
      </w:r>
      <w:r w:rsidR="00FA3238">
        <w:t>en</w:t>
      </w:r>
      <w:r w:rsidR="002A28EB">
        <w:t xml:space="preserve"> om de troepen terug te trekken</w:t>
      </w:r>
      <w:r w:rsidR="00FC3FE1">
        <w:t xml:space="preserve">, </w:t>
      </w:r>
      <w:r w:rsidR="00FA3238">
        <w:t>zodat het volk zou zien dat hij het beste met hen voorhad en hij zo</w:t>
      </w:r>
      <w:r w:rsidR="002A28EB">
        <w:t xml:space="preserve"> tijd </w:t>
      </w:r>
      <w:r w:rsidR="00FA3238">
        <w:t>kon</w:t>
      </w:r>
      <w:r w:rsidR="002A28EB">
        <w:t xml:space="preserve"> rekken.</w:t>
      </w:r>
      <w:r w:rsidR="00FC3FE1">
        <w:rPr>
          <w:rStyle w:val="FootnoteReference"/>
        </w:rPr>
        <w:footnoteReference w:id="72"/>
      </w:r>
      <w:r w:rsidR="00FC3FE1">
        <w:t xml:space="preserve"> </w:t>
      </w:r>
      <w:r w:rsidR="002A28EB">
        <w:t>William Doyle geeft een compleet andere reden, namelijk dat het mor</w:t>
      </w:r>
      <w:r w:rsidR="00FA3238">
        <w:t>ee</w:t>
      </w:r>
      <w:r w:rsidR="002A28EB">
        <w:t>l van het leger erg laag was. Dit bl</w:t>
      </w:r>
      <w:r w:rsidR="00FA3238">
        <w:t>ijkt</w:t>
      </w:r>
      <w:r w:rsidR="002A28EB">
        <w:t xml:space="preserve"> ook uit de bestorming van de Bastille, waar</w:t>
      </w:r>
      <w:r w:rsidR="00FA3238">
        <w:t>bij</w:t>
      </w:r>
      <w:r w:rsidR="002A28EB">
        <w:t xml:space="preserve"> enkele Franse Gardisten met een kanon de bevolking hielpen. </w:t>
      </w:r>
      <w:r w:rsidR="00FA3238">
        <w:t>Daarmee gaven zij een beangstigend</w:t>
      </w:r>
      <w:r w:rsidR="002A28EB">
        <w:t xml:space="preserve"> voorbeeld en daarom werd aan de koning geadviseerd dat hij niet meer kon vertrouwen op een leger.</w:t>
      </w:r>
      <w:r w:rsidR="002A28EB">
        <w:rPr>
          <w:rStyle w:val="FootnoteReference"/>
        </w:rPr>
        <w:footnoteReference w:id="73"/>
      </w:r>
      <w:r w:rsidR="002A28EB">
        <w:t xml:space="preserve"> De verklaring van Doyle </w:t>
      </w:r>
      <w:r w:rsidR="00461CCE">
        <w:t>suggereert</w:t>
      </w:r>
      <w:r w:rsidR="00C35DB1">
        <w:t xml:space="preserve"> </w:t>
      </w:r>
      <w:r w:rsidR="002A28EB">
        <w:t>dat de koning de troepen wel tegen zijn volk wilde gebruiken, maar het simpelweg niet kon. In d</w:t>
      </w:r>
      <w:r w:rsidR="00461CCE">
        <w:t>a</w:t>
      </w:r>
      <w:r w:rsidR="002A28EB">
        <w:t>t geval liegt Lodewijk XVI over de beschuldiging die hem het meest aan het hart ging, namelijk dat hij moedwillig Frans bloed wilde vergieten. Daa</w:t>
      </w:r>
      <w:r w:rsidR="00005153">
        <w:t>rom denk ik dat d</w:t>
      </w:r>
      <w:r w:rsidR="00461CCE">
        <w:t>e verklaring van Doyle</w:t>
      </w:r>
      <w:r w:rsidR="00005153">
        <w:t xml:space="preserve"> niet klopt, maar dat Lodewijk XVI zelf niet wist wat hij met de situatie aan moest en er</w:t>
      </w:r>
      <w:r w:rsidR="00C35DB1">
        <w:t xml:space="preserve"> </w:t>
      </w:r>
      <w:r w:rsidR="00005153">
        <w:t xml:space="preserve">voor koos om tijd te rekken. </w:t>
      </w:r>
      <w:r w:rsidR="00461CCE">
        <w:t>Zo beschouwd snijdt d</w:t>
      </w:r>
      <w:r w:rsidR="00005153">
        <w:t xml:space="preserve">eze beschuldiging  dus geen hout, maar </w:t>
      </w:r>
      <w:r w:rsidR="00461CCE">
        <w:t xml:space="preserve">toont deze episode vooral het weinig tactische optreden van </w:t>
      </w:r>
      <w:r w:rsidR="00005153">
        <w:t xml:space="preserve"> Lodewijk XVI, die zich </w:t>
      </w:r>
      <w:r w:rsidR="00461CCE">
        <w:t>daarmee</w:t>
      </w:r>
      <w:r w:rsidR="00005153">
        <w:t xml:space="preserve"> </w:t>
      </w:r>
      <w:r w:rsidR="00C35DB1">
        <w:t>wel erg verdacht maakte</w:t>
      </w:r>
      <w:r w:rsidR="00005153">
        <w:t>.</w:t>
      </w:r>
      <w:r w:rsidR="002A28EB">
        <w:t xml:space="preserve"> </w:t>
      </w:r>
    </w:p>
    <w:p w:rsidR="00AD04DF" w:rsidRPr="00AD04DF" w:rsidRDefault="00AD04DF" w:rsidP="000A5CCF">
      <w:r>
        <w:t xml:space="preserve">Daarna sprak de </w:t>
      </w:r>
      <w:r>
        <w:rPr>
          <w:i/>
        </w:rPr>
        <w:t>acte énonciatif</w:t>
      </w:r>
      <w:r>
        <w:t xml:space="preserve"> over het vertragen van wetten die de horigheid</w:t>
      </w:r>
      <w:r w:rsidR="00CF252C">
        <w:t>, adellijke privileges</w:t>
      </w:r>
      <w:r>
        <w:t xml:space="preserve"> en de kerkelijke belasting zouden verbieden. Ook zou de koning lange tijd geweigerd hebben</w:t>
      </w:r>
      <w:r w:rsidR="00CF252C">
        <w:t xml:space="preserve"> </w:t>
      </w:r>
      <w:r>
        <w:t xml:space="preserve">de </w:t>
      </w:r>
      <w:r>
        <w:lastRenderedPageBreak/>
        <w:t xml:space="preserve">Verklaring van de rechten van de mens en de burger  te ondertekenen. Daarnaast zou Lodewijk XVI het aantal lijfwachten hebben verdubbeld en het Vlaamse regiment naar Versailles </w:t>
      </w:r>
      <w:r w:rsidR="00461CCE">
        <w:t xml:space="preserve">hebben </w:t>
      </w:r>
      <w:r>
        <w:t>laten komen</w:t>
      </w:r>
      <w:r w:rsidR="00C927A7">
        <w:t xml:space="preserve">, wat volgens de Conventie </w:t>
      </w:r>
      <w:r w:rsidR="00461CCE">
        <w:t xml:space="preserve">kon worden gezien als </w:t>
      </w:r>
      <w:r w:rsidR="00C927A7">
        <w:t>een voorbereiding  voor een aanval</w:t>
      </w:r>
      <w:r>
        <w:t xml:space="preserve">. Tenslotte zou de Franse driekleur voor </w:t>
      </w:r>
      <w:r w:rsidR="00C35DB1">
        <w:t>de</w:t>
      </w:r>
      <w:r>
        <w:t xml:space="preserve"> </w:t>
      </w:r>
      <w:r w:rsidR="00195BEE">
        <w:t xml:space="preserve">ogen </w:t>
      </w:r>
      <w:r w:rsidR="00C35DB1">
        <w:t xml:space="preserve">van Lodewijk </w:t>
      </w:r>
      <w:r w:rsidR="00195BEE">
        <w:t>zijn vertrapt</w:t>
      </w:r>
      <w:r w:rsidR="00C35DB1">
        <w:t>, zonder dat hij er iets aan deed.</w:t>
      </w:r>
      <w:r w:rsidR="00C35DB1">
        <w:br/>
      </w:r>
      <w:r w:rsidR="00CF252C">
        <w:t xml:space="preserve">Inderdaad weigerde Lodewijk XVI om de verregaande wetten te ondertekenen. Hij stemde er </w:t>
      </w:r>
      <w:r w:rsidR="00461CCE">
        <w:t>wel</w:t>
      </w:r>
      <w:r w:rsidR="00CF252C">
        <w:t xml:space="preserve"> mee in om de wetten te publiceren, maar hij </w:t>
      </w:r>
      <w:r w:rsidR="00C35DB1">
        <w:t>weigerde om ze te ondertekenen</w:t>
      </w:r>
      <w:r w:rsidR="00CF252C">
        <w:t xml:space="preserve">. Dit gold ook voor de Verklaring; Lodewijk XVI had deze niet ondertekend </w:t>
      </w:r>
      <w:r w:rsidR="00461CCE">
        <w:t>toen</w:t>
      </w:r>
      <w:r w:rsidR="00CF252C">
        <w:t xml:space="preserve"> hij </w:t>
      </w:r>
      <w:r w:rsidR="00C927A7">
        <w:t xml:space="preserve">op 5 oktober door een menigte mee werd genomen naar Parijs. De bedreiging die de Nationale Vergadering en de Conventie zagen in het Vlaamse regiment was gebaseerd op een misverstand. In feite gebeurde hier hetzelfde als bij de 20.000 soldaten die Lodewijk XVI opriep voor de val van de Bastille: de koning was er bang voor dat Parijs in een staat van anarchie zou vervallen en wilde met troepen de orde </w:t>
      </w:r>
      <w:r w:rsidR="00461CCE">
        <w:t>handhaven</w:t>
      </w:r>
      <w:r w:rsidR="00C927A7">
        <w:t>. De Nationale Vergadering zag dit in 1791 anders en de beschuldiging van de Conventie anderhalf jaar later is hierop gebaseerd. Het incident van het vertrappen van de driekleur gebeurde ironisch genoeg tijdens een feest dat door de lijfwachten van de koning werd gehouden voor het Vlaamse regiment.</w:t>
      </w:r>
      <w:r w:rsidR="00195BEE">
        <w:t xml:space="preserve"> Dit was een gebruikelijk ritueel voor nieuw gearriveerde troepen.</w:t>
      </w:r>
      <w:r w:rsidR="00C927A7">
        <w:t xml:space="preserve"> Op dit feest werden de soldaten dronken en enkelen van h</w:t>
      </w:r>
      <w:r w:rsidR="00461CCE">
        <w:t>e</w:t>
      </w:r>
      <w:r w:rsidR="00C927A7">
        <w:t xml:space="preserve">n vertrapten </w:t>
      </w:r>
      <w:r w:rsidR="00195BEE">
        <w:t xml:space="preserve">in hun roes </w:t>
      </w:r>
      <w:r w:rsidR="00C927A7">
        <w:t>de Franse driekleur.</w:t>
      </w:r>
      <w:r w:rsidR="00C927A7">
        <w:rPr>
          <w:rStyle w:val="FootnoteReference"/>
        </w:rPr>
        <w:footnoteReference w:id="74"/>
      </w:r>
      <w:r w:rsidR="00195BEE">
        <w:t xml:space="preserve"> Dit is althans wat de bevolking van Parijs geloofde, het is niet duidelijk of </w:t>
      </w:r>
      <w:r w:rsidR="00C35DB1">
        <w:t>dit incident daadwerkelijk plaatsgevonden heeft</w:t>
      </w:r>
      <w:r w:rsidR="00195BEE">
        <w:t>.</w:t>
      </w:r>
      <w:r w:rsidR="00195BEE">
        <w:rPr>
          <w:rStyle w:val="FootnoteReference"/>
        </w:rPr>
        <w:footnoteReference w:id="75"/>
      </w:r>
      <w:r w:rsidR="00195BEE">
        <w:br/>
        <w:t xml:space="preserve">Tijdens het verhoor beweerde Lodewijk XVI dat hij had besloten om de nieuwe wetten en de Verklaring niet te ondertekenen omdat hij niet geloofde dat deze wetten rechtvaardig waren. Hij opereerde toen nog onder de oude grondwet en kon dit juridisch doen. Dat de driekleur vertrapt werd ontkende hij stellig en </w:t>
      </w:r>
      <w:r w:rsidR="00461CCE">
        <w:t xml:space="preserve">hij </w:t>
      </w:r>
      <w:r w:rsidR="00195BEE">
        <w:t>beweerde dat d</w:t>
      </w:r>
      <w:r w:rsidR="00461CCE">
        <w:t>a</w:t>
      </w:r>
      <w:r w:rsidR="00195BEE">
        <w:t>t nooit voor zijn ogen plaats had gevonden.</w:t>
      </w:r>
      <w:r w:rsidR="00195BEE">
        <w:rPr>
          <w:rStyle w:val="FootnoteReference"/>
        </w:rPr>
        <w:footnoteReference w:id="76"/>
      </w:r>
      <w:r w:rsidR="00195BEE">
        <w:br/>
        <w:t xml:space="preserve">Deze </w:t>
      </w:r>
      <w:r w:rsidR="00461CCE">
        <w:t xml:space="preserve">laatste </w:t>
      </w:r>
      <w:r w:rsidR="00195BEE">
        <w:t xml:space="preserve">beschuldiging bestaat dus uit drie delen, met allereerst de </w:t>
      </w:r>
      <w:r w:rsidR="00461CCE">
        <w:t xml:space="preserve">niet door </w:t>
      </w:r>
      <w:r w:rsidR="00195BEE">
        <w:t xml:space="preserve"> Lodewijk XVI ondertekend</w:t>
      </w:r>
      <w:r w:rsidR="00461CCE">
        <w:t>e wetten</w:t>
      </w:r>
      <w:r w:rsidR="00195BEE">
        <w:t xml:space="preserve">. </w:t>
      </w:r>
      <w:r w:rsidR="00461CCE">
        <w:t>V</w:t>
      </w:r>
      <w:r w:rsidR="00195BEE">
        <w:t>olgens de toenmalige spelregels</w:t>
      </w:r>
      <w:r w:rsidR="00461CCE">
        <w:t xml:space="preserve"> was dat geoorloofd</w:t>
      </w:r>
      <w:r w:rsidR="00195BEE">
        <w:t xml:space="preserve">, maar het is duidelijk dat de Conventie daar geen rekening mee hield en dit zag als een </w:t>
      </w:r>
      <w:r w:rsidR="00461CCE">
        <w:t>contra</w:t>
      </w:r>
      <w:r w:rsidR="00195BEE">
        <w:t>revolutionaire daad waar Lodewijk XVI voor bestraft kon worden. Het tweede deel bestaat uit het oproepen van het Vlaamse regiment. De beschuldiging dat de koning dit deed om een aanval te plannen op Parijs is gebaseerd op een misverstand. Versailles was onderbemand</w:t>
      </w:r>
      <w:r w:rsidR="00A70E2E">
        <w:rPr>
          <w:rStyle w:val="FootnoteReference"/>
        </w:rPr>
        <w:footnoteReference w:id="77"/>
      </w:r>
      <w:r w:rsidR="00195BEE">
        <w:t xml:space="preserve"> en </w:t>
      </w:r>
      <w:r w:rsidR="00A70E2E">
        <w:t xml:space="preserve">Lodewijk XVI voelde dat hij meer bescherming nodig had omdat de onrust in Parijs toenam, iets wat duidelijk bleek uit het feit dat hij samen met zijn familie op 5 oktober </w:t>
      </w:r>
      <w:r w:rsidR="00937142">
        <w:t xml:space="preserve">door een grote menigte </w:t>
      </w:r>
      <w:r w:rsidR="00A70E2E">
        <w:t>mee werd genomen naar Parijs . Het laatste deel van de beschuldiging is tenslotte gebaseerd op een gebeurtenis waarvan het niet zeker is of deze heeft plaatsgevonden</w:t>
      </w:r>
      <w:r w:rsidR="00937142">
        <w:t>, namelijk het vertrappen van de driekleur</w:t>
      </w:r>
      <w:r w:rsidR="00A70E2E">
        <w:t>. Daarom is deze beschuldiging zeer zwak, maar tegelijkertijd was Lodewijk XVI niet in staat om te bewijzen dat het tegendeel waar was. De Conventie kwam daarom weg met deze zwakke beschuldiging.</w:t>
      </w:r>
    </w:p>
    <w:p w:rsidR="00C20F72" w:rsidRDefault="001A5F49" w:rsidP="000A5CCF">
      <w:r>
        <w:t>De langste beschuldiging g</w:t>
      </w:r>
      <w:r w:rsidR="00937142">
        <w:t>aat</w:t>
      </w:r>
      <w:r>
        <w:t xml:space="preserve"> over </w:t>
      </w:r>
      <w:r w:rsidR="00937142">
        <w:t>de</w:t>
      </w:r>
      <w:r>
        <w:t xml:space="preserve"> vlucht van Lodewijk XVI. Hij werd allereerst beschuldigd van </w:t>
      </w:r>
      <w:r w:rsidR="00937142">
        <w:t>een poging om te ontsnappen</w:t>
      </w:r>
      <w:r w:rsidR="005A2FC6">
        <w:t xml:space="preserve"> naar St. Cloud. Saint-Cloud ligt dichtbij </w:t>
      </w:r>
      <w:r w:rsidR="001512D7">
        <w:t>Parijs</w:t>
      </w:r>
      <w:r w:rsidR="005A2FC6">
        <w:t xml:space="preserve"> en de koning wilde daar met zijn familie het Paasfeest vieren. Toen de koets wilde vertrekken werd deze omringd door een enorme menigte en na twee uur vast te hebben gestaan besloot Lodewijk XVI terug te keren naar zijn paleis.</w:t>
      </w:r>
      <w:r w:rsidR="005A2FC6">
        <w:rPr>
          <w:rStyle w:val="FootnoteReference"/>
        </w:rPr>
        <w:footnoteReference w:id="78"/>
      </w:r>
      <w:r w:rsidR="005A2FC6">
        <w:t xml:space="preserve"> </w:t>
      </w:r>
      <w:r w:rsidR="00937142">
        <w:t>Volgens de koning was dit</w:t>
      </w:r>
      <w:r w:rsidR="005A2FC6">
        <w:t xml:space="preserve"> geen vlucht</w:t>
      </w:r>
      <w:r w:rsidR="00BE6D42">
        <w:t>poging</w:t>
      </w:r>
      <w:r w:rsidR="005A2FC6">
        <w:t xml:space="preserve"> en toen d</w:t>
      </w:r>
      <w:r w:rsidR="00BE6D42">
        <w:t>eze</w:t>
      </w:r>
      <w:r w:rsidR="005A2FC6">
        <w:t xml:space="preserve"> </w:t>
      </w:r>
      <w:r w:rsidR="00937142">
        <w:t xml:space="preserve">beschuldiging </w:t>
      </w:r>
      <w:r w:rsidR="005A2FC6">
        <w:t xml:space="preserve">aan Lodewijk XVI </w:t>
      </w:r>
      <w:r w:rsidR="005A2FC6">
        <w:lastRenderedPageBreak/>
        <w:t>werd voorgelegd noemde hij deze dan ook ‘absurd’.</w:t>
      </w:r>
      <w:r w:rsidR="005A2FC6">
        <w:rPr>
          <w:rStyle w:val="FootnoteReference"/>
        </w:rPr>
        <w:footnoteReference w:id="79"/>
      </w:r>
      <w:r w:rsidR="00BE6D42">
        <w:t xml:space="preserve"> De vlucht naar Varennes was  echter wel</w:t>
      </w:r>
      <w:r w:rsidR="00937142">
        <w:t xml:space="preserve"> een vluchtpoging</w:t>
      </w:r>
      <w:r w:rsidR="00BE6D42">
        <w:t xml:space="preserve">. In de </w:t>
      </w:r>
      <w:r w:rsidR="00BE6D42">
        <w:rPr>
          <w:i/>
        </w:rPr>
        <w:t>acte énonciatif</w:t>
      </w:r>
      <w:r w:rsidR="00BE6D42">
        <w:t xml:space="preserve"> werd deze vlucht </w:t>
      </w:r>
      <w:r w:rsidR="00937142">
        <w:t>beschouwd</w:t>
      </w:r>
      <w:r w:rsidR="00BE6D42">
        <w:t xml:space="preserve"> als een grote verspilling van </w:t>
      </w:r>
      <w:r w:rsidR="00937142">
        <w:t>staats</w:t>
      </w:r>
      <w:r w:rsidR="001512D7">
        <w:t>geld</w:t>
      </w:r>
      <w:r w:rsidR="00BE6D42">
        <w:t>. Ook stond in deze beschuldiging dat Lodewijk XVI zich tegen de artikelen uit de grondwet had uitgesproken, hij de ministers had bevolen om geen documenten van de Nationale Vergadering te ondertekenen en hij de minister van justitie had verboden om de zegels van de staat af te geven. Dit waren volgens de Conventie allemaal anti-revolutionaire daden. Lodewijk XVI noemde tijdens zijn verhoor de vlucht naar Varennes slechts een reis</w:t>
      </w:r>
      <w:r w:rsidR="00937142">
        <w:t>.</w:t>
      </w:r>
      <w:r w:rsidR="00BE6D42">
        <w:t xml:space="preserve"> </w:t>
      </w:r>
      <w:r w:rsidR="00937142">
        <w:t>H</w:t>
      </w:r>
      <w:r w:rsidR="00BE6D42">
        <w:t xml:space="preserve">ij </w:t>
      </w:r>
      <w:r w:rsidR="00937142">
        <w:t xml:space="preserve">had </w:t>
      </w:r>
      <w:r w:rsidR="00BE6D42">
        <w:t>zijn motieven al uitgelegd aan de Nationale Vergadering.</w:t>
      </w:r>
      <w:r w:rsidR="00BE6D42">
        <w:rPr>
          <w:rStyle w:val="FootnoteReference"/>
        </w:rPr>
        <w:footnoteReference w:id="80"/>
      </w:r>
      <w:r w:rsidR="00025674">
        <w:t xml:space="preserve"> </w:t>
      </w:r>
      <w:r w:rsidR="001A5339">
        <w:t>Hij had aangegeven dat hij slechts naar Montmédy wilde afreizen om vanaf een veilige afstand te kunnen onderhandelen.</w:t>
      </w:r>
      <w:r w:rsidR="001A5339">
        <w:rPr>
          <w:rStyle w:val="FootnoteReference"/>
        </w:rPr>
        <w:footnoteReference w:id="81"/>
      </w:r>
      <w:r w:rsidR="001A5339">
        <w:br/>
      </w:r>
      <w:r w:rsidR="00025674">
        <w:t xml:space="preserve">Dat hij de vluchtpoging afdeed als een simpele reis was een leugen, maar Lodewijk XVI kon geen </w:t>
      </w:r>
      <w:r w:rsidR="00937142">
        <w:t xml:space="preserve">andere </w:t>
      </w:r>
      <w:r w:rsidR="00025674">
        <w:t xml:space="preserve">verdediging tegen deze beschuldiging aandragen aangezien alles wat erin stond waar was. </w:t>
      </w:r>
      <w:r w:rsidR="00937142">
        <w:t>H</w:t>
      </w:r>
      <w:r w:rsidR="001512D7">
        <w:t>ij vluchtte</w:t>
      </w:r>
      <w:r w:rsidR="001A5339">
        <w:t xml:space="preserve"> omdat hij zich gevangen voelde in zijn paleis en  vreesde dat Frankrijk weggleed in een anarchie, waar hij niets aan kon doen</w:t>
      </w:r>
      <w:r w:rsidR="00937142">
        <w:t>,</w:t>
      </w:r>
      <w:r w:rsidR="001A5339">
        <w:t xml:space="preserve"> omdat de constitutie zijn macht had afgenomen. Hij vond het dan ook een tragische zaak dat hij niet betrokken werd bij het opstellen van de grondwet.</w:t>
      </w:r>
      <w:r w:rsidR="001A5339">
        <w:rPr>
          <w:rStyle w:val="FootnoteReference"/>
        </w:rPr>
        <w:footnoteReference w:id="82"/>
      </w:r>
      <w:r w:rsidR="001512D7">
        <w:t xml:space="preserve"> De</w:t>
      </w:r>
      <w:r w:rsidR="001A5339">
        <w:t xml:space="preserve"> Nationale Vergadering </w:t>
      </w:r>
      <w:r w:rsidR="001512D7">
        <w:t xml:space="preserve">wist al in 1791 af van deze motieven </w:t>
      </w:r>
      <w:r w:rsidR="001A5339">
        <w:t xml:space="preserve">en in 1793 wist de Conventie dit ook. </w:t>
      </w:r>
      <w:r w:rsidR="002C624B">
        <w:t xml:space="preserve">Op het punt van Saint-Cloud na is deze beschuldiging daarom terecht. </w:t>
      </w:r>
    </w:p>
    <w:p w:rsidR="004C0322" w:rsidRDefault="004C0322" w:rsidP="000A5CCF">
      <w:r>
        <w:t>Lodewijk XVI werd door de Conventie ook verantwoordelijk gehouden voor het bloe</w:t>
      </w:r>
      <w:r w:rsidR="006C5AD4">
        <w:t xml:space="preserve">dbad </w:t>
      </w:r>
      <w:r w:rsidR="00937142">
        <w:t>op</w:t>
      </w:r>
      <w:r w:rsidR="006C5AD4">
        <w:t xml:space="preserve"> </w:t>
      </w:r>
      <w:r w:rsidR="00F641DA">
        <w:t xml:space="preserve">het </w:t>
      </w:r>
      <w:r w:rsidR="006C5AD4">
        <w:t xml:space="preserve">Champ de </w:t>
      </w:r>
      <w:r>
        <w:t xml:space="preserve">Mars op 17 juli 1791, omdat hij en Lafayette veelvuldig </w:t>
      </w:r>
      <w:r w:rsidR="00937142">
        <w:t xml:space="preserve">met elkaar </w:t>
      </w:r>
      <w:r>
        <w:t xml:space="preserve">correspondeerden . </w:t>
      </w:r>
      <w:r w:rsidR="006C5AD4">
        <w:t xml:space="preserve">Ook zou Lodewijk XVI grote bedragen hebben uitgegeven aan het verspreiden van pamfletten en kranten die de kant van de </w:t>
      </w:r>
      <w:r w:rsidR="006C5AD4">
        <w:rPr>
          <w:i/>
        </w:rPr>
        <w:t>émigrés</w:t>
      </w:r>
      <w:r w:rsidR="006C5AD4">
        <w:t xml:space="preserve"> kozen en het volk tegen de Nationale Vergadering probeerden op te zetten. Daarom beschuldigde de Conventie hem v</w:t>
      </w:r>
      <w:r w:rsidR="00F641DA">
        <w:t>an</w:t>
      </w:r>
      <w:r w:rsidR="006C5AD4">
        <w:t xml:space="preserve"> het ondermijnen van de grondwet van 14 september 1791 – die Lodewijk XVI wel tekende – voor deze af was gemaakt. Lodewijk XVI verdedigde zichzelf tegen deze punten tijdens zijn verhoor. Hij vond dat de gebeurtenissen op het Champ de Mars op geen enkele manier door zijn schuld hadden plaatsgevonden en schoof de schuld van het ondermijnen van de grondwet af op zijn ministers. Het was, volgens Lodewijk XVI, immers hun verantwoordelijkheid . Zelf </w:t>
      </w:r>
      <w:r w:rsidR="00F641DA">
        <w:t>achtte</w:t>
      </w:r>
      <w:r w:rsidR="006C5AD4">
        <w:t xml:space="preserve"> hij zichzelf onschuldig en </w:t>
      </w:r>
      <w:r w:rsidR="00F641DA">
        <w:t>beweerde</w:t>
      </w:r>
      <w:r w:rsidR="006C5AD4">
        <w:t xml:space="preserve"> dat hij alleen deed wat zijn ministers hem ‘hadden bevolen te doen’.</w:t>
      </w:r>
      <w:r w:rsidR="00067AD9">
        <w:rPr>
          <w:rStyle w:val="FootnoteReference"/>
        </w:rPr>
        <w:footnoteReference w:id="83"/>
      </w:r>
      <w:r w:rsidR="00067AD9">
        <w:br/>
        <w:t xml:space="preserve">Deze beschuldiging is een duidelijk symbool van de politieke geladenheid van het proces. De Conventie probeerde Lodewijk XVI verantwoordelijk te houden voor het bloedbad op </w:t>
      </w:r>
      <w:r w:rsidR="00F641DA">
        <w:t>het</w:t>
      </w:r>
      <w:r w:rsidR="00067AD9">
        <w:t xml:space="preserve"> Champ de Mars, waar hij historisch gezien niets mee te maken had. Het bloedbad had plaatsgevonden omdat </w:t>
      </w:r>
      <w:r w:rsidR="00B63747">
        <w:t>er tijdens het tekenen van een republikeinse petitie twee mannen werden gelynch</w:t>
      </w:r>
      <w:r w:rsidR="00B63747">
        <w:t>ed</w:t>
      </w:r>
      <w:r w:rsidR="00B63747">
        <w:t xml:space="preserve"> </w:t>
      </w:r>
      <w:r w:rsidR="001512D7">
        <w:t>om</w:t>
      </w:r>
      <w:r w:rsidR="00B63747">
        <w:t>dat ze zich onder het altaar hadden verstopt. Dit deed Bailly, de burgemeester van Parijs, beslissen om de noodtoestand af te roepen en daarop gingen Lafayette en zijn Nationale Garde op het Champ de Mars af. Toen er vanuit de menigte geschoten werd, gaf Lafayette het bevel om te schieten op de menigte.</w:t>
      </w:r>
      <w:r w:rsidR="00B63747">
        <w:rPr>
          <w:rStyle w:val="FootnoteReference"/>
        </w:rPr>
        <w:footnoteReference w:id="84"/>
      </w:r>
      <w:r w:rsidR="00B63747">
        <w:t xml:space="preserve"> Lodewijk XVI had hier niets mee te maken, dus deze beschuldiging was niet terecht en slechts een poging om te laten zien dat de koning het bloed van het Franse volk moedwillig had laten vergieten. Lodewijk XVI had bij deze beschuldiging daarom wel het recht te stellen dat hij er niets mee te maken had, maar dat geldt niet voor het ondermijnen van de grondwet. Zijn verdediging </w:t>
      </w:r>
      <w:r w:rsidR="00F641DA">
        <w:t xml:space="preserve">daarover </w:t>
      </w:r>
      <w:r w:rsidR="00AE7122">
        <w:t>is  zwak</w:t>
      </w:r>
      <w:r w:rsidR="00F641DA">
        <w:t>,</w:t>
      </w:r>
      <w:r w:rsidR="00AE7122">
        <w:t xml:space="preserve"> omdat hij het doet voor</w:t>
      </w:r>
      <w:r w:rsidR="00F641DA">
        <w:t>komen</w:t>
      </w:r>
      <w:r w:rsidR="00AE7122">
        <w:t xml:space="preserve"> alsof hij blind vertrouwde op zijn adviseurs en zelf </w:t>
      </w:r>
      <w:r w:rsidR="00AE7122">
        <w:lastRenderedPageBreak/>
        <w:t>geen besluiten nam. Wanneer de verdediging van Lodewijk XVI wordt doorgetrokken</w:t>
      </w:r>
      <w:r w:rsidR="00F641DA">
        <w:t>,</w:t>
      </w:r>
      <w:r w:rsidR="00AE7122">
        <w:t xml:space="preserve"> betekent dit dat alles dat hij besliste en uitvoerde te wijten was aan zijn adviseurs. Hier trapte de Conventie niet in. Waarschijnlijk koos hij voor deze manier van verdediging omdat hij niet wist wat hij moest doen </w:t>
      </w:r>
      <w:r w:rsidR="00F641DA">
        <w:t>toen hij werd geconfronteerd met deze beschuldiging</w:t>
      </w:r>
      <w:r w:rsidR="00AE7122">
        <w:t xml:space="preserve">, </w:t>
      </w:r>
      <w:r w:rsidR="00F641DA">
        <w:t xml:space="preserve">net </w:t>
      </w:r>
      <w:r w:rsidR="001512D7">
        <w:t>zoals hij</w:t>
      </w:r>
      <w:r w:rsidR="00AE7122">
        <w:t xml:space="preserve"> deed </w:t>
      </w:r>
      <w:r w:rsidR="00F641DA">
        <w:t>toen</w:t>
      </w:r>
      <w:r w:rsidR="001512D7">
        <w:t xml:space="preserve"> </w:t>
      </w:r>
      <w:r w:rsidR="00F641DA">
        <w:t>hij</w:t>
      </w:r>
      <w:r w:rsidR="001512D7">
        <w:t xml:space="preserve"> zijn betrokkenheid </w:t>
      </w:r>
      <w:r w:rsidR="00AE7122">
        <w:t xml:space="preserve">bij de documenten uit het </w:t>
      </w:r>
      <w:r w:rsidR="00AE7122">
        <w:rPr>
          <w:i/>
        </w:rPr>
        <w:t>armoire de fer</w:t>
      </w:r>
      <w:r w:rsidR="00F641DA">
        <w:rPr>
          <w:i/>
        </w:rPr>
        <w:t xml:space="preserve"> </w:t>
      </w:r>
      <w:r w:rsidR="00F641DA">
        <w:t>ontkende</w:t>
      </w:r>
      <w:r w:rsidR="00AE7122">
        <w:t>.</w:t>
      </w:r>
    </w:p>
    <w:p w:rsidR="00233026" w:rsidRDefault="00233026" w:rsidP="000A5CCF">
      <w:r>
        <w:t>Een andere beschuldiging stel</w:t>
      </w:r>
      <w:r w:rsidR="00F641DA">
        <w:t>t</w:t>
      </w:r>
      <w:r>
        <w:t xml:space="preserve"> dat Lodewijk XVI </w:t>
      </w:r>
      <w:r w:rsidR="001512D7">
        <w:t>zijn voormalige lijfwachten in K</w:t>
      </w:r>
      <w:r>
        <w:t>oblenz had betaald</w:t>
      </w:r>
      <w:r w:rsidR="00F43436">
        <w:t xml:space="preserve">, iets dat hem was verboden. </w:t>
      </w:r>
      <w:r w:rsidR="006D611C">
        <w:t xml:space="preserve">De Conventie had hier ook bewijsmateriaal voor gevonden in verschillende documenten. </w:t>
      </w:r>
      <w:r w:rsidR="00F43436">
        <w:t>Lodewijk XV</w:t>
      </w:r>
      <w:r w:rsidR="006D611C">
        <w:t xml:space="preserve">I antwoordde dat hij </w:t>
      </w:r>
      <w:r w:rsidR="00F43436">
        <w:t>niet wist</w:t>
      </w:r>
      <w:r w:rsidR="006D611C">
        <w:t xml:space="preserve"> dat dit niet mocht</w:t>
      </w:r>
      <w:r w:rsidR="00F43436">
        <w:t>, maar zodra hij het wel wist had hij zijn lijfwachten verboden ‘enige vorm van betaling aan te nemen’.</w:t>
      </w:r>
      <w:r w:rsidR="00F43436">
        <w:rPr>
          <w:rStyle w:val="FootnoteReference"/>
        </w:rPr>
        <w:footnoteReference w:id="85"/>
      </w:r>
      <w:r w:rsidR="001512D7">
        <w:t xml:space="preserve"> In K</w:t>
      </w:r>
      <w:r w:rsidR="00F43436">
        <w:t xml:space="preserve">oblenz was een grote groep </w:t>
      </w:r>
      <w:r w:rsidR="00F43436" w:rsidRPr="00F43436">
        <w:rPr>
          <w:i/>
        </w:rPr>
        <w:t xml:space="preserve">émigrés </w:t>
      </w:r>
      <w:r w:rsidR="00F43436">
        <w:t>neergestreken, waaronder de voormalige lijfwachten van Lodewijk XVI.</w:t>
      </w:r>
      <w:r w:rsidR="00F43436">
        <w:rPr>
          <w:rStyle w:val="FootnoteReference"/>
        </w:rPr>
        <w:footnoteReference w:id="86"/>
      </w:r>
      <w:r w:rsidR="00F43436">
        <w:t xml:space="preserve"> Omdat dit </w:t>
      </w:r>
      <w:r w:rsidR="00F43436" w:rsidRPr="00F43436">
        <w:rPr>
          <w:i/>
        </w:rPr>
        <w:t xml:space="preserve">émigrés </w:t>
      </w:r>
      <w:r w:rsidR="00F43436">
        <w:t>betrof</w:t>
      </w:r>
      <w:r w:rsidR="00F641DA">
        <w:t>,</w:t>
      </w:r>
      <w:r w:rsidR="00F43436">
        <w:t xml:space="preserve"> lijkt het mij </w:t>
      </w:r>
      <w:r w:rsidR="006D611C">
        <w:t>onwaarschijnlijk</w:t>
      </w:r>
      <w:r w:rsidR="00F43436">
        <w:t xml:space="preserve"> dat Lodewijk XVI niet wist dat hij deze niet mocht betalen van de Wetgevende Vergadering. De nieuwe grondwet was inmiddels ondertekend en de Wetgevende Vergadering had zich meermaals uitgelaten over de </w:t>
      </w:r>
      <w:r w:rsidR="00F43436">
        <w:rPr>
          <w:i/>
        </w:rPr>
        <w:t>émigrés</w:t>
      </w:r>
      <w:r w:rsidR="006D611C">
        <w:t xml:space="preserve">, die zij als verraders zag. Het ontkennen van de betalingen kon niet omdat de Conventie bewijs had </w:t>
      </w:r>
      <w:r w:rsidR="001512D7">
        <w:t xml:space="preserve">dat </w:t>
      </w:r>
      <w:r w:rsidR="006A5399">
        <w:t>boven alle</w:t>
      </w:r>
      <w:r w:rsidR="006D611C">
        <w:t xml:space="preserve"> twijfel </w:t>
      </w:r>
      <w:r w:rsidR="006A5399">
        <w:t>was verheven</w:t>
      </w:r>
      <w:r w:rsidR="006D611C">
        <w:t xml:space="preserve">, dus was ontwetendheid </w:t>
      </w:r>
      <w:r w:rsidR="006A5399">
        <w:t>de</w:t>
      </w:r>
      <w:r w:rsidR="006D611C">
        <w:t xml:space="preserve"> enige </w:t>
      </w:r>
      <w:r w:rsidR="006A5399">
        <w:t>uitweg die</w:t>
      </w:r>
      <w:r w:rsidR="006D611C">
        <w:t xml:space="preserve"> Lodewijk XVI nog over had, ook al was dit excuus niet erg sterk.</w:t>
      </w:r>
    </w:p>
    <w:p w:rsidR="006D611C" w:rsidRDefault="006D611C" w:rsidP="000A5CCF">
      <w:r>
        <w:t>Direct na deze beschuldiging st</w:t>
      </w:r>
      <w:r w:rsidR="006A5399">
        <w:t>aat</w:t>
      </w:r>
      <w:r>
        <w:t xml:space="preserve"> in de </w:t>
      </w:r>
      <w:r>
        <w:rPr>
          <w:i/>
        </w:rPr>
        <w:t>acte énonciatif</w:t>
      </w:r>
      <w:r>
        <w:t xml:space="preserve"> dat </w:t>
      </w:r>
      <w:r w:rsidR="00545793">
        <w:t>de broers van Lodewijk XVI, Lodewijk Stanislaus Xaverius en Karel Filips, campagne voerden om Lodewijk XVI weer als absoluut vorst te herstellen. Lodewi</w:t>
      </w:r>
      <w:r w:rsidR="001512D7">
        <w:t>jk XVI zou volgens de Conventie</w:t>
      </w:r>
      <w:r w:rsidR="00545793">
        <w:t xml:space="preserve"> de plannen </w:t>
      </w:r>
      <w:r w:rsidR="006A5399">
        <w:t xml:space="preserve">pas </w:t>
      </w:r>
      <w:r w:rsidR="00545793">
        <w:t>hebben afgewezen toen hij zeker wist dat het te laat was</w:t>
      </w:r>
      <w:r w:rsidR="00B32681">
        <w:t xml:space="preserve"> om </w:t>
      </w:r>
      <w:r w:rsidR="006A5399">
        <w:t>ze</w:t>
      </w:r>
      <w:r w:rsidR="00B32681">
        <w:t xml:space="preserve"> nog te wijzigen</w:t>
      </w:r>
      <w:r w:rsidR="00545793">
        <w:t xml:space="preserve">. Dit ontkende hij stellig en </w:t>
      </w:r>
      <w:r w:rsidR="006A5399">
        <w:t>hij betoogde</w:t>
      </w:r>
      <w:r w:rsidR="00545793">
        <w:t xml:space="preserve"> tijdens zijn verhoor dat hij de plannen al had afgewezen zodra </w:t>
      </w:r>
      <w:r w:rsidR="00B7062D">
        <w:t xml:space="preserve">hij </w:t>
      </w:r>
      <w:r w:rsidR="00545793">
        <w:t xml:space="preserve">de grondwet van 1791 </w:t>
      </w:r>
      <w:r w:rsidR="00B7062D">
        <w:t>had ingezien</w:t>
      </w:r>
      <w:r w:rsidR="001512D7">
        <w:t xml:space="preserve"> en</w:t>
      </w:r>
      <w:r w:rsidR="00545793">
        <w:t xml:space="preserve"> wist wat de plannen van zijn broers waren.</w:t>
      </w:r>
      <w:r w:rsidR="00545793">
        <w:rPr>
          <w:rStyle w:val="FootnoteReference"/>
        </w:rPr>
        <w:footnoteReference w:id="87"/>
      </w:r>
      <w:r w:rsidR="00B7062D">
        <w:t xml:space="preserve"> Een geheime brief van Lodewijk XVI aan zijn broers bewijst zijn gelijk. In deze brief vraagt hij aan hen ‘of </w:t>
      </w:r>
      <w:r w:rsidR="00B32681">
        <w:t>jullie</w:t>
      </w:r>
      <w:r w:rsidR="00B7062D">
        <w:t xml:space="preserve"> echt de woede van mijn onderdanen willen oproepen door hen een excuus te geven om mij te beschuldigen van het brengen van oorlog in mijn koninkrijk?’ Lodewijk XVI praat over een onmogelijke positie waarin hij wordt gestort door zijn broers, aangezien hij aan de ene kant de nieuwe grondwet moet tekenen en aan de andere kant overlegt met buitenlandse machten. Hij begrijpt niet waarom zijn broers denken dat ze hem een dienst bewijzen door dit pad in te slaan. Daarom vraagt hij zijn broers om na te denken en niet door</w:t>
      </w:r>
      <w:r w:rsidR="006A5399">
        <w:t xml:space="preserve"> te </w:t>
      </w:r>
      <w:r w:rsidR="00B7062D">
        <w:t>gaan met hun plan.</w:t>
      </w:r>
      <w:r w:rsidR="00B7062D">
        <w:rPr>
          <w:rStyle w:val="FootnoteReference"/>
        </w:rPr>
        <w:footnoteReference w:id="88"/>
      </w:r>
      <w:r w:rsidR="00B32681">
        <w:t xml:space="preserve"> Ook schr</w:t>
      </w:r>
      <w:r w:rsidR="006A5399">
        <w:t>ijft</w:t>
      </w:r>
      <w:r w:rsidR="00B32681">
        <w:t xml:space="preserve"> hij een memorandum aan zijn broers, waar</w:t>
      </w:r>
      <w:r w:rsidR="006A5399">
        <w:t>in</w:t>
      </w:r>
      <w:r w:rsidR="00B32681">
        <w:t xml:space="preserve"> hij door middel van een lange analyse uitlegt waarom hij tegen een militaire interventie is en voor het ondertekenen van de grondwet. </w:t>
      </w:r>
      <w:r w:rsidR="006A5399">
        <w:t>De Conventie had geen weet van d</w:t>
      </w:r>
      <w:r w:rsidR="00B32681">
        <w:t>eze beide brieven</w:t>
      </w:r>
      <w:r w:rsidR="006A5399">
        <w:t>, omdat ze</w:t>
      </w:r>
      <w:r w:rsidR="00B32681">
        <w:t xml:space="preserve"> niet </w:t>
      </w:r>
      <w:r w:rsidR="006A5399">
        <w:t xml:space="preserve">zijn </w:t>
      </w:r>
      <w:r w:rsidR="00B32681">
        <w:t>onderschept</w:t>
      </w:r>
      <w:r w:rsidR="006A5399">
        <w:t>.</w:t>
      </w:r>
      <w:r w:rsidR="00B32681">
        <w:t xml:space="preserve"> Als dat wel gebeurd was, had de Conventie  geweten dat deze beschuldiging onterecht was, maar nu was het het woord van de koning tegen het woord van de Conventie, die </w:t>
      </w:r>
      <w:r w:rsidR="00B32681">
        <w:t>niet door het woord van de koning</w:t>
      </w:r>
      <w:r w:rsidR="006A5399">
        <w:t>daardoor niet</w:t>
      </w:r>
      <w:r w:rsidR="00B32681">
        <w:t xml:space="preserve"> overtuigd werd van haar ongelijk.</w:t>
      </w:r>
    </w:p>
    <w:p w:rsidR="008F7BCB" w:rsidRDefault="006D34B7" w:rsidP="000A5CCF">
      <w:r>
        <w:t xml:space="preserve">Een andere beschuldiging in de </w:t>
      </w:r>
      <w:r>
        <w:rPr>
          <w:i/>
        </w:rPr>
        <w:t>acte énonciatif</w:t>
      </w:r>
      <w:r>
        <w:t xml:space="preserve"> vermeld</w:t>
      </w:r>
      <w:r w:rsidR="006A5399">
        <w:t>t</w:t>
      </w:r>
      <w:r>
        <w:t xml:space="preserve"> dat Lodewijk XVI </w:t>
      </w:r>
      <w:r w:rsidR="006A5399">
        <w:t xml:space="preserve">zijn veto had uitgesproken tegen </w:t>
      </w:r>
      <w:r>
        <w:t xml:space="preserve">een besluit van de Wetgevende Vergadering . </w:t>
      </w:r>
      <w:r w:rsidR="006A5399">
        <w:t xml:space="preserve">Het ging daarbij </w:t>
      </w:r>
      <w:r>
        <w:t xml:space="preserve">om </w:t>
      </w:r>
      <w:r w:rsidR="006A5399">
        <w:t xml:space="preserve">de verplichting van </w:t>
      </w:r>
      <w:r>
        <w:t xml:space="preserve">geestelijken </w:t>
      </w:r>
      <w:r w:rsidR="006A5399">
        <w:t xml:space="preserve">om </w:t>
      </w:r>
      <w:r w:rsidR="001512D7">
        <w:t>een nieuwe civiele eed af te</w:t>
      </w:r>
      <w:r>
        <w:t xml:space="preserve"> zweren </w:t>
      </w:r>
      <w:r w:rsidR="006A5399">
        <w:t>op straffe van</w:t>
      </w:r>
      <w:r w:rsidR="001512D7">
        <w:t xml:space="preserve"> </w:t>
      </w:r>
      <w:r w:rsidR="006A5399">
        <w:t>verlies van</w:t>
      </w:r>
      <w:r>
        <w:t xml:space="preserve"> hun pensioen verliezen en </w:t>
      </w:r>
      <w:r w:rsidR="006A5399">
        <w:t xml:space="preserve">plaatsing </w:t>
      </w:r>
      <w:r>
        <w:t>onder strikte surveillance.</w:t>
      </w:r>
      <w:r>
        <w:rPr>
          <w:rStyle w:val="FootnoteReference"/>
        </w:rPr>
        <w:footnoteReference w:id="89"/>
      </w:r>
      <w:r>
        <w:t xml:space="preserve"> Dit besluit was in de ogen van de Conventie anti-</w:t>
      </w:r>
      <w:r>
        <w:lastRenderedPageBreak/>
        <w:t>revolutionair, maar de verdediging van Lodewijk XVI was helder: volgens de grondwet mocht hij</w:t>
      </w:r>
      <w:r w:rsidR="0023697B">
        <w:t xml:space="preserve"> een opschortend veto gebruiken. DeSèze vertelde in zijn speech dat Lodewijk XVI dit besluit had gevetood omdat hij bang was zichzelf te verraden door de wet te tekenen.</w:t>
      </w:r>
      <w:r w:rsidR="0023697B">
        <w:rPr>
          <w:rStyle w:val="FootnoteReference"/>
        </w:rPr>
        <w:footnoteReference w:id="90"/>
      </w:r>
      <w:r>
        <w:t xml:space="preserve"> Deze beschuldiging leidde tot de bekende patstelling tussen koning en Conventie, waarbij de koning </w:t>
      </w:r>
      <w:r w:rsidR="0070710D">
        <w:t xml:space="preserve">enerzijds </w:t>
      </w:r>
      <w:r>
        <w:t xml:space="preserve">vertrouwde op de rechten die </w:t>
      </w:r>
      <w:r w:rsidR="0070710D">
        <w:t xml:space="preserve">hij </w:t>
      </w:r>
      <w:r>
        <w:t xml:space="preserve">had behouden in de grondwet van 1791 en de Conventie </w:t>
      </w:r>
      <w:r w:rsidR="0070710D">
        <w:t xml:space="preserve">anderzijds </w:t>
      </w:r>
      <w:r>
        <w:t xml:space="preserve">al had besloten </w:t>
      </w:r>
      <w:r w:rsidR="0070710D">
        <w:t xml:space="preserve">voorbij te gaan aan </w:t>
      </w:r>
      <w:r w:rsidR="00BF43FE">
        <w:t xml:space="preserve">deze grondwettelijke </w:t>
      </w:r>
      <w:r w:rsidR="0070710D">
        <w:t xml:space="preserve">rechten </w:t>
      </w:r>
      <w:r w:rsidR="00BF43FE">
        <w:t xml:space="preserve">en </w:t>
      </w:r>
      <w:r w:rsidR="0070710D">
        <w:t xml:space="preserve">besloot </w:t>
      </w:r>
      <w:r w:rsidR="00BF43FE">
        <w:t>Lodewijk XVI te berechten op basis van zij</w:t>
      </w:r>
      <w:r w:rsidR="007A1A6A">
        <w:t>n daden.</w:t>
      </w:r>
    </w:p>
    <w:p w:rsidR="00E26B27" w:rsidRPr="00E26B27" w:rsidRDefault="007A1A6A" w:rsidP="00FD716C">
      <w:r>
        <w:t>De laatste beschuldigingen g</w:t>
      </w:r>
      <w:r w:rsidR="0070710D">
        <w:t>aan</w:t>
      </w:r>
      <w:r>
        <w:t xml:space="preserve"> over de Zwitserse Garde die Lodewijk XVI bij zich had in de Tuilerieën. Lodewijk XVI had op 10 augustus 1792 om vijf uur in de ochtend de troepen in het paleis in ogenschouw genomen. Later die dag werd het paleis</w:t>
      </w:r>
      <w:r w:rsidR="0023697B">
        <w:t xml:space="preserve"> bestormd door een volksmenigte, maar Lodewijk XVI was zelf niet aanwezig in het paleis.</w:t>
      </w:r>
      <w:r>
        <w:t xml:space="preserve"> De Conventie stelde dat de gardisten als eerste het vuur opende</w:t>
      </w:r>
      <w:r w:rsidR="0070710D">
        <w:t>n</w:t>
      </w:r>
      <w:r>
        <w:t xml:space="preserve"> en hield Lodewijk XVI hier verantwoordelijk voor. </w:t>
      </w:r>
      <w:r w:rsidR="00EA01B8">
        <w:t xml:space="preserve">Barère vroeg hem tijdens het verhoor waarom hij zijn troepen om een persoonlijke eed van gehoorzaamheid had gevraagd. Dit noemde </w:t>
      </w:r>
      <w:r w:rsidR="005F074C">
        <w:t xml:space="preserve">Barère </w:t>
      </w:r>
      <w:r w:rsidR="00EA01B8">
        <w:t xml:space="preserve">een voorbereiding van een moedwillige aanval op Parijs. </w:t>
      </w:r>
      <w:r w:rsidR="0023697B">
        <w:t xml:space="preserve">Deze verdenking van een aanval op </w:t>
      </w:r>
      <w:r w:rsidR="0070710D">
        <w:t>P</w:t>
      </w:r>
      <w:r w:rsidR="0023697B">
        <w:t xml:space="preserve">arijs was cruciaal in het proces. </w:t>
      </w:r>
      <w:r>
        <w:t xml:space="preserve">Op basis </w:t>
      </w:r>
      <w:r w:rsidR="00EA01B8">
        <w:t>van deze feiten</w:t>
      </w:r>
      <w:r>
        <w:t xml:space="preserve"> werd de laatste beschuldiging van de </w:t>
      </w:r>
      <w:r>
        <w:rPr>
          <w:i/>
        </w:rPr>
        <w:t xml:space="preserve">acte énonciatif </w:t>
      </w:r>
      <w:r>
        <w:t xml:space="preserve">opgesteld, namelijk dat Lodewijk XVI verantwoordelijk was voor het vergieten van het bloed van het Franse volk. Tijdens het verhoor sprak Lodewijk XVI over de reden waarom hij de troepen in de Tuilerieën had opgeroepen. </w:t>
      </w:r>
      <w:r w:rsidR="00EA01B8">
        <w:t xml:space="preserve">Hij vond dat hij zichzelf moest verdedigen omdat hij een grondwettelijke autoriteit was en bang was voor de groeiende onrust. Tenslotte gaf hij een geëmotioneerd antwoord op de laatste beschuldiging: </w:t>
      </w:r>
      <w:r w:rsidR="00EA01B8" w:rsidRPr="00EA01B8">
        <w:rPr>
          <w:i/>
        </w:rPr>
        <w:t>‘</w:t>
      </w:r>
      <w:r w:rsidR="00EA01B8">
        <w:rPr>
          <w:i/>
        </w:rPr>
        <w:t>Non, monsieur</w:t>
      </w:r>
      <w:r w:rsidR="00EA01B8" w:rsidRPr="00EA01B8">
        <w:rPr>
          <w:i/>
        </w:rPr>
        <w:t>; ce n’est pas moi, je me défendrai j</w:t>
      </w:r>
      <w:r w:rsidR="00EA01B8">
        <w:rPr>
          <w:i/>
        </w:rPr>
        <w:t>usqu' à la fin, ce n'est pas moi</w:t>
      </w:r>
      <w:r w:rsidR="00EA01B8" w:rsidRPr="00EA01B8">
        <w:rPr>
          <w:i/>
        </w:rPr>
        <w:t>!</w:t>
      </w:r>
      <w:r w:rsidR="00EA01B8">
        <w:rPr>
          <w:i/>
        </w:rPr>
        <w:t>’</w:t>
      </w:r>
      <w:r w:rsidR="00EA01B8">
        <w:rPr>
          <w:rStyle w:val="FootnoteReference"/>
        </w:rPr>
        <w:footnoteReference w:id="91"/>
      </w:r>
      <w:r w:rsidR="00EA01B8">
        <w:t xml:space="preserve"> </w:t>
      </w:r>
      <w:r w:rsidR="0081116E">
        <w:br/>
        <w:t>De Conventie had gelijk</w:t>
      </w:r>
      <w:r w:rsidR="00EA01B8">
        <w:t xml:space="preserve"> dat de Zwitserse Garde als eerste het vuur opende. Naast deze 900 gardisten waren er ook tussen de 100 en 200 </w:t>
      </w:r>
      <w:r w:rsidR="00EA01B8">
        <w:rPr>
          <w:i/>
        </w:rPr>
        <w:t>courtiers</w:t>
      </w:r>
      <w:r w:rsidR="00EA01B8">
        <w:t xml:space="preserve"> en 2.000 leden van de Nationale Garde. De laatste groep koos direct de andere kant toen ze zagen dat de menigte uit ongeveer 20.000 man bestond. </w:t>
      </w:r>
      <w:r w:rsidR="0081116E">
        <w:t>De Zwitserse Garde was kansloos en ongeveer 600 gardisten stierven op 10 augustus, tegenover 300 doden aan de andere kant. Het was tot dan toe de meest bloedige dag van de Franse Revolutie.</w:t>
      </w:r>
      <w:r w:rsidR="0081116E">
        <w:rPr>
          <w:rStyle w:val="FootnoteReference"/>
        </w:rPr>
        <w:footnoteReference w:id="92"/>
      </w:r>
      <w:r w:rsidR="0081116E">
        <w:t xml:space="preserve"> </w:t>
      </w:r>
      <w:r w:rsidR="0023697B">
        <w:t>DeSèze sprak in zijn speech over dit bloedbad. Volgens hem was Lodewijk geïsoleerd door de lokale en nationale autoriteiten en voelde hij dat hij zich als autoriteit moest verdedigen. Daarnaast was er geen bewijs van verraad van Lodewijk XVI, aangezien er nog geen slachtoffer was gevallen vóór hij vertrok en dat hij niet verantwoordelijk was voor wat er gebeurde na</w:t>
      </w:r>
      <w:r w:rsidR="005F074C">
        <w:t xml:space="preserve"> </w:t>
      </w:r>
      <w:r w:rsidR="0070710D">
        <w:t>zijn vetrek</w:t>
      </w:r>
      <w:r w:rsidR="0023697B">
        <w:t xml:space="preserve">. </w:t>
      </w:r>
      <w:r w:rsidR="006117EF">
        <w:t>Het enige mogelijke bewijs was, volgens DeSèze, de gedachte</w:t>
      </w:r>
      <w:r w:rsidR="0070710D">
        <w:t>n</w:t>
      </w:r>
      <w:r w:rsidR="006117EF">
        <w:t xml:space="preserve">gang van de koning, maar in een proces wordt niemand veroordeeld op basis van zijn gedachten, maar op basis van zijn daden. Daarom was </w:t>
      </w:r>
      <w:r w:rsidR="0070710D">
        <w:t xml:space="preserve">de koning </w:t>
      </w:r>
      <w:r w:rsidR="006117EF">
        <w:t xml:space="preserve">volgens DeSèze niet verantwoordelijk voor het bloedbad van 10 augustus. Tenslotte zei DeSèze dat het belachelijk </w:t>
      </w:r>
      <w:r w:rsidR="0070710D">
        <w:t>wa</w:t>
      </w:r>
      <w:r w:rsidR="006117EF">
        <w:t>s om Lodewijk XVI te beschuldigen van bloedvergieten</w:t>
      </w:r>
      <w:r w:rsidR="0070710D">
        <w:t>,</w:t>
      </w:r>
      <w:r w:rsidR="006117EF">
        <w:t xml:space="preserve"> omdat hij da</w:t>
      </w:r>
      <w:r w:rsidR="0070710D">
        <w:t>t verafschuwde</w:t>
      </w:r>
      <w:r w:rsidR="006117EF">
        <w:t>. Lodewijk XVI wist volgens hem heel goed dat hij de ongelukkige oorzaa</w:t>
      </w:r>
      <w:r w:rsidR="005F074C">
        <w:t xml:space="preserve">k was van bloedvergieten, maar </w:t>
      </w:r>
      <w:r w:rsidR="0070710D">
        <w:t>het was</w:t>
      </w:r>
      <w:r w:rsidR="006117EF">
        <w:t xml:space="preserve"> nooit </w:t>
      </w:r>
      <w:r w:rsidR="0070710D">
        <w:t>zijn bedoeling geweest</w:t>
      </w:r>
      <w:r w:rsidR="006117EF">
        <w:t xml:space="preserve"> om bloed te vergieten en </w:t>
      </w:r>
      <w:r w:rsidR="0070710D">
        <w:t xml:space="preserve">hij </w:t>
      </w:r>
      <w:r w:rsidR="006117EF">
        <w:t xml:space="preserve">zou zichzelf </w:t>
      </w:r>
      <w:r w:rsidR="0070710D">
        <w:t>da</w:t>
      </w:r>
      <w:r w:rsidR="005F074C">
        <w:t>ar</w:t>
      </w:r>
      <w:r w:rsidR="006117EF">
        <w:t xml:space="preserve"> nooit </w:t>
      </w:r>
      <w:r w:rsidR="006117EF">
        <w:t>voor</w:t>
      </w:r>
      <w:r w:rsidR="006117EF">
        <w:t xml:space="preserve"> vergeven.</w:t>
      </w:r>
      <w:r w:rsidR="006117EF">
        <w:rPr>
          <w:rStyle w:val="FootnoteReference"/>
        </w:rPr>
        <w:footnoteReference w:id="93"/>
      </w:r>
      <w:r w:rsidR="006117EF">
        <w:br/>
      </w:r>
      <w:r w:rsidR="0081116E">
        <w:t xml:space="preserve">De vraag </w:t>
      </w:r>
      <w:r w:rsidR="006117EF">
        <w:t>die overblijft is of Lodewijk XVI het bloedbad had gepland</w:t>
      </w:r>
      <w:r w:rsidR="0081116E">
        <w:t xml:space="preserve">. Waarschijnlijk was hij erg bang voor de onrust die zich de dagen voor 10 augustus was ontstaan en deed hij er alles aan om zichzelf en zijn familie te verdedigen. Dat is de reden waarom hij de troepen van de Tuilerieën die ochtend </w:t>
      </w:r>
      <w:r w:rsidR="0081116E">
        <w:lastRenderedPageBreak/>
        <w:t>had verzameld en hen een eed van gehoorzaamheid had laten af</w:t>
      </w:r>
      <w:r w:rsidR="00791CD9">
        <w:t>leggen</w:t>
      </w:r>
      <w:r w:rsidR="0081116E">
        <w:t xml:space="preserve">. Tegelijkertijd had hij niet verwacht dat de onrust </w:t>
      </w:r>
      <w:r w:rsidR="00791CD9">
        <w:t>zou uitlopen op</w:t>
      </w:r>
      <w:r w:rsidR="0081116E">
        <w:t xml:space="preserve"> een slagveld in het paleis en is het </w:t>
      </w:r>
      <w:r w:rsidR="00791CD9">
        <w:t>goed voorstelbaar</w:t>
      </w:r>
      <w:r w:rsidR="0081116E">
        <w:t xml:space="preserve"> dat hij zelf geschokt was door de vele doden. Dit blijkt ook uit de geëmotioneerdheid waarmee hij </w:t>
      </w:r>
      <w:r w:rsidR="006117EF">
        <w:t xml:space="preserve">en DeSèze </w:t>
      </w:r>
      <w:r w:rsidR="0081116E">
        <w:t>de laatste beschuldiging ontkende</w:t>
      </w:r>
      <w:r w:rsidR="006117EF">
        <w:t>n</w:t>
      </w:r>
      <w:r w:rsidR="002A44F4">
        <w:t xml:space="preserve">. </w:t>
      </w:r>
      <w:r w:rsidR="00E26B27">
        <w:t xml:space="preserve">Daarom is het aannemelijk om te stellen dat Lodewijk XVI niet in staat was om te zien wat voor gevolgen zijn daden zouden hebben en onschuldig is aan de laatste beschuldiging in de </w:t>
      </w:r>
      <w:r w:rsidR="00E26B27">
        <w:rPr>
          <w:i/>
        </w:rPr>
        <w:t>acte énonciatif</w:t>
      </w:r>
      <w:r w:rsidR="00E26B27">
        <w:t>, namelijk het vergieten van het bloed van het Franse volk.</w:t>
      </w:r>
    </w:p>
    <w:p w:rsidR="00A01815" w:rsidRDefault="00A70E2E" w:rsidP="00FD716C">
      <w:r w:rsidRPr="00564164">
        <w:rPr>
          <w:b/>
        </w:rPr>
        <w:t>Conclusie</w:t>
      </w:r>
      <w:r w:rsidRPr="00564164">
        <w:br/>
      </w:r>
      <w:r w:rsidR="00564164" w:rsidRPr="00564164">
        <w:t>Lodewijk XVI was ze</w:t>
      </w:r>
      <w:r w:rsidR="00564164">
        <w:t xml:space="preserve">ker niet een geweldige koning. Zoals </w:t>
      </w:r>
      <w:r w:rsidR="00791CD9">
        <w:t>blijkt uit</w:t>
      </w:r>
      <w:r w:rsidR="00564164">
        <w:t xml:space="preserve"> de voorgaande bladzijden nam hij veel verkeerde beslissingen</w:t>
      </w:r>
      <w:r w:rsidR="00791CD9">
        <w:t>,</w:t>
      </w:r>
      <w:r w:rsidR="00564164">
        <w:t xml:space="preserve"> omdat hij niet in staat was om de gevolgen ervan te overzien. Daarnaast had hij vaak geen idee hoe hij met </w:t>
      </w:r>
      <w:r w:rsidR="005F074C">
        <w:t>de verandere situaties waar hij in terecht kwam om moest gaan. Deze situaties zijn bevoorbeeld het afnemen van zijn absolute macht en zijn proces. Dit is</w:t>
      </w:r>
      <w:r w:rsidR="00564164">
        <w:t xml:space="preserve"> een andere reden is voor de verkeerde beslissingen die hij </w:t>
      </w:r>
      <w:r w:rsidR="00791CD9">
        <w:t>nam</w:t>
      </w:r>
      <w:r w:rsidR="00564164">
        <w:t>. D</w:t>
      </w:r>
      <w:r w:rsidR="00791CD9">
        <w:t>a</w:t>
      </w:r>
      <w:r w:rsidR="00564164">
        <w:t xml:space="preserve">t is dan ook terug te zien </w:t>
      </w:r>
      <w:r w:rsidR="00791CD9">
        <w:t>in</w:t>
      </w:r>
      <w:r w:rsidR="00564164">
        <w:t xml:space="preserve"> het verloop van het proces. Lodewijk XVI loog zich een weg door zijn verhoor, om pas met een sterke verdediging terug te komen in de tweede sessie, toen hij door anderen geholpen werd. Tijdens de eerste sessie wist hij niet wat hij moest doen en koos daarom voor de gemakkelijkste optie, namelijk bedrog. Wat wel voor hem spreekt</w:t>
      </w:r>
      <w:r w:rsidR="00791CD9">
        <w:t>,</w:t>
      </w:r>
      <w:r w:rsidR="00564164">
        <w:t xml:space="preserve"> is dat hij dit deed met een geheven hoofd en een kalmte die opmerkelijk is voor iemand die op het punt staat zijn leven kwijt te raken.</w:t>
      </w:r>
      <w:r w:rsidR="00564164">
        <w:br/>
        <w:t xml:space="preserve">Tegelijkertijd denk ik niet dat hij het proces had kunnen winnen. Dit komt allereerst omdat het proces plaatsvond voor de Conventie, die als aanklager en jury fungeerde. Leden van de Conventie hadden hun oordeel al geveld voor het proces begonnen was en Lodewijk XVI was niet in staat </w:t>
      </w:r>
      <w:r w:rsidR="00791CD9">
        <w:t>hun</w:t>
      </w:r>
      <w:r w:rsidR="00564164">
        <w:t xml:space="preserve"> mening te veranderen. Dit komt ook door </w:t>
      </w:r>
      <w:r w:rsidR="005F074C">
        <w:t>het door de</w:t>
      </w:r>
      <w:r w:rsidR="00564164">
        <w:t xml:space="preserve"> Conventie </w:t>
      </w:r>
      <w:r w:rsidR="00791CD9">
        <w:t xml:space="preserve">geregisseerde </w:t>
      </w:r>
      <w:r w:rsidR="00564164">
        <w:t>proces</w:t>
      </w:r>
      <w:r w:rsidR="005F074C">
        <w:t xml:space="preserve">, dat verre van eerlijk </w:t>
      </w:r>
      <w:r w:rsidR="00791CD9">
        <w:t>verl</w:t>
      </w:r>
      <w:r w:rsidR="005F074C">
        <w:t>iep. Daarnaast waren de beschuldigingen die zij had opgesteld ook verre van eerlijk</w:t>
      </w:r>
      <w:r w:rsidR="00564164">
        <w:t xml:space="preserve">. </w:t>
      </w:r>
      <w:r w:rsidR="005F074C">
        <w:t xml:space="preserve">Het verloop van het proces </w:t>
      </w:r>
      <w:r w:rsidR="00DE7BE9">
        <w:t xml:space="preserve">was allesbehalve eerlijk, aangezien de Conventie zich niet aan de </w:t>
      </w:r>
      <w:r w:rsidR="00DE7BE9">
        <w:rPr>
          <w:i/>
        </w:rPr>
        <w:t>Code pénal</w:t>
      </w:r>
      <w:r w:rsidR="00DE7BE9">
        <w:t xml:space="preserve"> hield. Dit kwam het meest duidelijk naar voren in het feit dat de verdediging van Lodewijk XVI niet genoeg tijd had om al het bewijsmateriaal te verzamelen en zich voor te bereiden. De beschuldigingen zijn ook niet eerlijk, aangezien vele beschuldigingen gebaseerd zijn op misverstanden of verdraaide feiten. Lodewijk XVI kon zich hier niet tegen verdedigen.</w:t>
      </w:r>
    </w:p>
    <w:p w:rsidR="00E26B27" w:rsidRDefault="00DE7BE9">
      <w:r>
        <w:t xml:space="preserve">Dit neemt niet weg dat Lodewijk XVI daden heeft verricht die niet door de beugel kunnen. Ik ben echter van mening dat de doodstraf hier een te zware straf voor is geweest, aangezien zijn misdaden in het licht van de historische feiten en alle beschikbare kennis anno 2015 significant minder zwaar zijn dan dat de Conventie zichzelf deed geloven. </w:t>
      </w:r>
      <w:r w:rsidR="00E26B27">
        <w:t xml:space="preserve">Hem ontdoen van het koningschap was een geschikte straf </w:t>
      </w:r>
      <w:r w:rsidR="00791CD9">
        <w:t xml:space="preserve">geweest </w:t>
      </w:r>
      <w:r w:rsidR="00E26B27">
        <w:t>voor een zwakke koning, maar hij had geen actief verraad gepleegd waar hij de dood voor verdiende. Het is voor hem een tragische zaak geweest dat zijn tijdgenoten er anders over dachten.</w:t>
      </w:r>
      <w:r w:rsidR="00E26B27">
        <w:br w:type="page"/>
      </w:r>
    </w:p>
    <w:p w:rsidR="00FD716C" w:rsidRDefault="00FD716C" w:rsidP="00FD716C">
      <w:pPr>
        <w:rPr>
          <w:lang w:val="en-GB"/>
        </w:rPr>
      </w:pPr>
      <w:proofErr w:type="spellStart"/>
      <w:r w:rsidRPr="005F074C">
        <w:rPr>
          <w:b/>
        </w:rPr>
        <w:lastRenderedPageBreak/>
        <w:t>Literatuur</w:t>
      </w:r>
      <w:proofErr w:type="spellEnd"/>
      <w:r w:rsidRPr="005F074C">
        <w:rPr>
          <w:b/>
        </w:rPr>
        <w:br/>
      </w:r>
      <w:r w:rsidR="00A70E2E" w:rsidRPr="005F074C">
        <w:t xml:space="preserve">- </w:t>
      </w:r>
      <w:proofErr w:type="spellStart"/>
      <w:r w:rsidR="00A70E2E" w:rsidRPr="005F074C">
        <w:t>Braddick</w:t>
      </w:r>
      <w:proofErr w:type="spellEnd"/>
      <w:r w:rsidR="00A70E2E" w:rsidRPr="005F074C">
        <w:t xml:space="preserve">, Michael, </w:t>
      </w:r>
      <w:r w:rsidR="00A70E2E" w:rsidRPr="005F074C">
        <w:rPr>
          <w:i/>
        </w:rPr>
        <w:t>God’s Fury, England’s Fire: A New History o</w:t>
      </w:r>
      <w:proofErr w:type="spellStart"/>
      <w:r w:rsidR="00A70E2E" w:rsidRPr="009410EF">
        <w:rPr>
          <w:i/>
          <w:lang w:val="en-GB"/>
        </w:rPr>
        <w:t>f</w:t>
      </w:r>
      <w:proofErr w:type="spellEnd"/>
      <w:r w:rsidR="00A70E2E" w:rsidRPr="009410EF">
        <w:rPr>
          <w:i/>
          <w:lang w:val="en-GB"/>
        </w:rPr>
        <w:t xml:space="preserve"> the English Civil Wars</w:t>
      </w:r>
      <w:r w:rsidR="00A70E2E">
        <w:rPr>
          <w:lang w:val="en-GB"/>
        </w:rPr>
        <w:t xml:space="preserve"> (</w:t>
      </w:r>
      <w:proofErr w:type="spellStart"/>
      <w:r w:rsidR="00A70E2E">
        <w:rPr>
          <w:lang w:val="en-GB"/>
        </w:rPr>
        <w:t>Londen</w:t>
      </w:r>
      <w:proofErr w:type="spellEnd"/>
      <w:r w:rsidR="00A70E2E">
        <w:rPr>
          <w:lang w:val="en-GB"/>
        </w:rPr>
        <w:t xml:space="preserve"> 2009).</w:t>
      </w:r>
      <w:r w:rsidR="00A70E2E" w:rsidRPr="009410EF">
        <w:rPr>
          <w:lang w:val="en-GB"/>
        </w:rPr>
        <w:br/>
      </w:r>
      <w:r w:rsidRPr="00233026">
        <w:rPr>
          <w:lang w:val="en-GB"/>
        </w:rPr>
        <w:t xml:space="preserve">- Doyle, William, </w:t>
      </w:r>
      <w:proofErr w:type="gramStart"/>
      <w:r w:rsidRPr="00233026">
        <w:rPr>
          <w:i/>
          <w:lang w:val="en-GB"/>
        </w:rPr>
        <w:t>The</w:t>
      </w:r>
      <w:proofErr w:type="gramEnd"/>
      <w:r w:rsidRPr="00233026">
        <w:rPr>
          <w:i/>
          <w:lang w:val="en-GB"/>
        </w:rPr>
        <w:t xml:space="preserve"> Oxford History of the French Revolution</w:t>
      </w:r>
      <w:r w:rsidRPr="00233026">
        <w:rPr>
          <w:lang w:val="en-GB"/>
        </w:rPr>
        <w:t xml:space="preserve"> (Oxford 1989).</w:t>
      </w:r>
      <w:r w:rsidRPr="00233026">
        <w:rPr>
          <w:lang w:val="en-GB"/>
        </w:rPr>
        <w:br/>
        <w:t xml:space="preserve">- </w:t>
      </w:r>
      <w:proofErr w:type="spellStart"/>
      <w:r w:rsidRPr="00233026">
        <w:rPr>
          <w:lang w:val="en-GB"/>
        </w:rPr>
        <w:t>Furet</w:t>
      </w:r>
      <w:proofErr w:type="spellEnd"/>
      <w:r w:rsidRPr="00233026">
        <w:rPr>
          <w:lang w:val="en-GB"/>
        </w:rPr>
        <w:t xml:space="preserve">, François, </w:t>
      </w:r>
      <w:r w:rsidRPr="00233026">
        <w:rPr>
          <w:i/>
          <w:lang w:val="en-GB"/>
        </w:rPr>
        <w:t xml:space="preserve">La </w:t>
      </w:r>
      <w:proofErr w:type="spellStart"/>
      <w:r w:rsidRPr="00233026">
        <w:rPr>
          <w:i/>
          <w:lang w:val="en-GB"/>
        </w:rPr>
        <w:t>Révolution</w:t>
      </w:r>
      <w:proofErr w:type="spellEnd"/>
      <w:r w:rsidRPr="00233026">
        <w:rPr>
          <w:lang w:val="en-GB"/>
        </w:rPr>
        <w:t xml:space="preserve">, </w:t>
      </w:r>
      <w:proofErr w:type="spellStart"/>
      <w:r>
        <w:rPr>
          <w:lang w:val="en-GB"/>
        </w:rPr>
        <w:t>vertaald</w:t>
      </w:r>
      <w:proofErr w:type="spellEnd"/>
      <w:r>
        <w:rPr>
          <w:lang w:val="en-GB"/>
        </w:rPr>
        <w:t xml:space="preserve"> in het Engels tot </w:t>
      </w:r>
      <w:r>
        <w:rPr>
          <w:i/>
          <w:lang w:val="en-GB"/>
        </w:rPr>
        <w:t>Revolutionary France 1770 – 1880</w:t>
      </w:r>
      <w:r>
        <w:rPr>
          <w:lang w:val="en-GB"/>
        </w:rPr>
        <w:t xml:space="preserve"> (Oxford/Cambridge 1988).</w:t>
      </w:r>
      <w:r>
        <w:rPr>
          <w:lang w:val="en-GB"/>
        </w:rPr>
        <w:br/>
        <w:t xml:space="preserve">- Goodwin, Albert, </w:t>
      </w:r>
      <w:r>
        <w:rPr>
          <w:i/>
          <w:lang w:val="en-GB"/>
        </w:rPr>
        <w:t>French Revolution</w:t>
      </w:r>
      <w:r>
        <w:rPr>
          <w:lang w:val="en-GB"/>
        </w:rPr>
        <w:t xml:space="preserve">, </w:t>
      </w:r>
      <w:proofErr w:type="spellStart"/>
      <w:r>
        <w:rPr>
          <w:lang w:val="en-GB"/>
        </w:rPr>
        <w:t>vertaald</w:t>
      </w:r>
      <w:proofErr w:type="spellEnd"/>
      <w:r>
        <w:rPr>
          <w:lang w:val="en-GB"/>
        </w:rPr>
        <w:t xml:space="preserve"> in het </w:t>
      </w:r>
      <w:proofErr w:type="spellStart"/>
      <w:r>
        <w:rPr>
          <w:lang w:val="en-GB"/>
        </w:rPr>
        <w:t>Nederlands</w:t>
      </w:r>
      <w:proofErr w:type="spellEnd"/>
      <w:r>
        <w:rPr>
          <w:lang w:val="en-GB"/>
        </w:rPr>
        <w:t xml:space="preserve"> tot </w:t>
      </w:r>
      <w:r>
        <w:rPr>
          <w:i/>
          <w:lang w:val="en-GB"/>
        </w:rPr>
        <w:t xml:space="preserve">De </w:t>
      </w:r>
      <w:proofErr w:type="spellStart"/>
      <w:r>
        <w:rPr>
          <w:i/>
          <w:lang w:val="en-GB"/>
        </w:rPr>
        <w:t>Franse</w:t>
      </w:r>
      <w:proofErr w:type="spellEnd"/>
      <w:r>
        <w:rPr>
          <w:i/>
          <w:lang w:val="en-GB"/>
        </w:rPr>
        <w:t xml:space="preserve"> </w:t>
      </w:r>
      <w:proofErr w:type="spellStart"/>
      <w:r>
        <w:rPr>
          <w:i/>
          <w:lang w:val="en-GB"/>
        </w:rPr>
        <w:t>Revolutie</w:t>
      </w:r>
      <w:proofErr w:type="spellEnd"/>
      <w:r>
        <w:rPr>
          <w:lang w:val="en-GB"/>
        </w:rPr>
        <w:t xml:space="preserve"> (Zeist 1960).</w:t>
      </w:r>
      <w:r>
        <w:rPr>
          <w:lang w:val="en-GB"/>
        </w:rPr>
        <w:br/>
        <w:t xml:space="preserve">- Hardman, John, </w:t>
      </w:r>
      <w:r>
        <w:rPr>
          <w:i/>
          <w:lang w:val="en-GB"/>
        </w:rPr>
        <w:t>Louis XVI</w:t>
      </w:r>
      <w:r>
        <w:rPr>
          <w:lang w:val="en-GB"/>
        </w:rPr>
        <w:t xml:space="preserve"> (</w:t>
      </w:r>
      <w:proofErr w:type="spellStart"/>
      <w:r>
        <w:rPr>
          <w:lang w:val="en-GB"/>
        </w:rPr>
        <w:t>Londen</w:t>
      </w:r>
      <w:proofErr w:type="spellEnd"/>
      <w:r>
        <w:rPr>
          <w:lang w:val="en-GB"/>
        </w:rPr>
        <w:t xml:space="preserve"> 1993).</w:t>
      </w:r>
      <w:r>
        <w:rPr>
          <w:lang w:val="en-GB"/>
        </w:rPr>
        <w:br/>
        <w:t xml:space="preserve">- Hampson, Norman, </w:t>
      </w:r>
      <w:proofErr w:type="gramStart"/>
      <w:r>
        <w:rPr>
          <w:i/>
          <w:lang w:val="en-GB"/>
        </w:rPr>
        <w:t>A</w:t>
      </w:r>
      <w:proofErr w:type="gramEnd"/>
      <w:r>
        <w:rPr>
          <w:i/>
          <w:lang w:val="en-GB"/>
        </w:rPr>
        <w:t xml:space="preserve"> Social history of the French Revolution</w:t>
      </w:r>
      <w:r>
        <w:rPr>
          <w:lang w:val="en-GB"/>
        </w:rPr>
        <w:t xml:space="preserve"> (</w:t>
      </w:r>
      <w:proofErr w:type="spellStart"/>
      <w:r>
        <w:rPr>
          <w:lang w:val="en-GB"/>
        </w:rPr>
        <w:t>Londen</w:t>
      </w:r>
      <w:proofErr w:type="spellEnd"/>
      <w:r>
        <w:rPr>
          <w:lang w:val="en-GB"/>
        </w:rPr>
        <w:t>/Toronto 1963).</w:t>
      </w:r>
      <w:r w:rsidRPr="00F0628A">
        <w:rPr>
          <w:lang w:val="en-GB"/>
        </w:rPr>
        <w:br/>
        <w:t xml:space="preserve">- Johnson, Alison, </w:t>
      </w:r>
      <w:r w:rsidRPr="00F0628A">
        <w:rPr>
          <w:i/>
          <w:lang w:val="en-GB"/>
        </w:rPr>
        <w:t>Louis XVI and the French Revolution</w:t>
      </w:r>
      <w:r w:rsidRPr="00F0628A">
        <w:rPr>
          <w:lang w:val="en-GB"/>
        </w:rPr>
        <w:t xml:space="preserve"> (Jefferson 2013).</w:t>
      </w:r>
      <w:r w:rsidRPr="00F0628A">
        <w:rPr>
          <w:lang w:val="en-GB"/>
        </w:rPr>
        <w:br/>
        <w:t xml:space="preserve">- Jones, P.M., </w:t>
      </w:r>
      <w:proofErr w:type="gramStart"/>
      <w:r w:rsidRPr="00F0628A">
        <w:rPr>
          <w:i/>
          <w:lang w:val="en-GB"/>
        </w:rPr>
        <w:t>The</w:t>
      </w:r>
      <w:proofErr w:type="gramEnd"/>
      <w:r w:rsidRPr="00F0628A">
        <w:rPr>
          <w:i/>
          <w:lang w:val="en-GB"/>
        </w:rPr>
        <w:t xml:space="preserve"> French Revolution 1787-1804 </w:t>
      </w:r>
      <w:r w:rsidRPr="00F0628A">
        <w:rPr>
          <w:lang w:val="en-GB"/>
        </w:rPr>
        <w:t>(Oxford/New York 2014).</w:t>
      </w:r>
      <w:r>
        <w:rPr>
          <w:lang w:val="en-GB"/>
        </w:rPr>
        <w:br/>
        <w:t xml:space="preserve">- </w:t>
      </w:r>
      <w:r w:rsidRPr="00F0628A">
        <w:rPr>
          <w:lang w:val="en-GB"/>
        </w:rPr>
        <w:t xml:space="preserve">Jordan, David Paul, </w:t>
      </w:r>
      <w:r w:rsidRPr="00F0628A">
        <w:rPr>
          <w:i/>
          <w:lang w:val="en-GB"/>
        </w:rPr>
        <w:t xml:space="preserve">The </w:t>
      </w:r>
      <w:r>
        <w:rPr>
          <w:i/>
          <w:lang w:val="en-GB"/>
        </w:rPr>
        <w:t>K</w:t>
      </w:r>
      <w:r w:rsidRPr="00F0628A">
        <w:rPr>
          <w:i/>
          <w:lang w:val="en-GB"/>
        </w:rPr>
        <w:t>ing's</w:t>
      </w:r>
      <w:r>
        <w:rPr>
          <w:i/>
          <w:lang w:val="en-GB"/>
        </w:rPr>
        <w:t xml:space="preserve"> T</w:t>
      </w:r>
      <w:r w:rsidRPr="00F0628A">
        <w:rPr>
          <w:i/>
          <w:lang w:val="en-GB"/>
        </w:rPr>
        <w:t>rial: the French revolution vs. Louis XVI</w:t>
      </w:r>
      <w:r w:rsidRPr="00F0628A">
        <w:rPr>
          <w:lang w:val="en-GB"/>
        </w:rPr>
        <w:t xml:space="preserve"> (Berkeley 1979).</w:t>
      </w:r>
      <w:r w:rsidRPr="00F0628A">
        <w:rPr>
          <w:lang w:val="en-GB"/>
        </w:rPr>
        <w:br/>
        <w:t xml:space="preserve">- </w:t>
      </w:r>
      <w:r>
        <w:rPr>
          <w:lang w:val="en-GB"/>
        </w:rPr>
        <w:t xml:space="preserve">Neely, Sylvia, </w:t>
      </w:r>
      <w:proofErr w:type="gramStart"/>
      <w:r>
        <w:rPr>
          <w:i/>
          <w:lang w:val="en-GB"/>
        </w:rPr>
        <w:t>A</w:t>
      </w:r>
      <w:proofErr w:type="gramEnd"/>
      <w:r>
        <w:rPr>
          <w:i/>
          <w:lang w:val="en-GB"/>
        </w:rPr>
        <w:t xml:space="preserve"> Concise History of the French Revolution </w:t>
      </w:r>
      <w:r>
        <w:rPr>
          <w:lang w:val="en-GB"/>
        </w:rPr>
        <w:t>(Lanham 2008).</w:t>
      </w:r>
      <w:r w:rsidRPr="00E671C6">
        <w:rPr>
          <w:lang w:val="en-GB"/>
        </w:rPr>
        <w:t xml:space="preserve"> </w:t>
      </w:r>
      <w:r>
        <w:rPr>
          <w:lang w:val="en-GB"/>
        </w:rPr>
        <w:br/>
        <w:t xml:space="preserve">- </w:t>
      </w:r>
      <w:proofErr w:type="spellStart"/>
      <w:r>
        <w:rPr>
          <w:lang w:val="en-GB"/>
        </w:rPr>
        <w:t>Schama</w:t>
      </w:r>
      <w:proofErr w:type="spellEnd"/>
      <w:r>
        <w:rPr>
          <w:lang w:val="en-GB"/>
        </w:rPr>
        <w:t xml:space="preserve">, Simon, </w:t>
      </w:r>
      <w:r>
        <w:rPr>
          <w:i/>
          <w:lang w:val="en-GB"/>
        </w:rPr>
        <w:t>Citizens: A Chronical of the French Revolution</w:t>
      </w:r>
      <w:r>
        <w:rPr>
          <w:lang w:val="en-GB"/>
        </w:rPr>
        <w:t xml:space="preserve"> (</w:t>
      </w:r>
      <w:proofErr w:type="spellStart"/>
      <w:r>
        <w:rPr>
          <w:lang w:val="en-GB"/>
        </w:rPr>
        <w:t>Londen</w:t>
      </w:r>
      <w:proofErr w:type="spellEnd"/>
      <w:r>
        <w:rPr>
          <w:lang w:val="en-GB"/>
        </w:rPr>
        <w:t xml:space="preserve"> 1989).</w:t>
      </w:r>
      <w:r>
        <w:rPr>
          <w:lang w:val="en-GB"/>
        </w:rPr>
        <w:br/>
        <w:t xml:space="preserve">- </w:t>
      </w:r>
      <w:proofErr w:type="spellStart"/>
      <w:r>
        <w:rPr>
          <w:lang w:val="en-GB"/>
        </w:rPr>
        <w:t>Soboul</w:t>
      </w:r>
      <w:proofErr w:type="spellEnd"/>
      <w:r>
        <w:rPr>
          <w:lang w:val="en-GB"/>
        </w:rPr>
        <w:t xml:space="preserve">, Albert, </w:t>
      </w:r>
      <w:r>
        <w:rPr>
          <w:i/>
          <w:lang w:val="en-GB"/>
        </w:rPr>
        <w:t xml:space="preserve">Précis </w:t>
      </w:r>
      <w:proofErr w:type="spellStart"/>
      <w:r>
        <w:rPr>
          <w:i/>
          <w:lang w:val="en-GB"/>
        </w:rPr>
        <w:t>d’histoire</w:t>
      </w:r>
      <w:proofErr w:type="spellEnd"/>
      <w:r>
        <w:rPr>
          <w:i/>
          <w:lang w:val="en-GB"/>
        </w:rPr>
        <w:t xml:space="preserve"> de la </w:t>
      </w:r>
      <w:proofErr w:type="spellStart"/>
      <w:r>
        <w:rPr>
          <w:i/>
          <w:lang w:val="en-GB"/>
        </w:rPr>
        <w:t>Révolution</w:t>
      </w:r>
      <w:proofErr w:type="spellEnd"/>
      <w:r>
        <w:rPr>
          <w:i/>
          <w:lang w:val="en-GB"/>
        </w:rPr>
        <w:t xml:space="preserve"> </w:t>
      </w:r>
      <w:proofErr w:type="spellStart"/>
      <w:r>
        <w:rPr>
          <w:i/>
          <w:lang w:val="en-GB"/>
        </w:rPr>
        <w:t>française</w:t>
      </w:r>
      <w:proofErr w:type="spellEnd"/>
      <w:r>
        <w:rPr>
          <w:lang w:val="en-GB"/>
        </w:rPr>
        <w:t xml:space="preserve">, </w:t>
      </w:r>
      <w:proofErr w:type="spellStart"/>
      <w:r>
        <w:rPr>
          <w:lang w:val="en-GB"/>
        </w:rPr>
        <w:t>vertaald</w:t>
      </w:r>
      <w:proofErr w:type="spellEnd"/>
      <w:r>
        <w:rPr>
          <w:lang w:val="en-GB"/>
        </w:rPr>
        <w:t xml:space="preserve"> in het </w:t>
      </w:r>
      <w:proofErr w:type="spellStart"/>
      <w:r>
        <w:rPr>
          <w:lang w:val="en-GB"/>
        </w:rPr>
        <w:t>Nederlands</w:t>
      </w:r>
      <w:proofErr w:type="spellEnd"/>
      <w:r>
        <w:rPr>
          <w:lang w:val="en-GB"/>
        </w:rPr>
        <w:t xml:space="preserve"> tot </w:t>
      </w:r>
      <w:r>
        <w:rPr>
          <w:i/>
          <w:lang w:val="en-GB"/>
        </w:rPr>
        <w:t xml:space="preserve">De </w:t>
      </w:r>
      <w:proofErr w:type="spellStart"/>
      <w:r>
        <w:rPr>
          <w:i/>
          <w:lang w:val="en-GB"/>
        </w:rPr>
        <w:t>Franse</w:t>
      </w:r>
      <w:proofErr w:type="spellEnd"/>
      <w:r>
        <w:rPr>
          <w:i/>
          <w:lang w:val="en-GB"/>
        </w:rPr>
        <w:t xml:space="preserve"> </w:t>
      </w:r>
      <w:proofErr w:type="spellStart"/>
      <w:r>
        <w:rPr>
          <w:i/>
          <w:lang w:val="en-GB"/>
        </w:rPr>
        <w:t>Revolutie</w:t>
      </w:r>
      <w:proofErr w:type="spellEnd"/>
      <w:r>
        <w:rPr>
          <w:i/>
          <w:lang w:val="en-GB"/>
        </w:rPr>
        <w:t xml:space="preserve"> </w:t>
      </w:r>
      <w:r>
        <w:rPr>
          <w:lang w:val="en-GB"/>
        </w:rPr>
        <w:t>(Amsterdam 1975).</w:t>
      </w:r>
      <w:r>
        <w:rPr>
          <w:lang w:val="en-GB"/>
        </w:rPr>
        <w:br/>
        <w:t xml:space="preserve">- </w:t>
      </w:r>
      <w:proofErr w:type="spellStart"/>
      <w:r>
        <w:rPr>
          <w:lang w:val="en-GB"/>
        </w:rPr>
        <w:t>Walzer</w:t>
      </w:r>
      <w:proofErr w:type="spellEnd"/>
      <w:r>
        <w:rPr>
          <w:lang w:val="en-GB"/>
        </w:rPr>
        <w:t xml:space="preserve">, Michael (ed.), </w:t>
      </w:r>
      <w:r>
        <w:rPr>
          <w:i/>
          <w:lang w:val="en-GB"/>
        </w:rPr>
        <w:t>Regicide and Revolution: speeches at the Trial of Louis XVI</w:t>
      </w:r>
      <w:r>
        <w:rPr>
          <w:lang w:val="en-GB"/>
        </w:rPr>
        <w:t xml:space="preserve"> (</w:t>
      </w:r>
      <w:proofErr w:type="spellStart"/>
      <w:r>
        <w:rPr>
          <w:lang w:val="en-GB"/>
        </w:rPr>
        <w:t>Londen</w:t>
      </w:r>
      <w:proofErr w:type="spellEnd"/>
      <w:r>
        <w:rPr>
          <w:lang w:val="en-GB"/>
        </w:rPr>
        <w:t xml:space="preserve"> 1974).</w:t>
      </w:r>
      <w:r w:rsidRPr="009410EF">
        <w:rPr>
          <w:lang w:val="en-GB"/>
        </w:rPr>
        <w:br/>
        <w:t xml:space="preserve">- </w:t>
      </w:r>
      <w:r>
        <w:rPr>
          <w:lang w:val="en-GB"/>
        </w:rPr>
        <w:t xml:space="preserve">Worden, Blair, </w:t>
      </w:r>
      <w:proofErr w:type="gramStart"/>
      <w:r>
        <w:rPr>
          <w:i/>
          <w:lang w:val="en-GB"/>
        </w:rPr>
        <w:t>The</w:t>
      </w:r>
      <w:proofErr w:type="gramEnd"/>
      <w:r>
        <w:rPr>
          <w:i/>
          <w:lang w:val="en-GB"/>
        </w:rPr>
        <w:t xml:space="preserve"> English Civil Wars: 1640 – 1660 </w:t>
      </w:r>
      <w:r>
        <w:rPr>
          <w:lang w:val="en-GB"/>
        </w:rPr>
        <w:t>(</w:t>
      </w:r>
      <w:proofErr w:type="spellStart"/>
      <w:r>
        <w:rPr>
          <w:lang w:val="en-GB"/>
        </w:rPr>
        <w:t>Londen</w:t>
      </w:r>
      <w:proofErr w:type="spellEnd"/>
      <w:r>
        <w:rPr>
          <w:lang w:val="en-GB"/>
        </w:rPr>
        <w:t xml:space="preserve"> 2009).</w:t>
      </w:r>
    </w:p>
    <w:p w:rsidR="00E671C6" w:rsidRPr="00214177" w:rsidRDefault="00E671C6" w:rsidP="005D1AE9">
      <w:pPr>
        <w:rPr>
          <w:lang w:val="en-GB"/>
        </w:rPr>
      </w:pPr>
      <w:r w:rsidRPr="00214177">
        <w:rPr>
          <w:lang w:val="en-GB"/>
        </w:rPr>
        <w:br/>
      </w:r>
    </w:p>
    <w:p w:rsidR="006D706A" w:rsidRPr="00214177" w:rsidRDefault="00567E80" w:rsidP="004A0890">
      <w:pPr>
        <w:rPr>
          <w:lang w:val="en-GB"/>
        </w:rPr>
      </w:pPr>
      <w:r w:rsidRPr="00214177">
        <w:rPr>
          <w:lang w:val="en-GB"/>
        </w:rPr>
        <w:br/>
      </w:r>
    </w:p>
    <w:sectPr w:rsidR="006D706A" w:rsidRPr="002141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CE" w:rsidRDefault="006634CE" w:rsidP="00796163">
      <w:pPr>
        <w:spacing w:after="0" w:line="240" w:lineRule="auto"/>
      </w:pPr>
      <w:r>
        <w:separator/>
      </w:r>
    </w:p>
  </w:endnote>
  <w:endnote w:type="continuationSeparator" w:id="0">
    <w:p w:rsidR="006634CE" w:rsidRDefault="006634CE" w:rsidP="0079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CE" w:rsidRDefault="006634CE" w:rsidP="00796163">
      <w:pPr>
        <w:spacing w:after="0" w:line="240" w:lineRule="auto"/>
      </w:pPr>
      <w:r>
        <w:separator/>
      </w:r>
    </w:p>
  </w:footnote>
  <w:footnote w:type="continuationSeparator" w:id="0">
    <w:p w:rsidR="006634CE" w:rsidRDefault="006634CE" w:rsidP="00796163">
      <w:pPr>
        <w:spacing w:after="0" w:line="240" w:lineRule="auto"/>
      </w:pPr>
      <w:r>
        <w:continuationSeparator/>
      </w:r>
    </w:p>
  </w:footnote>
  <w:footnote w:id="1">
    <w:p w:rsidR="006A5399" w:rsidRPr="00796163" w:rsidRDefault="006A5399" w:rsidP="00E671C6">
      <w:pPr>
        <w:pStyle w:val="FootnoteText"/>
        <w:rPr>
          <w:lang w:val="en-GB"/>
        </w:rPr>
      </w:pPr>
      <w:r>
        <w:rPr>
          <w:rStyle w:val="FootnoteReference"/>
        </w:rPr>
        <w:footnoteRef/>
      </w:r>
      <w:r w:rsidRPr="00796163">
        <w:rPr>
          <w:lang w:val="en-GB"/>
        </w:rPr>
        <w:t xml:space="preserve"> </w:t>
      </w:r>
      <w:proofErr w:type="gramStart"/>
      <w:r w:rsidRPr="00796163">
        <w:rPr>
          <w:lang w:val="en-GB"/>
        </w:rPr>
        <w:t xml:space="preserve">Alison Johnson, </w:t>
      </w:r>
      <w:r w:rsidRPr="00F0628A">
        <w:rPr>
          <w:i/>
          <w:lang w:val="en-GB"/>
        </w:rPr>
        <w:t>Louis XVI and the French Revolution</w:t>
      </w:r>
      <w:r>
        <w:rPr>
          <w:lang w:val="en-GB"/>
        </w:rPr>
        <w:t xml:space="preserve"> (Jefferson 2013), p.188.</w:t>
      </w:r>
      <w:proofErr w:type="gramEnd"/>
    </w:p>
  </w:footnote>
  <w:footnote w:id="2">
    <w:p w:rsidR="006A5399" w:rsidRPr="0037761D" w:rsidRDefault="006A5399">
      <w:pPr>
        <w:pStyle w:val="FootnoteText"/>
        <w:rPr>
          <w:lang w:val="en-GB"/>
        </w:rPr>
      </w:pPr>
      <w:r>
        <w:rPr>
          <w:rStyle w:val="FootnoteReference"/>
        </w:rPr>
        <w:footnoteRef/>
      </w:r>
      <w:r w:rsidRPr="0037761D">
        <w:rPr>
          <w:lang w:val="en-GB"/>
        </w:rPr>
        <w:t xml:space="preserve"> </w:t>
      </w:r>
      <w:proofErr w:type="gramStart"/>
      <w:r w:rsidRPr="0037761D">
        <w:rPr>
          <w:lang w:val="en-GB"/>
        </w:rPr>
        <w:t xml:space="preserve">Sylvia Neely, </w:t>
      </w:r>
      <w:r w:rsidRPr="0037761D">
        <w:rPr>
          <w:i/>
          <w:lang w:val="en-GB"/>
        </w:rPr>
        <w:t>A Concise History of the French Revolution</w:t>
      </w:r>
      <w:r>
        <w:rPr>
          <w:lang w:val="en-GB"/>
        </w:rPr>
        <w:t xml:space="preserve"> (Lanham 2008), p.169.</w:t>
      </w:r>
      <w:proofErr w:type="gramEnd"/>
    </w:p>
  </w:footnote>
  <w:footnote w:id="3">
    <w:p w:rsidR="006A5399" w:rsidRPr="008C09A1" w:rsidRDefault="006A5399">
      <w:pPr>
        <w:pStyle w:val="FootnoteText"/>
      </w:pPr>
      <w:r>
        <w:rPr>
          <w:rStyle w:val="FootnoteReference"/>
        </w:rPr>
        <w:footnoteRef/>
      </w:r>
      <w:r w:rsidRPr="008C09A1">
        <w:t xml:space="preserve"> </w:t>
      </w:r>
      <w:r w:rsidRPr="008C09A1">
        <w:t xml:space="preserve">Alfred Soboul, </w:t>
      </w:r>
      <w:r w:rsidRPr="008C09A1">
        <w:rPr>
          <w:i/>
        </w:rPr>
        <w:t xml:space="preserve">De Franse Revolutie </w:t>
      </w:r>
      <w:r w:rsidRPr="008C09A1">
        <w:t>(Amsterdam 1975)</w:t>
      </w:r>
      <w:r>
        <w:t>, p.228.</w:t>
      </w:r>
    </w:p>
  </w:footnote>
  <w:footnote w:id="4">
    <w:p w:rsidR="006A5399" w:rsidRPr="00E927EB" w:rsidRDefault="006A5399">
      <w:pPr>
        <w:pStyle w:val="FootnoteText"/>
        <w:rPr>
          <w:lang w:val="en-GB"/>
        </w:rPr>
      </w:pPr>
      <w:r>
        <w:rPr>
          <w:rStyle w:val="FootnoteReference"/>
        </w:rPr>
        <w:footnoteRef/>
      </w:r>
      <w:r w:rsidRPr="00E927EB">
        <w:rPr>
          <w:lang w:val="en-GB"/>
        </w:rPr>
        <w:t xml:space="preserve"> </w:t>
      </w:r>
      <w:proofErr w:type="gramStart"/>
      <w:r w:rsidRPr="00250BAE">
        <w:rPr>
          <w:lang w:val="en-GB"/>
        </w:rPr>
        <w:t xml:space="preserve">François </w:t>
      </w:r>
      <w:proofErr w:type="spellStart"/>
      <w:r w:rsidRPr="00250BAE">
        <w:rPr>
          <w:lang w:val="en-GB"/>
        </w:rPr>
        <w:t>Furet</w:t>
      </w:r>
      <w:proofErr w:type="spellEnd"/>
      <w:r w:rsidRPr="00250BAE">
        <w:rPr>
          <w:lang w:val="en-GB"/>
        </w:rPr>
        <w:t xml:space="preserve">, </w:t>
      </w:r>
      <w:r w:rsidRPr="00250BAE">
        <w:rPr>
          <w:i/>
          <w:lang w:val="en-GB"/>
        </w:rPr>
        <w:t>Revolutionary France 1770 – 1880</w:t>
      </w:r>
      <w:r w:rsidRPr="00250BAE">
        <w:rPr>
          <w:lang w:val="en-GB"/>
        </w:rPr>
        <w:t xml:space="preserve"> (Oxford/Cambridge 1988), p.119.</w:t>
      </w:r>
      <w:proofErr w:type="gramEnd"/>
    </w:p>
  </w:footnote>
  <w:footnote w:id="5">
    <w:p w:rsidR="006A5399" w:rsidRPr="00F13DB5" w:rsidRDefault="006A5399">
      <w:pPr>
        <w:pStyle w:val="FootnoteText"/>
        <w:rPr>
          <w:lang w:val="en-GB"/>
        </w:rPr>
      </w:pPr>
      <w:r>
        <w:rPr>
          <w:rStyle w:val="FootnoteReference"/>
        </w:rPr>
        <w:footnoteRef/>
      </w:r>
      <w:r w:rsidRPr="00F13DB5">
        <w:rPr>
          <w:lang w:val="en-GB"/>
        </w:rPr>
        <w:t xml:space="preserve"> Norman Hampson, </w:t>
      </w:r>
      <w:proofErr w:type="gramStart"/>
      <w:r>
        <w:rPr>
          <w:i/>
          <w:lang w:val="en-GB"/>
        </w:rPr>
        <w:t>A</w:t>
      </w:r>
      <w:proofErr w:type="gramEnd"/>
      <w:r>
        <w:rPr>
          <w:i/>
          <w:lang w:val="en-GB"/>
        </w:rPr>
        <w:t xml:space="preserve"> Social history of the French Revolution</w:t>
      </w:r>
      <w:r>
        <w:rPr>
          <w:lang w:val="en-GB"/>
        </w:rPr>
        <w:t xml:space="preserve"> (</w:t>
      </w:r>
      <w:proofErr w:type="spellStart"/>
      <w:r>
        <w:rPr>
          <w:lang w:val="en-GB"/>
        </w:rPr>
        <w:t>Londen</w:t>
      </w:r>
      <w:proofErr w:type="spellEnd"/>
      <w:r>
        <w:rPr>
          <w:lang w:val="en-GB"/>
        </w:rPr>
        <w:t>/Toronto 1963), p.162.</w:t>
      </w:r>
    </w:p>
  </w:footnote>
  <w:footnote w:id="6">
    <w:p w:rsidR="006A5399" w:rsidRPr="00E610F0" w:rsidRDefault="006A5399">
      <w:pPr>
        <w:pStyle w:val="FootnoteText"/>
        <w:rPr>
          <w:lang w:val="en-GB"/>
        </w:rPr>
      </w:pPr>
      <w:r>
        <w:rPr>
          <w:rStyle w:val="FootnoteReference"/>
        </w:rPr>
        <w:footnoteRef/>
      </w:r>
      <w:r w:rsidRPr="00E610F0">
        <w:rPr>
          <w:lang w:val="en-GB"/>
        </w:rPr>
        <w:t xml:space="preserve"> </w:t>
      </w:r>
      <w:proofErr w:type="spellStart"/>
      <w:proofErr w:type="gramStart"/>
      <w:r w:rsidRPr="00E610F0">
        <w:rPr>
          <w:lang w:val="en-GB"/>
        </w:rPr>
        <w:t>Furet</w:t>
      </w:r>
      <w:proofErr w:type="spellEnd"/>
      <w:r w:rsidRPr="00E610F0">
        <w:rPr>
          <w:lang w:val="en-GB"/>
        </w:rPr>
        <w:t xml:space="preserve">, </w:t>
      </w:r>
      <w:r w:rsidRPr="00E610F0">
        <w:rPr>
          <w:i/>
          <w:lang w:val="en-GB"/>
        </w:rPr>
        <w:t>Revolutionary France</w:t>
      </w:r>
      <w:r w:rsidRPr="00E610F0">
        <w:rPr>
          <w:lang w:val="en-GB"/>
        </w:rPr>
        <w:t>, p.121.</w:t>
      </w:r>
      <w:proofErr w:type="gramEnd"/>
    </w:p>
  </w:footnote>
  <w:footnote w:id="7">
    <w:p w:rsidR="006A5399" w:rsidRPr="0033364B" w:rsidRDefault="006A5399" w:rsidP="00FD716C">
      <w:pPr>
        <w:pStyle w:val="FootnoteText"/>
        <w:rPr>
          <w:lang w:val="en-GB"/>
        </w:rPr>
      </w:pPr>
      <w:r>
        <w:rPr>
          <w:rStyle w:val="FootnoteReference"/>
        </w:rPr>
        <w:footnoteRef/>
      </w:r>
      <w:r w:rsidRPr="0033364B">
        <w:rPr>
          <w:lang w:val="en-GB"/>
        </w:rPr>
        <w:t xml:space="preserve"> </w:t>
      </w:r>
      <w:proofErr w:type="gramStart"/>
      <w:r w:rsidRPr="0033364B">
        <w:rPr>
          <w:lang w:val="en-GB"/>
        </w:rPr>
        <w:t xml:space="preserve">Albert Goodwin, </w:t>
      </w:r>
      <w:r w:rsidRPr="0033364B">
        <w:rPr>
          <w:i/>
          <w:lang w:val="en-GB"/>
        </w:rPr>
        <w:t xml:space="preserve">De </w:t>
      </w:r>
      <w:proofErr w:type="spellStart"/>
      <w:r w:rsidRPr="0033364B">
        <w:rPr>
          <w:i/>
          <w:lang w:val="en-GB"/>
        </w:rPr>
        <w:t>Franse</w:t>
      </w:r>
      <w:proofErr w:type="spellEnd"/>
      <w:r w:rsidRPr="0033364B">
        <w:rPr>
          <w:i/>
          <w:lang w:val="en-GB"/>
        </w:rPr>
        <w:t xml:space="preserve"> </w:t>
      </w:r>
      <w:proofErr w:type="spellStart"/>
      <w:r w:rsidRPr="0033364B">
        <w:rPr>
          <w:i/>
          <w:lang w:val="en-GB"/>
        </w:rPr>
        <w:t>Revolutie</w:t>
      </w:r>
      <w:proofErr w:type="spellEnd"/>
      <w:r w:rsidRPr="0033364B">
        <w:rPr>
          <w:lang w:val="en-GB"/>
        </w:rPr>
        <w:t xml:space="preserve"> (Zeist 1960), p.127.</w:t>
      </w:r>
      <w:proofErr w:type="gramEnd"/>
    </w:p>
  </w:footnote>
  <w:footnote w:id="8">
    <w:p w:rsidR="006A5399" w:rsidRPr="00CD1A3A" w:rsidRDefault="006A5399" w:rsidP="00FD716C">
      <w:pPr>
        <w:pStyle w:val="FootnoteText"/>
        <w:rPr>
          <w:lang w:val="en-GB"/>
        </w:rPr>
      </w:pPr>
      <w:r>
        <w:rPr>
          <w:rStyle w:val="FootnoteReference"/>
        </w:rPr>
        <w:footnoteRef/>
      </w:r>
      <w:r w:rsidRPr="00CD1A3A">
        <w:rPr>
          <w:lang w:val="en-GB"/>
        </w:rPr>
        <w:t xml:space="preserve"> </w:t>
      </w:r>
      <w:proofErr w:type="spellStart"/>
      <w:proofErr w:type="gramStart"/>
      <w:r w:rsidRPr="00CD1A3A">
        <w:rPr>
          <w:lang w:val="en-GB"/>
        </w:rPr>
        <w:t>Walzer</w:t>
      </w:r>
      <w:proofErr w:type="spellEnd"/>
      <w:r w:rsidRPr="00CD1A3A">
        <w:rPr>
          <w:lang w:val="en-GB"/>
        </w:rPr>
        <w:t xml:space="preserve">, </w:t>
      </w:r>
      <w:r w:rsidRPr="00CD1A3A">
        <w:rPr>
          <w:i/>
          <w:lang w:val="en-GB"/>
        </w:rPr>
        <w:t>Regicide and Revolution</w:t>
      </w:r>
      <w:r w:rsidRPr="00CD1A3A">
        <w:rPr>
          <w:lang w:val="en-GB"/>
        </w:rPr>
        <w:t>, p.79-80.</w:t>
      </w:r>
      <w:proofErr w:type="gramEnd"/>
    </w:p>
  </w:footnote>
  <w:footnote w:id="9">
    <w:p w:rsidR="006A5399" w:rsidRPr="00CF18E4" w:rsidRDefault="006A5399" w:rsidP="00FD716C">
      <w:pPr>
        <w:pStyle w:val="FootnoteText"/>
        <w:rPr>
          <w:lang w:val="en-GB"/>
        </w:rPr>
      </w:pPr>
      <w:r>
        <w:rPr>
          <w:rStyle w:val="FootnoteReference"/>
        </w:rPr>
        <w:footnoteRef/>
      </w:r>
      <w:r w:rsidRPr="00CF18E4">
        <w:rPr>
          <w:lang w:val="en-GB"/>
        </w:rPr>
        <w:t xml:space="preserve"> </w:t>
      </w:r>
      <w:proofErr w:type="spellStart"/>
      <w:proofErr w:type="gramStart"/>
      <w:r w:rsidRPr="00CF18E4">
        <w:rPr>
          <w:lang w:val="en-GB"/>
        </w:rPr>
        <w:t>Walzer</w:t>
      </w:r>
      <w:proofErr w:type="spellEnd"/>
      <w:r w:rsidRPr="00CF18E4">
        <w:rPr>
          <w:lang w:val="en-GB"/>
        </w:rPr>
        <w:t xml:space="preserve">, </w:t>
      </w:r>
      <w:r w:rsidRPr="00CF18E4">
        <w:rPr>
          <w:i/>
          <w:lang w:val="en-GB"/>
        </w:rPr>
        <w:t>Regicide and Revolution</w:t>
      </w:r>
      <w:r w:rsidRPr="00CF18E4">
        <w:rPr>
          <w:lang w:val="en-GB"/>
        </w:rPr>
        <w:t>, p.</w:t>
      </w:r>
      <w:r>
        <w:rPr>
          <w:lang w:val="en-GB"/>
        </w:rPr>
        <w:t>84-85.</w:t>
      </w:r>
      <w:proofErr w:type="gramEnd"/>
    </w:p>
  </w:footnote>
  <w:footnote w:id="10">
    <w:p w:rsidR="006A5399" w:rsidRPr="007E45CB" w:rsidRDefault="006A5399" w:rsidP="00FD716C">
      <w:pPr>
        <w:pStyle w:val="FootnoteText"/>
        <w:rPr>
          <w:lang w:val="en-GB"/>
        </w:rPr>
      </w:pPr>
      <w:r>
        <w:rPr>
          <w:rStyle w:val="FootnoteReference"/>
        </w:rPr>
        <w:footnoteRef/>
      </w:r>
      <w:r w:rsidRPr="007E45CB">
        <w:rPr>
          <w:lang w:val="en-GB"/>
        </w:rPr>
        <w:t xml:space="preserve"> David Paul Jordan, </w:t>
      </w:r>
      <w:r w:rsidRPr="007E45CB">
        <w:rPr>
          <w:i/>
          <w:lang w:val="en-GB"/>
        </w:rPr>
        <w:t>The King</w:t>
      </w:r>
      <w:r>
        <w:rPr>
          <w:i/>
          <w:lang w:val="en-GB"/>
        </w:rPr>
        <w:t>’</w:t>
      </w:r>
      <w:r w:rsidRPr="007E45CB">
        <w:rPr>
          <w:i/>
          <w:lang w:val="en-GB"/>
        </w:rPr>
        <w:t>s Trial</w:t>
      </w:r>
      <w:r>
        <w:rPr>
          <w:lang w:val="en-GB"/>
        </w:rPr>
        <w:t xml:space="preserve">: </w:t>
      </w:r>
      <w:r>
        <w:rPr>
          <w:i/>
          <w:lang w:val="en-GB"/>
        </w:rPr>
        <w:t>T</w:t>
      </w:r>
      <w:r w:rsidRPr="00F0628A">
        <w:rPr>
          <w:i/>
          <w:lang w:val="en-GB"/>
        </w:rPr>
        <w:t>he French revolution vs. Louis XVI</w:t>
      </w:r>
      <w:r w:rsidRPr="00F0628A">
        <w:rPr>
          <w:lang w:val="en-GB"/>
        </w:rPr>
        <w:t xml:space="preserve"> (Berkeley 1979)</w:t>
      </w:r>
      <w:r>
        <w:rPr>
          <w:lang w:val="en-GB"/>
        </w:rPr>
        <w:t xml:space="preserve">, </w:t>
      </w:r>
      <w:proofErr w:type="spellStart"/>
      <w:r>
        <w:rPr>
          <w:lang w:val="en-GB"/>
        </w:rPr>
        <w:t>p.xvii</w:t>
      </w:r>
      <w:proofErr w:type="spellEnd"/>
      <w:r>
        <w:rPr>
          <w:lang w:val="en-GB"/>
        </w:rPr>
        <w:t>.</w:t>
      </w:r>
    </w:p>
  </w:footnote>
  <w:footnote w:id="11">
    <w:p w:rsidR="006A5399" w:rsidRPr="007E45CB" w:rsidRDefault="006A5399" w:rsidP="00FD716C">
      <w:pPr>
        <w:pStyle w:val="FootnoteText"/>
        <w:rPr>
          <w:lang w:val="en-GB"/>
        </w:rPr>
      </w:pPr>
      <w:r>
        <w:rPr>
          <w:rStyle w:val="FootnoteReference"/>
        </w:rPr>
        <w:footnoteRef/>
      </w:r>
      <w:r w:rsidRPr="007E45CB">
        <w:rPr>
          <w:lang w:val="en-GB"/>
        </w:rPr>
        <w:t xml:space="preserve"> J</w:t>
      </w:r>
      <w:r>
        <w:rPr>
          <w:lang w:val="en-GB"/>
        </w:rPr>
        <w:t xml:space="preserve">ordan, </w:t>
      </w:r>
      <w:r>
        <w:rPr>
          <w:i/>
          <w:lang w:val="en-GB"/>
        </w:rPr>
        <w:t>The King’s Trial</w:t>
      </w:r>
      <w:r>
        <w:rPr>
          <w:lang w:val="en-GB"/>
        </w:rPr>
        <w:t>, p.234.</w:t>
      </w:r>
    </w:p>
  </w:footnote>
  <w:footnote w:id="12">
    <w:p w:rsidR="006A5399" w:rsidRPr="004C0DF0" w:rsidRDefault="006A5399" w:rsidP="00FD716C">
      <w:pPr>
        <w:pStyle w:val="FootnoteText"/>
        <w:rPr>
          <w:lang w:val="en-GB"/>
        </w:rPr>
      </w:pPr>
      <w:r>
        <w:rPr>
          <w:rStyle w:val="FootnoteReference"/>
        </w:rPr>
        <w:footnoteRef/>
      </w:r>
      <w:r w:rsidRPr="004C0DF0">
        <w:rPr>
          <w:lang w:val="en-GB"/>
        </w:rPr>
        <w:t xml:space="preserve"> Jordan, </w:t>
      </w:r>
      <w:r w:rsidRPr="004C0DF0">
        <w:rPr>
          <w:i/>
          <w:lang w:val="en-GB"/>
        </w:rPr>
        <w:t>The King’s Trial</w:t>
      </w:r>
      <w:r w:rsidRPr="004C0DF0">
        <w:rPr>
          <w:lang w:val="en-GB"/>
        </w:rPr>
        <w:t>, p.192.</w:t>
      </w:r>
    </w:p>
  </w:footnote>
  <w:footnote w:id="13">
    <w:p w:rsidR="006A5399" w:rsidRPr="00A64260" w:rsidRDefault="006A5399" w:rsidP="00FD716C">
      <w:pPr>
        <w:pStyle w:val="FootnoteText"/>
        <w:rPr>
          <w:lang w:val="en-GB"/>
        </w:rPr>
      </w:pPr>
      <w:r>
        <w:rPr>
          <w:rStyle w:val="FootnoteReference"/>
        </w:rPr>
        <w:footnoteRef/>
      </w:r>
      <w:r w:rsidRPr="00A64260">
        <w:rPr>
          <w:lang w:val="en-GB"/>
        </w:rPr>
        <w:t xml:space="preserve"> </w:t>
      </w:r>
      <w:proofErr w:type="spellStart"/>
      <w:proofErr w:type="gramStart"/>
      <w:r w:rsidRPr="00A64260">
        <w:rPr>
          <w:lang w:val="en-GB"/>
        </w:rPr>
        <w:t>Furet</w:t>
      </w:r>
      <w:proofErr w:type="spellEnd"/>
      <w:r w:rsidRPr="00A64260">
        <w:rPr>
          <w:lang w:val="en-GB"/>
        </w:rPr>
        <w:t xml:space="preserve">, </w:t>
      </w:r>
      <w:r w:rsidRPr="00A64260">
        <w:rPr>
          <w:i/>
          <w:lang w:val="en-GB"/>
        </w:rPr>
        <w:t>Revolutionary France</w:t>
      </w:r>
      <w:r w:rsidRPr="00A64260">
        <w:rPr>
          <w:lang w:val="en-GB"/>
        </w:rPr>
        <w:t>, p.122.</w:t>
      </w:r>
      <w:proofErr w:type="gramEnd"/>
    </w:p>
  </w:footnote>
  <w:footnote w:id="14">
    <w:p w:rsidR="006A5399" w:rsidRPr="009B722E" w:rsidRDefault="006A5399" w:rsidP="00FD716C">
      <w:pPr>
        <w:pStyle w:val="FootnoteText"/>
        <w:rPr>
          <w:lang w:val="en-GB"/>
        </w:rPr>
      </w:pPr>
      <w:r>
        <w:rPr>
          <w:rStyle w:val="FootnoteReference"/>
        </w:rPr>
        <w:footnoteRef/>
      </w:r>
      <w:r w:rsidRPr="009B722E">
        <w:rPr>
          <w:lang w:val="en-GB"/>
        </w:rPr>
        <w:t xml:space="preserve"> </w:t>
      </w:r>
      <w:proofErr w:type="spellStart"/>
      <w:proofErr w:type="gramStart"/>
      <w:r w:rsidRPr="009B722E">
        <w:rPr>
          <w:lang w:val="en-GB"/>
        </w:rPr>
        <w:t>Soboul</w:t>
      </w:r>
      <w:proofErr w:type="spellEnd"/>
      <w:r w:rsidRPr="009B722E">
        <w:rPr>
          <w:lang w:val="en-GB"/>
        </w:rPr>
        <w:t xml:space="preserve">, </w:t>
      </w:r>
      <w:r w:rsidRPr="009B722E">
        <w:rPr>
          <w:i/>
          <w:lang w:val="en-GB"/>
        </w:rPr>
        <w:t xml:space="preserve">De </w:t>
      </w:r>
      <w:proofErr w:type="spellStart"/>
      <w:r w:rsidRPr="009B722E">
        <w:rPr>
          <w:i/>
          <w:lang w:val="en-GB"/>
        </w:rPr>
        <w:t>Franse</w:t>
      </w:r>
      <w:proofErr w:type="spellEnd"/>
      <w:r w:rsidRPr="009B722E">
        <w:rPr>
          <w:i/>
          <w:lang w:val="en-GB"/>
        </w:rPr>
        <w:t xml:space="preserve"> </w:t>
      </w:r>
      <w:proofErr w:type="spellStart"/>
      <w:r w:rsidRPr="009B722E">
        <w:rPr>
          <w:i/>
          <w:lang w:val="en-GB"/>
        </w:rPr>
        <w:t>Revolutie</w:t>
      </w:r>
      <w:proofErr w:type="spellEnd"/>
      <w:r w:rsidRPr="009B722E">
        <w:rPr>
          <w:lang w:val="en-GB"/>
        </w:rPr>
        <w:t>, p.230.</w:t>
      </w:r>
      <w:proofErr w:type="gramEnd"/>
    </w:p>
  </w:footnote>
  <w:footnote w:id="15">
    <w:p w:rsidR="006A5399" w:rsidRPr="00D77125" w:rsidRDefault="006A5399" w:rsidP="00FD716C">
      <w:pPr>
        <w:pStyle w:val="FootnoteText"/>
        <w:rPr>
          <w:lang w:val="en-GB"/>
        </w:rPr>
      </w:pPr>
      <w:r>
        <w:rPr>
          <w:rStyle w:val="FootnoteReference"/>
        </w:rPr>
        <w:footnoteRef/>
      </w:r>
      <w:r w:rsidRPr="00D77125">
        <w:rPr>
          <w:lang w:val="en-GB"/>
        </w:rPr>
        <w:t xml:space="preserve"> </w:t>
      </w:r>
      <w:proofErr w:type="gramStart"/>
      <w:r w:rsidRPr="00D77125">
        <w:rPr>
          <w:lang w:val="en-GB"/>
        </w:rPr>
        <w:t xml:space="preserve">William Doyle, </w:t>
      </w:r>
      <w:r w:rsidRPr="00D77125">
        <w:rPr>
          <w:i/>
          <w:lang w:val="en-GB"/>
        </w:rPr>
        <w:t>The Oxford History of the French Revolution</w:t>
      </w:r>
      <w:r w:rsidRPr="00D77125">
        <w:rPr>
          <w:lang w:val="en-GB"/>
        </w:rPr>
        <w:t xml:space="preserve"> (Ox</w:t>
      </w:r>
      <w:r>
        <w:rPr>
          <w:lang w:val="en-GB"/>
        </w:rPr>
        <w:t>ford 1989), p.196.</w:t>
      </w:r>
      <w:proofErr w:type="gramEnd"/>
    </w:p>
  </w:footnote>
  <w:footnote w:id="16">
    <w:p w:rsidR="006A5399" w:rsidRPr="00D77125" w:rsidRDefault="006A5399" w:rsidP="00FD716C">
      <w:pPr>
        <w:pStyle w:val="FootnoteText"/>
      </w:pPr>
      <w:r>
        <w:rPr>
          <w:rStyle w:val="FootnoteReference"/>
        </w:rPr>
        <w:footnoteRef/>
      </w:r>
      <w:r>
        <w:t xml:space="preserve"> </w:t>
      </w:r>
      <w:r>
        <w:t xml:space="preserve">Furet, </w:t>
      </w:r>
      <w:r>
        <w:rPr>
          <w:i/>
        </w:rPr>
        <w:t xml:space="preserve">Revolutionary France, </w:t>
      </w:r>
      <w:r>
        <w:t>p.122.</w:t>
      </w:r>
    </w:p>
  </w:footnote>
  <w:footnote w:id="17">
    <w:p w:rsidR="006A5399" w:rsidRPr="001C53E0" w:rsidRDefault="006A5399" w:rsidP="00FD716C">
      <w:pPr>
        <w:pStyle w:val="FootnoteText"/>
      </w:pPr>
      <w:r>
        <w:rPr>
          <w:rStyle w:val="FootnoteReference"/>
        </w:rPr>
        <w:footnoteRef/>
      </w:r>
      <w:r>
        <w:t xml:space="preserve"> </w:t>
      </w:r>
      <w:r>
        <w:t xml:space="preserve">Het is dan ook typisch dat deze historicus een groot publiek heeft bereikt. </w:t>
      </w:r>
      <w:proofErr w:type="spellStart"/>
      <w:r w:rsidRPr="00CF18E4">
        <w:rPr>
          <w:lang w:val="en-GB"/>
        </w:rPr>
        <w:t>Neem</w:t>
      </w:r>
      <w:proofErr w:type="spellEnd"/>
      <w:r w:rsidRPr="00CF18E4">
        <w:rPr>
          <w:lang w:val="en-GB"/>
        </w:rPr>
        <w:t xml:space="preserve"> </w:t>
      </w:r>
      <w:proofErr w:type="spellStart"/>
      <w:r w:rsidRPr="00CF18E4">
        <w:rPr>
          <w:lang w:val="en-GB"/>
        </w:rPr>
        <w:t>nou</w:t>
      </w:r>
      <w:proofErr w:type="spellEnd"/>
      <w:r w:rsidRPr="00CF18E4">
        <w:rPr>
          <w:lang w:val="en-GB"/>
        </w:rPr>
        <w:t xml:space="preserve"> </w:t>
      </w:r>
      <w:proofErr w:type="spellStart"/>
      <w:r w:rsidRPr="00CF18E4">
        <w:rPr>
          <w:lang w:val="en-GB"/>
        </w:rPr>
        <w:t>deze</w:t>
      </w:r>
      <w:proofErr w:type="spellEnd"/>
      <w:r w:rsidRPr="00CF18E4">
        <w:rPr>
          <w:lang w:val="en-GB"/>
        </w:rPr>
        <w:t xml:space="preserve"> passage, die </w:t>
      </w:r>
      <w:proofErr w:type="spellStart"/>
      <w:r w:rsidRPr="00CF18E4">
        <w:rPr>
          <w:lang w:val="en-GB"/>
        </w:rPr>
        <w:t>zich</w:t>
      </w:r>
      <w:proofErr w:type="spellEnd"/>
      <w:r w:rsidRPr="00CF18E4">
        <w:rPr>
          <w:lang w:val="en-GB"/>
        </w:rPr>
        <w:t xml:space="preserve"> </w:t>
      </w:r>
      <w:proofErr w:type="spellStart"/>
      <w:r w:rsidRPr="00CF18E4">
        <w:rPr>
          <w:lang w:val="en-GB"/>
        </w:rPr>
        <w:t>afspeelt</w:t>
      </w:r>
      <w:proofErr w:type="spellEnd"/>
      <w:r w:rsidRPr="00CF18E4">
        <w:rPr>
          <w:lang w:val="en-GB"/>
        </w:rPr>
        <w:t xml:space="preserve"> op de </w:t>
      </w:r>
      <w:proofErr w:type="spellStart"/>
      <w:r w:rsidRPr="00CF18E4">
        <w:rPr>
          <w:lang w:val="en-GB"/>
        </w:rPr>
        <w:t>ochtend</w:t>
      </w:r>
      <w:proofErr w:type="spellEnd"/>
      <w:r w:rsidRPr="00CF18E4">
        <w:rPr>
          <w:lang w:val="en-GB"/>
        </w:rPr>
        <w:t xml:space="preserve"> van de </w:t>
      </w:r>
      <w:proofErr w:type="spellStart"/>
      <w:r w:rsidRPr="00CF18E4">
        <w:rPr>
          <w:lang w:val="en-GB"/>
        </w:rPr>
        <w:t>executie</w:t>
      </w:r>
      <w:proofErr w:type="spellEnd"/>
      <w:r w:rsidRPr="00CF18E4">
        <w:rPr>
          <w:lang w:val="en-GB"/>
        </w:rPr>
        <w:t xml:space="preserve">: ‘Louis was woken in the wintry dark by </w:t>
      </w:r>
      <w:proofErr w:type="spellStart"/>
      <w:r w:rsidRPr="00CF18E4">
        <w:rPr>
          <w:lang w:val="en-GB"/>
        </w:rPr>
        <w:t>Cléry</w:t>
      </w:r>
      <w:proofErr w:type="spellEnd"/>
      <w:r w:rsidRPr="00CF18E4">
        <w:rPr>
          <w:lang w:val="en-GB"/>
        </w:rPr>
        <w:t xml:space="preserve"> and received communion from </w:t>
      </w:r>
      <w:proofErr w:type="spellStart"/>
      <w:r w:rsidRPr="00CF18E4">
        <w:rPr>
          <w:lang w:val="en-GB"/>
        </w:rPr>
        <w:t>Edgeworth</w:t>
      </w:r>
      <w:proofErr w:type="spellEnd"/>
      <w:r w:rsidRPr="00CF18E4">
        <w:rPr>
          <w:lang w:val="en-GB"/>
        </w:rPr>
        <w:t xml:space="preserve"> at around six. </w:t>
      </w:r>
      <w:r>
        <w:rPr>
          <w:lang w:val="en-GB"/>
        </w:rPr>
        <w:t xml:space="preserve">He dressed simply, but it was already apparent that he would not see his family </w:t>
      </w:r>
      <w:proofErr w:type="gramStart"/>
      <w:r>
        <w:rPr>
          <w:lang w:val="en-GB"/>
        </w:rPr>
        <w:t>again, …’</w:t>
      </w:r>
      <w:proofErr w:type="gramEnd"/>
      <w:r>
        <w:rPr>
          <w:lang w:val="en-GB"/>
        </w:rPr>
        <w:t xml:space="preserve">. </w:t>
      </w:r>
      <w:r w:rsidRPr="001C53E0">
        <w:t xml:space="preserve">Hoewel deze tekst ervoor zorgt dat er een spannend verhaal ontstaat, zorgen dit soort passages </w:t>
      </w:r>
      <w:r>
        <w:t>in mijn perceptie er</w:t>
      </w:r>
      <w:r w:rsidRPr="001C53E0">
        <w:t xml:space="preserve">voor dat de daadwerkelijke historische argumenten en belangrijkste informatie verdrukt raakt naar de achtergrond, iets waarvan ik denk dat geen enkele historicus dat moet laten gebeuren. </w:t>
      </w:r>
    </w:p>
  </w:footnote>
  <w:footnote w:id="18">
    <w:p w:rsidR="006A5399" w:rsidRPr="00E91B85" w:rsidRDefault="006A5399" w:rsidP="00FD716C">
      <w:pPr>
        <w:pStyle w:val="FootnoteText"/>
        <w:rPr>
          <w:lang w:val="en-GB"/>
        </w:rPr>
      </w:pPr>
      <w:r>
        <w:rPr>
          <w:rStyle w:val="FootnoteReference"/>
        </w:rPr>
        <w:footnoteRef/>
      </w:r>
      <w:r w:rsidRPr="00E91B85">
        <w:rPr>
          <w:lang w:val="en-GB"/>
        </w:rPr>
        <w:t xml:space="preserve"> </w:t>
      </w:r>
      <w:proofErr w:type="spellStart"/>
      <w:proofErr w:type="gramStart"/>
      <w:r w:rsidRPr="00E91B85">
        <w:rPr>
          <w:lang w:val="en-GB"/>
        </w:rPr>
        <w:t>Schama</w:t>
      </w:r>
      <w:proofErr w:type="spellEnd"/>
      <w:r w:rsidRPr="00E91B85">
        <w:rPr>
          <w:lang w:val="en-GB"/>
        </w:rPr>
        <w:t xml:space="preserve">, </w:t>
      </w:r>
      <w:r w:rsidRPr="00E91B85">
        <w:rPr>
          <w:i/>
          <w:lang w:val="en-GB"/>
        </w:rPr>
        <w:t>Citizens</w:t>
      </w:r>
      <w:r w:rsidRPr="00E91B85">
        <w:rPr>
          <w:lang w:val="en-GB"/>
        </w:rPr>
        <w:t>, p.673-675.</w:t>
      </w:r>
      <w:proofErr w:type="gramEnd"/>
    </w:p>
  </w:footnote>
  <w:footnote w:id="19">
    <w:p w:rsidR="006A5399" w:rsidRPr="00E91B85" w:rsidRDefault="006A5399" w:rsidP="00FD716C">
      <w:pPr>
        <w:pStyle w:val="FootnoteText"/>
        <w:rPr>
          <w:lang w:val="en-GB"/>
        </w:rPr>
      </w:pPr>
      <w:r>
        <w:rPr>
          <w:rStyle w:val="FootnoteReference"/>
        </w:rPr>
        <w:footnoteRef/>
      </w:r>
      <w:r w:rsidRPr="00E91B85">
        <w:rPr>
          <w:lang w:val="en-GB"/>
        </w:rPr>
        <w:t xml:space="preserve"> </w:t>
      </w:r>
      <w:proofErr w:type="spellStart"/>
      <w:r w:rsidRPr="00E91B85">
        <w:rPr>
          <w:lang w:val="en-GB"/>
        </w:rPr>
        <w:t>Schama</w:t>
      </w:r>
      <w:proofErr w:type="spellEnd"/>
      <w:r w:rsidRPr="00E91B85">
        <w:rPr>
          <w:lang w:val="en-GB"/>
        </w:rPr>
        <w:t xml:space="preserve">, </w:t>
      </w:r>
      <w:r w:rsidRPr="00E91B85">
        <w:rPr>
          <w:i/>
          <w:lang w:val="en-GB"/>
        </w:rPr>
        <w:t>Citizens</w:t>
      </w:r>
      <w:r w:rsidRPr="00E91B85">
        <w:rPr>
          <w:lang w:val="en-GB"/>
        </w:rPr>
        <w:t>, p.663-665</w:t>
      </w:r>
    </w:p>
  </w:footnote>
  <w:footnote w:id="20">
    <w:p w:rsidR="006A5399" w:rsidRPr="00EB1ED4" w:rsidRDefault="006A5399" w:rsidP="00FD716C">
      <w:pPr>
        <w:pStyle w:val="FootnoteText"/>
        <w:rPr>
          <w:lang w:val="en-GB"/>
        </w:rPr>
      </w:pPr>
      <w:r>
        <w:rPr>
          <w:rStyle w:val="FootnoteReference"/>
        </w:rPr>
        <w:footnoteRef/>
      </w:r>
      <w:r w:rsidRPr="00EB1ED4">
        <w:rPr>
          <w:lang w:val="en-GB"/>
        </w:rPr>
        <w:t xml:space="preserve"> </w:t>
      </w:r>
      <w:proofErr w:type="gramStart"/>
      <w:r w:rsidRPr="00EB1ED4">
        <w:rPr>
          <w:lang w:val="en-GB"/>
        </w:rPr>
        <w:t xml:space="preserve">John Hardman, </w:t>
      </w:r>
      <w:r w:rsidRPr="00EB1ED4">
        <w:rPr>
          <w:i/>
          <w:lang w:val="en-GB"/>
        </w:rPr>
        <w:t>Louis XVI</w:t>
      </w:r>
      <w:r w:rsidRPr="00EB1ED4">
        <w:rPr>
          <w:lang w:val="en-GB"/>
        </w:rPr>
        <w:t xml:space="preserve"> (</w:t>
      </w:r>
      <w:proofErr w:type="spellStart"/>
      <w:r w:rsidRPr="00EB1ED4">
        <w:rPr>
          <w:lang w:val="en-GB"/>
        </w:rPr>
        <w:t>Londen</w:t>
      </w:r>
      <w:proofErr w:type="spellEnd"/>
      <w:r w:rsidRPr="00EB1ED4">
        <w:rPr>
          <w:lang w:val="en-GB"/>
        </w:rPr>
        <w:t xml:space="preserve"> 1993), p.234.</w:t>
      </w:r>
      <w:proofErr w:type="gramEnd"/>
    </w:p>
  </w:footnote>
  <w:footnote w:id="21">
    <w:p w:rsidR="006A5399" w:rsidRPr="00EB605B" w:rsidRDefault="006A5399" w:rsidP="00FD716C">
      <w:pPr>
        <w:pStyle w:val="FootnoteText"/>
        <w:rPr>
          <w:lang w:val="en-GB"/>
        </w:rPr>
      </w:pPr>
      <w:r>
        <w:rPr>
          <w:rStyle w:val="FootnoteReference"/>
        </w:rPr>
        <w:footnoteRef/>
      </w:r>
      <w:r w:rsidRPr="00EB605B">
        <w:rPr>
          <w:lang w:val="en-GB"/>
        </w:rPr>
        <w:t xml:space="preserve"> </w:t>
      </w:r>
      <w:proofErr w:type="gramStart"/>
      <w:r w:rsidRPr="00EB605B">
        <w:rPr>
          <w:lang w:val="en-GB"/>
        </w:rPr>
        <w:t xml:space="preserve">Neely, </w:t>
      </w:r>
      <w:r w:rsidRPr="00EB605B">
        <w:rPr>
          <w:i/>
          <w:lang w:val="en-GB"/>
        </w:rPr>
        <w:t>A Concise History of the French Revolution</w:t>
      </w:r>
      <w:r>
        <w:rPr>
          <w:lang w:val="en-GB"/>
        </w:rPr>
        <w:t>, p.168-170.</w:t>
      </w:r>
      <w:proofErr w:type="gramEnd"/>
    </w:p>
  </w:footnote>
  <w:footnote w:id="22">
    <w:p w:rsidR="006A5399" w:rsidRPr="00663E42" w:rsidRDefault="006A5399" w:rsidP="00FD716C">
      <w:pPr>
        <w:pStyle w:val="FootnoteText"/>
        <w:rPr>
          <w:lang w:val="en-GB"/>
        </w:rPr>
      </w:pPr>
      <w:r>
        <w:rPr>
          <w:rStyle w:val="FootnoteReference"/>
        </w:rPr>
        <w:footnoteRef/>
      </w:r>
      <w:r w:rsidRPr="00663E42">
        <w:rPr>
          <w:lang w:val="en-GB"/>
        </w:rPr>
        <w:t xml:space="preserve"> </w:t>
      </w:r>
      <w:proofErr w:type="gramStart"/>
      <w:r>
        <w:rPr>
          <w:lang w:val="en-GB"/>
        </w:rPr>
        <w:t xml:space="preserve">Johnson, </w:t>
      </w:r>
      <w:r>
        <w:rPr>
          <w:i/>
          <w:lang w:val="en-GB"/>
        </w:rPr>
        <w:t>Louis XVI and the French Revolution</w:t>
      </w:r>
      <w:r>
        <w:rPr>
          <w:lang w:val="en-GB"/>
        </w:rPr>
        <w:t>, p.201-203.</w:t>
      </w:r>
      <w:proofErr w:type="gramEnd"/>
    </w:p>
  </w:footnote>
  <w:footnote w:id="23">
    <w:p w:rsidR="006A5399" w:rsidRPr="00F149CA" w:rsidRDefault="006A5399" w:rsidP="00FD716C">
      <w:pPr>
        <w:pStyle w:val="FootnoteText"/>
        <w:rPr>
          <w:lang w:val="en-GB"/>
        </w:rPr>
      </w:pPr>
      <w:r>
        <w:rPr>
          <w:rStyle w:val="FootnoteReference"/>
        </w:rPr>
        <w:footnoteRef/>
      </w:r>
      <w:r w:rsidRPr="00F149CA">
        <w:rPr>
          <w:lang w:val="en-GB"/>
        </w:rPr>
        <w:t xml:space="preserve"> </w:t>
      </w:r>
      <w:proofErr w:type="gramStart"/>
      <w:r>
        <w:rPr>
          <w:lang w:val="en-GB"/>
        </w:rPr>
        <w:t xml:space="preserve">Johnson, </w:t>
      </w:r>
      <w:r>
        <w:rPr>
          <w:i/>
          <w:lang w:val="en-GB"/>
        </w:rPr>
        <w:t xml:space="preserve">Louis XVI and the French Revolution, </w:t>
      </w:r>
      <w:r>
        <w:rPr>
          <w:lang w:val="en-GB"/>
        </w:rPr>
        <w:t>p.182.</w:t>
      </w:r>
      <w:proofErr w:type="gramEnd"/>
    </w:p>
  </w:footnote>
  <w:footnote w:id="24">
    <w:p w:rsidR="006A5399" w:rsidRPr="00CA2641" w:rsidRDefault="006A5399" w:rsidP="00FD716C">
      <w:pPr>
        <w:pStyle w:val="FootnoteText"/>
        <w:rPr>
          <w:lang w:val="en-GB"/>
        </w:rPr>
      </w:pPr>
      <w:r>
        <w:rPr>
          <w:rStyle w:val="FootnoteReference"/>
        </w:rPr>
        <w:footnoteRef/>
      </w:r>
      <w:r w:rsidRPr="00CA2641">
        <w:rPr>
          <w:lang w:val="en-GB"/>
        </w:rPr>
        <w:t xml:space="preserve"> </w:t>
      </w:r>
      <w:proofErr w:type="gramStart"/>
      <w:r w:rsidRPr="00CA2641">
        <w:rPr>
          <w:lang w:val="en-GB"/>
        </w:rPr>
        <w:t xml:space="preserve">P.M. Jones, </w:t>
      </w:r>
      <w:r w:rsidRPr="00F0628A">
        <w:rPr>
          <w:i/>
          <w:lang w:val="en-GB"/>
        </w:rPr>
        <w:t xml:space="preserve">The French Revolution 1787-1804 </w:t>
      </w:r>
      <w:r>
        <w:rPr>
          <w:lang w:val="en-GB"/>
        </w:rPr>
        <w:t>(Oxford/New York 2014), p.65.</w:t>
      </w:r>
      <w:proofErr w:type="gramEnd"/>
    </w:p>
  </w:footnote>
  <w:footnote w:id="25">
    <w:p w:rsidR="006A5399" w:rsidRPr="002E6ADD" w:rsidRDefault="006A5399" w:rsidP="00FD716C">
      <w:pPr>
        <w:pStyle w:val="FootnoteText"/>
        <w:rPr>
          <w:lang w:val="en-GB"/>
        </w:rPr>
      </w:pPr>
      <w:r>
        <w:rPr>
          <w:rStyle w:val="FootnoteReference"/>
        </w:rPr>
        <w:footnoteRef/>
      </w:r>
      <w:r w:rsidRPr="002E6ADD">
        <w:rPr>
          <w:lang w:val="en-GB"/>
        </w:rPr>
        <w:t xml:space="preserve"> </w:t>
      </w:r>
      <w:proofErr w:type="gramStart"/>
      <w:r w:rsidRPr="002E6ADD">
        <w:rPr>
          <w:lang w:val="en-GB"/>
        </w:rPr>
        <w:t xml:space="preserve">Doyle, </w:t>
      </w:r>
      <w:r w:rsidRPr="002E6ADD">
        <w:rPr>
          <w:i/>
          <w:lang w:val="en-GB"/>
        </w:rPr>
        <w:t>The Oxford History of the</w:t>
      </w:r>
      <w:r>
        <w:rPr>
          <w:i/>
          <w:lang w:val="en-GB"/>
        </w:rPr>
        <w:t xml:space="preserve"> French Revolution</w:t>
      </w:r>
      <w:r>
        <w:rPr>
          <w:lang w:val="en-GB"/>
        </w:rPr>
        <w:t>, p.194.</w:t>
      </w:r>
      <w:proofErr w:type="gramEnd"/>
    </w:p>
  </w:footnote>
  <w:footnote w:id="26">
    <w:p w:rsidR="006A5399" w:rsidRPr="00077A8D" w:rsidRDefault="006A5399" w:rsidP="00FD716C">
      <w:pPr>
        <w:pStyle w:val="FootnoteText"/>
        <w:rPr>
          <w:lang w:val="en-GB"/>
        </w:rPr>
      </w:pPr>
      <w:r>
        <w:rPr>
          <w:rStyle w:val="FootnoteReference"/>
        </w:rPr>
        <w:footnoteRef/>
      </w:r>
      <w:r w:rsidRPr="00077A8D">
        <w:rPr>
          <w:lang w:val="en-GB"/>
        </w:rPr>
        <w:t xml:space="preserve"> Jordan, </w:t>
      </w:r>
      <w:r w:rsidRPr="00077A8D">
        <w:rPr>
          <w:i/>
          <w:lang w:val="en-GB"/>
        </w:rPr>
        <w:t>The King’s Trial</w:t>
      </w:r>
      <w:r w:rsidRPr="00077A8D">
        <w:rPr>
          <w:lang w:val="en-GB"/>
        </w:rPr>
        <w:t>, p.46.</w:t>
      </w:r>
    </w:p>
  </w:footnote>
  <w:footnote w:id="27">
    <w:p w:rsidR="006A5399" w:rsidRPr="006A00CA" w:rsidRDefault="006A5399" w:rsidP="00FD716C">
      <w:pPr>
        <w:pStyle w:val="FootnoteText"/>
        <w:rPr>
          <w:lang w:val="en-GB"/>
        </w:rPr>
      </w:pPr>
      <w:r>
        <w:rPr>
          <w:rStyle w:val="FootnoteReference"/>
        </w:rPr>
        <w:footnoteRef/>
      </w:r>
      <w:r w:rsidRPr="006A00CA">
        <w:rPr>
          <w:lang w:val="en-GB"/>
        </w:rPr>
        <w:t xml:space="preserve"> </w:t>
      </w:r>
      <w:proofErr w:type="spellStart"/>
      <w:proofErr w:type="gramStart"/>
      <w:r w:rsidRPr="006A00CA">
        <w:rPr>
          <w:lang w:val="en-GB"/>
        </w:rPr>
        <w:t>Furet</w:t>
      </w:r>
      <w:proofErr w:type="spellEnd"/>
      <w:r w:rsidRPr="006A00CA">
        <w:rPr>
          <w:lang w:val="en-GB"/>
        </w:rPr>
        <w:t xml:space="preserve">, </w:t>
      </w:r>
      <w:r w:rsidRPr="006A00CA">
        <w:rPr>
          <w:i/>
          <w:lang w:val="en-GB"/>
        </w:rPr>
        <w:t xml:space="preserve">Revolutionary France, </w:t>
      </w:r>
      <w:r w:rsidRPr="006A00CA">
        <w:rPr>
          <w:lang w:val="en-GB"/>
        </w:rPr>
        <w:t>p.115-116.</w:t>
      </w:r>
      <w:proofErr w:type="gramEnd"/>
    </w:p>
  </w:footnote>
  <w:footnote w:id="28">
    <w:p w:rsidR="006A5399" w:rsidRPr="00A73C51" w:rsidRDefault="006A5399" w:rsidP="00FD716C">
      <w:pPr>
        <w:pStyle w:val="FootnoteText"/>
        <w:rPr>
          <w:lang w:val="en-GB"/>
        </w:rPr>
      </w:pPr>
      <w:r>
        <w:rPr>
          <w:rStyle w:val="FootnoteReference"/>
        </w:rPr>
        <w:footnoteRef/>
      </w:r>
      <w:r w:rsidRPr="00A73C51">
        <w:rPr>
          <w:lang w:val="en-GB"/>
        </w:rPr>
        <w:t xml:space="preserve"> </w:t>
      </w:r>
      <w:proofErr w:type="gramStart"/>
      <w:r w:rsidRPr="00A73C51">
        <w:rPr>
          <w:lang w:val="en-GB"/>
        </w:rPr>
        <w:t xml:space="preserve">Jones, </w:t>
      </w:r>
      <w:r w:rsidRPr="00A73C51">
        <w:rPr>
          <w:i/>
          <w:lang w:val="en-GB"/>
        </w:rPr>
        <w:t>The French Revolution</w:t>
      </w:r>
      <w:r w:rsidRPr="00A73C51">
        <w:rPr>
          <w:lang w:val="en-GB"/>
        </w:rPr>
        <w:t>, p.</w:t>
      </w:r>
      <w:r>
        <w:rPr>
          <w:lang w:val="en-GB"/>
        </w:rPr>
        <w:t>64.</w:t>
      </w:r>
      <w:proofErr w:type="gramEnd"/>
    </w:p>
  </w:footnote>
  <w:footnote w:id="29">
    <w:p w:rsidR="006A5399" w:rsidRPr="00AC2CEB" w:rsidRDefault="006A5399" w:rsidP="00FD716C">
      <w:pPr>
        <w:pStyle w:val="FootnoteText"/>
      </w:pPr>
      <w:r>
        <w:rPr>
          <w:rStyle w:val="FootnoteReference"/>
        </w:rPr>
        <w:footnoteRef/>
      </w:r>
      <w:r>
        <w:t xml:space="preserve"> </w:t>
      </w:r>
      <w:r>
        <w:t xml:space="preserve">Albert Goodwin, </w:t>
      </w:r>
      <w:r>
        <w:rPr>
          <w:i/>
        </w:rPr>
        <w:t>De Franse Revolutie</w:t>
      </w:r>
      <w:r>
        <w:t xml:space="preserve"> (Zeist 1960), p.125-126.</w:t>
      </w:r>
    </w:p>
  </w:footnote>
  <w:footnote w:id="30">
    <w:p w:rsidR="006A5399" w:rsidRPr="004C5292" w:rsidRDefault="006A5399" w:rsidP="004C5292">
      <w:pPr>
        <w:pStyle w:val="FootnoteText"/>
      </w:pPr>
      <w:r>
        <w:rPr>
          <w:rStyle w:val="FootnoteReference"/>
        </w:rPr>
        <w:footnoteRef/>
      </w:r>
      <w:r w:rsidRPr="004C5292">
        <w:t xml:space="preserve"> </w:t>
      </w:r>
      <w:r>
        <w:t>G</w:t>
      </w:r>
      <w:r w:rsidRPr="004C5292">
        <w:t xml:space="preserve">oodwin, </w:t>
      </w:r>
      <w:r w:rsidRPr="004C5292">
        <w:rPr>
          <w:i/>
        </w:rPr>
        <w:t>De Franse Revolutie</w:t>
      </w:r>
      <w:r>
        <w:t xml:space="preserve">, </w:t>
      </w:r>
      <w:r w:rsidRPr="004C5292">
        <w:t>p.126.</w:t>
      </w:r>
    </w:p>
  </w:footnote>
  <w:footnote w:id="31">
    <w:p w:rsidR="006A5399" w:rsidRPr="00025C7B" w:rsidRDefault="006A5399" w:rsidP="004C5292">
      <w:pPr>
        <w:pStyle w:val="FootnoteText"/>
        <w:rPr>
          <w:lang w:val="en-GB"/>
        </w:rPr>
      </w:pPr>
      <w:r>
        <w:rPr>
          <w:rStyle w:val="FootnoteReference"/>
        </w:rPr>
        <w:footnoteRef/>
      </w:r>
      <w:r w:rsidRPr="00025C7B">
        <w:rPr>
          <w:lang w:val="en-GB"/>
        </w:rPr>
        <w:t xml:space="preserve"> Simon </w:t>
      </w:r>
      <w:proofErr w:type="spellStart"/>
      <w:r w:rsidRPr="00025C7B">
        <w:rPr>
          <w:lang w:val="en-GB"/>
        </w:rPr>
        <w:t>Schama</w:t>
      </w:r>
      <w:proofErr w:type="spellEnd"/>
      <w:r w:rsidRPr="00025C7B">
        <w:rPr>
          <w:lang w:val="en-GB"/>
        </w:rPr>
        <w:t xml:space="preserve">, </w:t>
      </w:r>
      <w:r>
        <w:rPr>
          <w:i/>
          <w:lang w:val="en-GB"/>
        </w:rPr>
        <w:t>Citizens: A Chronical of the French Revolution</w:t>
      </w:r>
      <w:r>
        <w:rPr>
          <w:lang w:val="en-GB"/>
        </w:rPr>
        <w:t xml:space="preserve"> (</w:t>
      </w:r>
      <w:proofErr w:type="spellStart"/>
      <w:r>
        <w:rPr>
          <w:lang w:val="en-GB"/>
        </w:rPr>
        <w:t>Londen</w:t>
      </w:r>
      <w:proofErr w:type="spellEnd"/>
      <w:r>
        <w:rPr>
          <w:lang w:val="en-GB"/>
        </w:rPr>
        <w:t xml:space="preserve"> 1989), p.650.</w:t>
      </w:r>
    </w:p>
  </w:footnote>
  <w:footnote w:id="32">
    <w:p w:rsidR="006A5399" w:rsidRPr="002D7DC8" w:rsidRDefault="006A5399" w:rsidP="004C5292">
      <w:pPr>
        <w:pStyle w:val="FootnoteText"/>
        <w:rPr>
          <w:i/>
          <w:lang w:val="en-GB"/>
        </w:rPr>
      </w:pPr>
      <w:r>
        <w:rPr>
          <w:rStyle w:val="FootnoteReference"/>
        </w:rPr>
        <w:footnoteRef/>
      </w:r>
      <w:r w:rsidRPr="002D7DC8">
        <w:rPr>
          <w:lang w:val="en-GB"/>
        </w:rPr>
        <w:t xml:space="preserve"> </w:t>
      </w:r>
      <w:r>
        <w:rPr>
          <w:lang w:val="en-GB"/>
        </w:rPr>
        <w:t xml:space="preserve">Michael </w:t>
      </w:r>
      <w:proofErr w:type="spellStart"/>
      <w:r>
        <w:rPr>
          <w:lang w:val="en-GB"/>
        </w:rPr>
        <w:t>Walzer</w:t>
      </w:r>
      <w:proofErr w:type="spellEnd"/>
      <w:r>
        <w:rPr>
          <w:lang w:val="en-GB"/>
        </w:rPr>
        <w:t xml:space="preserve"> (ed.), </w:t>
      </w:r>
      <w:r>
        <w:rPr>
          <w:i/>
          <w:lang w:val="en-GB"/>
        </w:rPr>
        <w:t>Regicide and Revolution: speeches at the Trial of Louis XVI</w:t>
      </w:r>
      <w:r>
        <w:rPr>
          <w:lang w:val="en-GB"/>
        </w:rPr>
        <w:t xml:space="preserve"> (</w:t>
      </w:r>
      <w:proofErr w:type="spellStart"/>
      <w:r>
        <w:rPr>
          <w:lang w:val="en-GB"/>
        </w:rPr>
        <w:t>Londen</w:t>
      </w:r>
      <w:proofErr w:type="spellEnd"/>
      <w:r>
        <w:rPr>
          <w:lang w:val="en-GB"/>
        </w:rPr>
        <w:t xml:space="preserve"> 1974), p.42-23.</w:t>
      </w:r>
    </w:p>
  </w:footnote>
  <w:footnote w:id="33">
    <w:p w:rsidR="006A5399" w:rsidRPr="00250BAE" w:rsidRDefault="006A5399" w:rsidP="004C5292">
      <w:pPr>
        <w:pStyle w:val="FootnoteText"/>
        <w:rPr>
          <w:lang w:val="en-GB"/>
        </w:rPr>
      </w:pPr>
      <w:r>
        <w:rPr>
          <w:rStyle w:val="FootnoteReference"/>
        </w:rPr>
        <w:footnoteRef/>
      </w:r>
      <w:r>
        <w:rPr>
          <w:lang w:val="en-GB"/>
        </w:rPr>
        <w:t xml:space="preserve"> </w:t>
      </w:r>
      <w:proofErr w:type="spellStart"/>
      <w:proofErr w:type="gramStart"/>
      <w:r w:rsidRPr="00250BAE">
        <w:rPr>
          <w:lang w:val="en-GB"/>
        </w:rPr>
        <w:t>Furet</w:t>
      </w:r>
      <w:proofErr w:type="spellEnd"/>
      <w:r w:rsidRPr="00250BAE">
        <w:rPr>
          <w:lang w:val="en-GB"/>
        </w:rPr>
        <w:t xml:space="preserve">, </w:t>
      </w:r>
      <w:r w:rsidRPr="00250BAE">
        <w:rPr>
          <w:i/>
          <w:lang w:val="en-GB"/>
        </w:rPr>
        <w:t>Revolutionary France</w:t>
      </w:r>
      <w:r w:rsidRPr="00250BAE">
        <w:rPr>
          <w:lang w:val="en-GB"/>
        </w:rPr>
        <w:t>, p.119.</w:t>
      </w:r>
      <w:proofErr w:type="gramEnd"/>
    </w:p>
  </w:footnote>
  <w:footnote w:id="34">
    <w:p w:rsidR="006A5399" w:rsidRPr="004C0B0A" w:rsidRDefault="006A5399" w:rsidP="004C5292">
      <w:pPr>
        <w:pStyle w:val="FootnoteText"/>
        <w:rPr>
          <w:lang w:val="en-GB"/>
        </w:rPr>
      </w:pPr>
      <w:r>
        <w:rPr>
          <w:rStyle w:val="FootnoteReference"/>
        </w:rPr>
        <w:footnoteRef/>
      </w:r>
      <w:r w:rsidRPr="004C0B0A">
        <w:rPr>
          <w:lang w:val="en-GB"/>
        </w:rPr>
        <w:t xml:space="preserve"> </w:t>
      </w:r>
      <w:proofErr w:type="spellStart"/>
      <w:r>
        <w:rPr>
          <w:lang w:val="en-GB"/>
        </w:rPr>
        <w:t>Walzer</w:t>
      </w:r>
      <w:proofErr w:type="spellEnd"/>
      <w:r>
        <w:rPr>
          <w:lang w:val="en-GB"/>
        </w:rPr>
        <w:t xml:space="preserve">, </w:t>
      </w:r>
      <w:r>
        <w:rPr>
          <w:i/>
          <w:lang w:val="en-GB"/>
        </w:rPr>
        <w:t>Regicide and Revolution</w:t>
      </w:r>
      <w:r>
        <w:rPr>
          <w:lang w:val="en-GB"/>
        </w:rPr>
        <w:t>, p.46</w:t>
      </w:r>
    </w:p>
  </w:footnote>
  <w:footnote w:id="35">
    <w:p w:rsidR="006A5399" w:rsidRPr="00A64260" w:rsidRDefault="006A5399" w:rsidP="004C5292">
      <w:pPr>
        <w:pStyle w:val="FootnoteText"/>
        <w:rPr>
          <w:lang w:val="en-GB"/>
        </w:rPr>
      </w:pPr>
      <w:r>
        <w:rPr>
          <w:rStyle w:val="FootnoteReference"/>
        </w:rPr>
        <w:footnoteRef/>
      </w:r>
      <w:r w:rsidRPr="00A64260">
        <w:rPr>
          <w:lang w:val="en-GB"/>
        </w:rPr>
        <w:t xml:space="preserve"> </w:t>
      </w:r>
      <w:proofErr w:type="spellStart"/>
      <w:r w:rsidRPr="00A64260">
        <w:rPr>
          <w:lang w:val="en-GB"/>
        </w:rPr>
        <w:t>Schama</w:t>
      </w:r>
      <w:proofErr w:type="spellEnd"/>
      <w:r w:rsidRPr="00A64260">
        <w:rPr>
          <w:lang w:val="en-GB"/>
        </w:rPr>
        <w:t xml:space="preserve">, </w:t>
      </w:r>
      <w:r w:rsidRPr="00A64260">
        <w:rPr>
          <w:i/>
          <w:lang w:val="en-GB"/>
        </w:rPr>
        <w:t>Citizens</w:t>
      </w:r>
      <w:r w:rsidRPr="00A64260">
        <w:rPr>
          <w:lang w:val="en-GB"/>
        </w:rPr>
        <w:t>, p.650.</w:t>
      </w:r>
    </w:p>
  </w:footnote>
  <w:footnote w:id="36">
    <w:p w:rsidR="006A5399" w:rsidRPr="007957A6" w:rsidRDefault="006A5399" w:rsidP="00FD716C">
      <w:pPr>
        <w:pStyle w:val="FootnoteText"/>
        <w:rPr>
          <w:lang w:val="en-GB"/>
        </w:rPr>
      </w:pPr>
      <w:r>
        <w:rPr>
          <w:rStyle w:val="FootnoteReference"/>
        </w:rPr>
        <w:footnoteRef/>
      </w:r>
      <w:r w:rsidRPr="007957A6">
        <w:rPr>
          <w:lang w:val="en-GB"/>
        </w:rPr>
        <w:t xml:space="preserve"> </w:t>
      </w:r>
      <w:proofErr w:type="gramStart"/>
      <w:r w:rsidRPr="007957A6">
        <w:rPr>
          <w:lang w:val="en-GB"/>
        </w:rPr>
        <w:t xml:space="preserve">Johnson, </w:t>
      </w:r>
      <w:r w:rsidRPr="007957A6">
        <w:rPr>
          <w:i/>
          <w:lang w:val="en-GB"/>
        </w:rPr>
        <w:t>Louis XVI and the French Revolution</w:t>
      </w:r>
      <w:r>
        <w:rPr>
          <w:lang w:val="en-GB"/>
        </w:rPr>
        <w:t>, p.180.</w:t>
      </w:r>
      <w:proofErr w:type="gramEnd"/>
    </w:p>
  </w:footnote>
  <w:footnote w:id="37">
    <w:p w:rsidR="006A5399" w:rsidRPr="006A00CA" w:rsidRDefault="006A5399" w:rsidP="00FD716C">
      <w:pPr>
        <w:pStyle w:val="FootnoteText"/>
        <w:rPr>
          <w:lang w:val="en-GB"/>
        </w:rPr>
      </w:pPr>
      <w:r>
        <w:rPr>
          <w:rStyle w:val="FootnoteReference"/>
        </w:rPr>
        <w:footnoteRef/>
      </w:r>
      <w:r w:rsidRPr="006A00CA">
        <w:rPr>
          <w:lang w:val="en-GB"/>
        </w:rPr>
        <w:t xml:space="preserve"> </w:t>
      </w:r>
      <w:proofErr w:type="gramStart"/>
      <w:r w:rsidRPr="006A00CA">
        <w:rPr>
          <w:lang w:val="en-GB"/>
        </w:rPr>
        <w:t xml:space="preserve">Hardman, </w:t>
      </w:r>
      <w:r w:rsidRPr="006A00CA">
        <w:rPr>
          <w:i/>
          <w:lang w:val="en-GB"/>
        </w:rPr>
        <w:t>Louis XVI</w:t>
      </w:r>
      <w:r w:rsidRPr="006A00CA">
        <w:rPr>
          <w:lang w:val="en-GB"/>
        </w:rPr>
        <w:t>, p.226-227.</w:t>
      </w:r>
      <w:proofErr w:type="gramEnd"/>
    </w:p>
  </w:footnote>
  <w:footnote w:id="38">
    <w:p w:rsidR="006A5399" w:rsidRPr="0046597A" w:rsidRDefault="006A5399" w:rsidP="00FD716C">
      <w:pPr>
        <w:pStyle w:val="FootnoteText"/>
        <w:rPr>
          <w:lang w:val="en-GB"/>
        </w:rPr>
      </w:pPr>
      <w:r>
        <w:rPr>
          <w:rStyle w:val="FootnoteReference"/>
        </w:rPr>
        <w:footnoteRef/>
      </w:r>
      <w:r w:rsidRPr="0046597A">
        <w:rPr>
          <w:lang w:val="en-GB"/>
        </w:rPr>
        <w:t xml:space="preserve"> Jordan, </w:t>
      </w:r>
      <w:r w:rsidRPr="0046597A">
        <w:rPr>
          <w:i/>
          <w:lang w:val="en-GB"/>
        </w:rPr>
        <w:t>The King’s Trial</w:t>
      </w:r>
      <w:r w:rsidRPr="0046597A">
        <w:rPr>
          <w:lang w:val="en-GB"/>
        </w:rPr>
        <w:t>, p.111.</w:t>
      </w:r>
    </w:p>
  </w:footnote>
  <w:footnote w:id="39">
    <w:p w:rsidR="006A5399" w:rsidRPr="006A00CA" w:rsidRDefault="006A5399" w:rsidP="00FD716C">
      <w:pPr>
        <w:pStyle w:val="FootnoteText"/>
        <w:rPr>
          <w:lang w:val="en-GB"/>
        </w:rPr>
      </w:pPr>
      <w:r>
        <w:rPr>
          <w:rStyle w:val="FootnoteReference"/>
        </w:rPr>
        <w:footnoteRef/>
      </w:r>
      <w:r w:rsidRPr="006A00CA">
        <w:rPr>
          <w:lang w:val="en-GB"/>
        </w:rPr>
        <w:t xml:space="preserve"> </w:t>
      </w:r>
      <w:proofErr w:type="gramStart"/>
      <w:r w:rsidRPr="006A00CA">
        <w:rPr>
          <w:lang w:val="en-GB"/>
        </w:rPr>
        <w:t xml:space="preserve">Hardman, </w:t>
      </w:r>
      <w:r w:rsidRPr="006A00CA">
        <w:rPr>
          <w:i/>
          <w:lang w:val="en-GB"/>
        </w:rPr>
        <w:t>Louis XVI</w:t>
      </w:r>
      <w:r w:rsidRPr="006A00CA">
        <w:rPr>
          <w:lang w:val="en-GB"/>
        </w:rPr>
        <w:t>, p.227-228.</w:t>
      </w:r>
      <w:proofErr w:type="gramEnd"/>
    </w:p>
  </w:footnote>
  <w:footnote w:id="40">
    <w:p w:rsidR="006A5399" w:rsidRPr="004F22D1" w:rsidRDefault="006A5399" w:rsidP="00FD716C">
      <w:pPr>
        <w:pStyle w:val="FootnoteText"/>
        <w:rPr>
          <w:lang w:val="en-GB"/>
        </w:rPr>
      </w:pPr>
      <w:r>
        <w:rPr>
          <w:rStyle w:val="FootnoteReference"/>
        </w:rPr>
        <w:footnoteRef/>
      </w:r>
      <w:r w:rsidRPr="004F22D1">
        <w:rPr>
          <w:lang w:val="en-GB"/>
        </w:rPr>
        <w:t xml:space="preserve"> </w:t>
      </w:r>
      <w:proofErr w:type="gramStart"/>
      <w:r>
        <w:rPr>
          <w:lang w:val="en-GB"/>
        </w:rPr>
        <w:t xml:space="preserve">Johnson, </w:t>
      </w:r>
      <w:r w:rsidRPr="007957A6">
        <w:rPr>
          <w:i/>
          <w:lang w:val="en-GB"/>
        </w:rPr>
        <w:t>Louis XVI and the French Revolution</w:t>
      </w:r>
      <w:r>
        <w:rPr>
          <w:lang w:val="en-GB"/>
        </w:rPr>
        <w:t>, p.182.</w:t>
      </w:r>
      <w:proofErr w:type="gramEnd"/>
    </w:p>
  </w:footnote>
  <w:footnote w:id="41">
    <w:p w:rsidR="006A5399" w:rsidRPr="006D5A23" w:rsidRDefault="006A5399" w:rsidP="00FD716C">
      <w:pPr>
        <w:pStyle w:val="FootnoteText"/>
        <w:rPr>
          <w:lang w:val="en-GB"/>
        </w:rPr>
      </w:pPr>
      <w:r>
        <w:rPr>
          <w:rStyle w:val="FootnoteReference"/>
        </w:rPr>
        <w:footnoteRef/>
      </w:r>
      <w:r w:rsidRPr="006D5A23">
        <w:rPr>
          <w:lang w:val="en-GB"/>
        </w:rPr>
        <w:t xml:space="preserve"> Michael </w:t>
      </w:r>
      <w:proofErr w:type="spellStart"/>
      <w:r w:rsidRPr="006D5A23">
        <w:rPr>
          <w:lang w:val="en-GB"/>
        </w:rPr>
        <w:t>Braddick</w:t>
      </w:r>
      <w:proofErr w:type="spellEnd"/>
      <w:r w:rsidRPr="006D5A23">
        <w:rPr>
          <w:lang w:val="en-GB"/>
        </w:rPr>
        <w:t xml:space="preserve">, </w:t>
      </w:r>
      <w:r w:rsidRPr="006D5A23">
        <w:rPr>
          <w:i/>
          <w:lang w:val="en-GB"/>
        </w:rPr>
        <w:t>God’s Fury, England’s Fire</w:t>
      </w:r>
      <w:r w:rsidRPr="009410EF">
        <w:rPr>
          <w:i/>
          <w:lang w:val="en-GB"/>
        </w:rPr>
        <w:t>: A New History of the English Civil Wars</w:t>
      </w:r>
      <w:r w:rsidRPr="006D5A23">
        <w:rPr>
          <w:i/>
          <w:lang w:val="en-GB"/>
        </w:rPr>
        <w:t xml:space="preserve"> </w:t>
      </w:r>
      <w:r>
        <w:rPr>
          <w:lang w:val="en-GB"/>
        </w:rPr>
        <w:t>(</w:t>
      </w:r>
      <w:proofErr w:type="spellStart"/>
      <w:r>
        <w:rPr>
          <w:lang w:val="en-GB"/>
        </w:rPr>
        <w:t>Londen</w:t>
      </w:r>
      <w:proofErr w:type="spellEnd"/>
      <w:r>
        <w:rPr>
          <w:lang w:val="en-GB"/>
        </w:rPr>
        <w:t xml:space="preserve"> 2009), p.572.</w:t>
      </w:r>
    </w:p>
  </w:footnote>
  <w:footnote w:id="42">
    <w:p w:rsidR="006A5399" w:rsidRPr="006D5A23" w:rsidRDefault="006A5399" w:rsidP="00FD716C">
      <w:pPr>
        <w:pStyle w:val="FootnoteText"/>
        <w:rPr>
          <w:lang w:val="en-GB"/>
        </w:rPr>
      </w:pPr>
      <w:r>
        <w:rPr>
          <w:rStyle w:val="FootnoteReference"/>
        </w:rPr>
        <w:footnoteRef/>
      </w:r>
      <w:r w:rsidRPr="006D5A23">
        <w:rPr>
          <w:lang w:val="en-GB"/>
        </w:rPr>
        <w:t xml:space="preserve"> Blair Worden, </w:t>
      </w:r>
      <w:r>
        <w:rPr>
          <w:i/>
          <w:lang w:val="en-GB"/>
        </w:rPr>
        <w:t xml:space="preserve">The English Civil Wars: 1640 – 1660 </w:t>
      </w:r>
      <w:r>
        <w:rPr>
          <w:lang w:val="en-GB"/>
        </w:rPr>
        <w:t>(</w:t>
      </w:r>
      <w:proofErr w:type="spellStart"/>
      <w:r>
        <w:rPr>
          <w:lang w:val="en-GB"/>
        </w:rPr>
        <w:t>Londen</w:t>
      </w:r>
      <w:proofErr w:type="spellEnd"/>
      <w:r>
        <w:rPr>
          <w:lang w:val="en-GB"/>
        </w:rPr>
        <w:t xml:space="preserve"> 2009), p.101.</w:t>
      </w:r>
    </w:p>
  </w:footnote>
  <w:footnote w:id="43">
    <w:p w:rsidR="006A5399" w:rsidRPr="00663D6B" w:rsidRDefault="006A5399" w:rsidP="00FD716C">
      <w:pPr>
        <w:pStyle w:val="FootnoteText"/>
        <w:rPr>
          <w:lang w:val="en-US"/>
        </w:rPr>
      </w:pPr>
      <w:r>
        <w:rPr>
          <w:rStyle w:val="FootnoteReference"/>
        </w:rPr>
        <w:footnoteRef/>
      </w:r>
      <w:r w:rsidRPr="00663D6B">
        <w:rPr>
          <w:lang w:val="en-US"/>
        </w:rPr>
        <w:t xml:space="preserve"> </w:t>
      </w:r>
      <w:proofErr w:type="spellStart"/>
      <w:proofErr w:type="gramStart"/>
      <w:r w:rsidRPr="00663D6B">
        <w:rPr>
          <w:lang w:val="en-US"/>
        </w:rPr>
        <w:t>Furet</w:t>
      </w:r>
      <w:proofErr w:type="spellEnd"/>
      <w:r w:rsidRPr="00663D6B">
        <w:rPr>
          <w:lang w:val="en-US"/>
        </w:rPr>
        <w:t xml:space="preserve">, </w:t>
      </w:r>
      <w:r w:rsidRPr="00663D6B">
        <w:rPr>
          <w:i/>
          <w:lang w:val="en-US"/>
        </w:rPr>
        <w:t>Revolutionary France</w:t>
      </w:r>
      <w:r w:rsidRPr="00663D6B">
        <w:rPr>
          <w:lang w:val="en-US"/>
        </w:rPr>
        <w:t>, p.120.</w:t>
      </w:r>
      <w:proofErr w:type="gramEnd"/>
    </w:p>
  </w:footnote>
  <w:footnote w:id="44">
    <w:p w:rsidR="006A5399" w:rsidRPr="00C817D2" w:rsidRDefault="006A5399">
      <w:pPr>
        <w:pStyle w:val="FootnoteText"/>
        <w:rPr>
          <w:lang w:val="en-GB"/>
        </w:rPr>
      </w:pPr>
      <w:r>
        <w:rPr>
          <w:rStyle w:val="FootnoteReference"/>
        </w:rPr>
        <w:footnoteRef/>
      </w:r>
      <w:r w:rsidRPr="00C817D2">
        <w:rPr>
          <w:lang w:val="en-GB"/>
        </w:rPr>
        <w:t xml:space="preserve"> </w:t>
      </w:r>
      <w:proofErr w:type="gramStart"/>
      <w:r>
        <w:rPr>
          <w:lang w:val="en-GB"/>
        </w:rPr>
        <w:t>Jordan</w:t>
      </w:r>
      <w:r w:rsidRPr="00C817D2">
        <w:rPr>
          <w:lang w:val="en-GB"/>
        </w:rPr>
        <w:t xml:space="preserve">, </w:t>
      </w:r>
      <w:r w:rsidRPr="00C817D2">
        <w:rPr>
          <w:i/>
          <w:lang w:val="en-GB"/>
        </w:rPr>
        <w:t>The King’s Trial</w:t>
      </w:r>
      <w:r w:rsidRPr="00C817D2">
        <w:rPr>
          <w:lang w:val="en-GB"/>
        </w:rPr>
        <w:t>, p.117-118.</w:t>
      </w:r>
      <w:proofErr w:type="gramEnd"/>
    </w:p>
  </w:footnote>
  <w:footnote w:id="45">
    <w:p w:rsidR="006A5399" w:rsidRPr="00663D6B" w:rsidRDefault="006A5399">
      <w:pPr>
        <w:pStyle w:val="FootnoteText"/>
        <w:rPr>
          <w:lang w:val="en-US"/>
        </w:rPr>
      </w:pPr>
      <w:r>
        <w:rPr>
          <w:rStyle w:val="FootnoteReference"/>
        </w:rPr>
        <w:footnoteRef/>
      </w:r>
      <w:r w:rsidRPr="00663D6B">
        <w:rPr>
          <w:lang w:val="en-US"/>
        </w:rPr>
        <w:t xml:space="preserve"> </w:t>
      </w:r>
      <w:proofErr w:type="spellStart"/>
      <w:proofErr w:type="gramStart"/>
      <w:r w:rsidRPr="00663D6B">
        <w:rPr>
          <w:lang w:val="en-US"/>
        </w:rPr>
        <w:t>Ibidem</w:t>
      </w:r>
      <w:proofErr w:type="spellEnd"/>
      <w:r w:rsidRPr="00663D6B">
        <w:rPr>
          <w:lang w:val="en-US"/>
        </w:rPr>
        <w:t>, p.120.</w:t>
      </w:r>
      <w:proofErr w:type="gramEnd"/>
    </w:p>
  </w:footnote>
  <w:footnote w:id="46">
    <w:p w:rsidR="006A5399" w:rsidRPr="00766E76" w:rsidRDefault="006A5399">
      <w:pPr>
        <w:pStyle w:val="FootnoteText"/>
        <w:rPr>
          <w:lang w:val="en-GB"/>
        </w:rPr>
      </w:pPr>
      <w:r>
        <w:rPr>
          <w:rStyle w:val="FootnoteReference"/>
        </w:rPr>
        <w:footnoteRef/>
      </w:r>
      <w:r w:rsidRPr="00766E76">
        <w:rPr>
          <w:lang w:val="en-GB"/>
        </w:rPr>
        <w:t xml:space="preserve"> </w:t>
      </w:r>
      <w:proofErr w:type="spellStart"/>
      <w:proofErr w:type="gramStart"/>
      <w:r>
        <w:rPr>
          <w:lang w:val="en-GB"/>
        </w:rPr>
        <w:t>Ibidem</w:t>
      </w:r>
      <w:proofErr w:type="spellEnd"/>
      <w:r>
        <w:rPr>
          <w:lang w:val="en-GB"/>
        </w:rPr>
        <w:t>, p.124.</w:t>
      </w:r>
      <w:proofErr w:type="gramEnd"/>
    </w:p>
  </w:footnote>
  <w:footnote w:id="47">
    <w:p w:rsidR="006A5399" w:rsidRPr="00766E76" w:rsidRDefault="006A5399">
      <w:pPr>
        <w:pStyle w:val="FootnoteText"/>
        <w:rPr>
          <w:lang w:val="en-GB"/>
        </w:rPr>
      </w:pPr>
      <w:r>
        <w:rPr>
          <w:rStyle w:val="FootnoteReference"/>
        </w:rPr>
        <w:footnoteRef/>
      </w:r>
      <w:r w:rsidRPr="00766E76">
        <w:rPr>
          <w:lang w:val="en-GB"/>
        </w:rPr>
        <w:t xml:space="preserve"> </w:t>
      </w:r>
      <w:proofErr w:type="gramStart"/>
      <w:r>
        <w:rPr>
          <w:lang w:val="en-GB"/>
        </w:rPr>
        <w:t xml:space="preserve">Johnson, </w:t>
      </w:r>
      <w:r>
        <w:rPr>
          <w:i/>
          <w:lang w:val="en-GB"/>
        </w:rPr>
        <w:t>Louis XVI and the French Revolution</w:t>
      </w:r>
      <w:r>
        <w:rPr>
          <w:lang w:val="en-GB"/>
        </w:rPr>
        <w:t>, p.184.</w:t>
      </w:r>
      <w:proofErr w:type="gramEnd"/>
    </w:p>
  </w:footnote>
  <w:footnote w:id="48">
    <w:p w:rsidR="006A5399" w:rsidRPr="00607D97" w:rsidRDefault="006A5399">
      <w:pPr>
        <w:pStyle w:val="FootnoteText"/>
        <w:rPr>
          <w:lang w:val="en-GB"/>
        </w:rPr>
      </w:pPr>
      <w:r>
        <w:rPr>
          <w:rStyle w:val="FootnoteReference"/>
        </w:rPr>
        <w:footnoteRef/>
      </w:r>
      <w:r w:rsidRPr="00607D97">
        <w:rPr>
          <w:lang w:val="en-GB"/>
        </w:rPr>
        <w:t xml:space="preserve"> Jordan, </w:t>
      </w:r>
      <w:r w:rsidRPr="00607D97">
        <w:rPr>
          <w:i/>
          <w:lang w:val="en-GB"/>
        </w:rPr>
        <w:t>The King’s Trial</w:t>
      </w:r>
      <w:r w:rsidRPr="00607D97">
        <w:rPr>
          <w:lang w:val="en-GB"/>
        </w:rPr>
        <w:t>, p.124.</w:t>
      </w:r>
    </w:p>
  </w:footnote>
  <w:footnote w:id="49">
    <w:p w:rsidR="006A5399" w:rsidRPr="00521C07" w:rsidRDefault="006A5399">
      <w:pPr>
        <w:pStyle w:val="FootnoteText"/>
        <w:rPr>
          <w:lang w:val="en-GB"/>
        </w:rPr>
      </w:pPr>
      <w:r>
        <w:rPr>
          <w:rStyle w:val="FootnoteReference"/>
        </w:rPr>
        <w:footnoteRef/>
      </w:r>
      <w:r w:rsidRPr="00521C07">
        <w:rPr>
          <w:lang w:val="en-GB"/>
        </w:rPr>
        <w:t xml:space="preserve"> </w:t>
      </w:r>
      <w:r>
        <w:rPr>
          <w:lang w:val="en-GB"/>
        </w:rPr>
        <w:t xml:space="preserve">Hardman, </w:t>
      </w:r>
      <w:r>
        <w:rPr>
          <w:i/>
          <w:lang w:val="en-GB"/>
        </w:rPr>
        <w:t>Louis XVI</w:t>
      </w:r>
      <w:r>
        <w:rPr>
          <w:lang w:val="en-GB"/>
        </w:rPr>
        <w:t>, p.228.</w:t>
      </w:r>
    </w:p>
  </w:footnote>
  <w:footnote w:id="50">
    <w:p w:rsidR="006A5399" w:rsidRPr="00DC2F11" w:rsidRDefault="006A5399">
      <w:pPr>
        <w:pStyle w:val="FootnoteText"/>
        <w:rPr>
          <w:lang w:val="en-GB"/>
        </w:rPr>
      </w:pPr>
      <w:r>
        <w:rPr>
          <w:rStyle w:val="FootnoteReference"/>
        </w:rPr>
        <w:footnoteRef/>
      </w:r>
      <w:r w:rsidRPr="00DC2F11">
        <w:rPr>
          <w:lang w:val="en-GB"/>
        </w:rPr>
        <w:t xml:space="preserve"> </w:t>
      </w:r>
      <w:proofErr w:type="gramStart"/>
      <w:r>
        <w:rPr>
          <w:lang w:val="en-GB"/>
        </w:rPr>
        <w:t xml:space="preserve">Norman </w:t>
      </w:r>
      <w:r w:rsidRPr="00DC2F11">
        <w:rPr>
          <w:lang w:val="en-GB"/>
        </w:rPr>
        <w:t xml:space="preserve">Hampson, </w:t>
      </w:r>
      <w:r w:rsidRPr="00DC2F11">
        <w:rPr>
          <w:i/>
          <w:lang w:val="en-GB"/>
        </w:rPr>
        <w:t>A Social History of the French Revolution</w:t>
      </w:r>
      <w:r>
        <w:rPr>
          <w:lang w:val="en-GB"/>
        </w:rPr>
        <w:t xml:space="preserve"> (</w:t>
      </w:r>
      <w:proofErr w:type="spellStart"/>
      <w:r>
        <w:rPr>
          <w:lang w:val="en-GB"/>
        </w:rPr>
        <w:t>Londen</w:t>
      </w:r>
      <w:proofErr w:type="spellEnd"/>
      <w:r>
        <w:rPr>
          <w:lang w:val="en-GB"/>
        </w:rPr>
        <w:t>/Toronto 1963), p.160.</w:t>
      </w:r>
      <w:proofErr w:type="gramEnd"/>
    </w:p>
  </w:footnote>
  <w:footnote w:id="51">
    <w:p w:rsidR="006A5399" w:rsidRPr="00C64C27" w:rsidRDefault="006A5399">
      <w:pPr>
        <w:pStyle w:val="FootnoteText"/>
        <w:rPr>
          <w:lang w:val="en-GB"/>
        </w:rPr>
      </w:pPr>
      <w:r>
        <w:rPr>
          <w:rStyle w:val="FootnoteReference"/>
        </w:rPr>
        <w:footnoteRef/>
      </w:r>
      <w:r w:rsidRPr="00C64C27">
        <w:rPr>
          <w:lang w:val="en-GB"/>
        </w:rPr>
        <w:t xml:space="preserve"> </w:t>
      </w:r>
      <w:proofErr w:type="gramStart"/>
      <w:r w:rsidRPr="00C64C27">
        <w:rPr>
          <w:lang w:val="en-GB"/>
        </w:rPr>
        <w:t xml:space="preserve">Doyle, </w:t>
      </w:r>
      <w:r w:rsidRPr="00C64C27">
        <w:rPr>
          <w:i/>
          <w:lang w:val="en-GB"/>
        </w:rPr>
        <w:t>The Oxford History o</w:t>
      </w:r>
      <w:r w:rsidRPr="006A00CA">
        <w:rPr>
          <w:i/>
          <w:lang w:val="en-GB"/>
        </w:rPr>
        <w:t xml:space="preserve">f the French </w:t>
      </w:r>
      <w:r w:rsidRPr="00077A8D">
        <w:rPr>
          <w:i/>
          <w:lang w:val="en-GB"/>
        </w:rPr>
        <w:t>Revolution</w:t>
      </w:r>
      <w:r>
        <w:rPr>
          <w:lang w:val="en-GB"/>
        </w:rPr>
        <w:t>, p.195.</w:t>
      </w:r>
      <w:proofErr w:type="gramEnd"/>
    </w:p>
  </w:footnote>
  <w:footnote w:id="52">
    <w:p w:rsidR="006A5399" w:rsidRPr="005C6F7B" w:rsidRDefault="006A5399">
      <w:pPr>
        <w:pStyle w:val="FootnoteText"/>
        <w:rPr>
          <w:lang w:val="en-GB"/>
        </w:rPr>
      </w:pPr>
      <w:r>
        <w:rPr>
          <w:rStyle w:val="FootnoteReference"/>
        </w:rPr>
        <w:footnoteRef/>
      </w:r>
      <w:r w:rsidRPr="005C6F7B">
        <w:rPr>
          <w:lang w:val="en-GB"/>
        </w:rPr>
        <w:t xml:space="preserve"> </w:t>
      </w:r>
      <w:proofErr w:type="gramStart"/>
      <w:r w:rsidRPr="005C6F7B">
        <w:rPr>
          <w:lang w:val="en-GB"/>
        </w:rPr>
        <w:t xml:space="preserve">Johnson, </w:t>
      </w:r>
      <w:r w:rsidRPr="005C6F7B">
        <w:rPr>
          <w:i/>
          <w:lang w:val="en-GB"/>
        </w:rPr>
        <w:t>Louis XVI and the Revolution</w:t>
      </w:r>
      <w:r>
        <w:rPr>
          <w:lang w:val="en-GB"/>
        </w:rPr>
        <w:t>, p.184-185.</w:t>
      </w:r>
      <w:proofErr w:type="gramEnd"/>
    </w:p>
  </w:footnote>
  <w:footnote w:id="53">
    <w:p w:rsidR="006A5399" w:rsidRPr="00585EBE" w:rsidRDefault="006A5399">
      <w:pPr>
        <w:pStyle w:val="FootnoteText"/>
        <w:rPr>
          <w:lang w:val="en-GB"/>
        </w:rPr>
      </w:pPr>
      <w:r>
        <w:rPr>
          <w:rStyle w:val="FootnoteReference"/>
        </w:rPr>
        <w:footnoteRef/>
      </w:r>
      <w:r w:rsidRPr="00585EBE">
        <w:rPr>
          <w:lang w:val="en-GB"/>
        </w:rPr>
        <w:t xml:space="preserve"> Jordan, </w:t>
      </w:r>
      <w:r w:rsidRPr="00585EBE">
        <w:rPr>
          <w:i/>
          <w:lang w:val="en-GB"/>
        </w:rPr>
        <w:t>The King’s Trial</w:t>
      </w:r>
      <w:r w:rsidRPr="00585EBE">
        <w:rPr>
          <w:lang w:val="en-GB"/>
        </w:rPr>
        <w:t>, p.128.</w:t>
      </w:r>
    </w:p>
  </w:footnote>
  <w:footnote w:id="54">
    <w:p w:rsidR="006A5399" w:rsidRPr="00663D6B" w:rsidRDefault="006A5399" w:rsidP="00D83E5F">
      <w:pPr>
        <w:pStyle w:val="FootnoteText"/>
        <w:jc w:val="both"/>
        <w:rPr>
          <w:lang w:val="en-US"/>
        </w:rPr>
      </w:pPr>
      <w:r>
        <w:rPr>
          <w:rStyle w:val="FootnoteReference"/>
        </w:rPr>
        <w:footnoteRef/>
      </w:r>
      <w:r w:rsidRPr="00663D6B">
        <w:rPr>
          <w:lang w:val="en-US"/>
        </w:rPr>
        <w:t xml:space="preserve"> Hardman, </w:t>
      </w:r>
      <w:r w:rsidRPr="00663D6B">
        <w:rPr>
          <w:i/>
          <w:lang w:val="en-US"/>
        </w:rPr>
        <w:t>Louis XVI</w:t>
      </w:r>
      <w:r w:rsidRPr="00663D6B">
        <w:rPr>
          <w:lang w:val="en-US"/>
        </w:rPr>
        <w:t>, p.229.</w:t>
      </w:r>
    </w:p>
  </w:footnote>
  <w:footnote w:id="55">
    <w:p w:rsidR="006A5399" w:rsidRPr="0077733D" w:rsidRDefault="006A5399">
      <w:pPr>
        <w:pStyle w:val="FootnoteText"/>
        <w:rPr>
          <w:lang w:val="en-GB"/>
        </w:rPr>
      </w:pPr>
      <w:r>
        <w:rPr>
          <w:rStyle w:val="FootnoteReference"/>
        </w:rPr>
        <w:footnoteRef/>
      </w:r>
      <w:r w:rsidRPr="0077733D">
        <w:rPr>
          <w:lang w:val="en-GB"/>
        </w:rPr>
        <w:t xml:space="preserve"> </w:t>
      </w:r>
      <w:proofErr w:type="gramStart"/>
      <w:r w:rsidRPr="0077733D">
        <w:rPr>
          <w:lang w:val="en-GB"/>
        </w:rPr>
        <w:t xml:space="preserve">Jordan, </w:t>
      </w:r>
      <w:r w:rsidRPr="0077733D">
        <w:rPr>
          <w:i/>
          <w:lang w:val="en-GB"/>
        </w:rPr>
        <w:t>The King’s Trial</w:t>
      </w:r>
      <w:r w:rsidRPr="0077733D">
        <w:rPr>
          <w:lang w:val="en-GB"/>
        </w:rPr>
        <w:t>, p.</w:t>
      </w:r>
      <w:r>
        <w:rPr>
          <w:lang w:val="en-GB"/>
        </w:rPr>
        <w:t>136-</w:t>
      </w:r>
      <w:r w:rsidRPr="0077733D">
        <w:rPr>
          <w:lang w:val="en-GB"/>
        </w:rPr>
        <w:t>137</w:t>
      </w:r>
      <w:r>
        <w:rPr>
          <w:lang w:val="en-GB"/>
        </w:rPr>
        <w:t>.</w:t>
      </w:r>
      <w:proofErr w:type="gramEnd"/>
    </w:p>
  </w:footnote>
  <w:footnote w:id="56">
    <w:p w:rsidR="006A5399" w:rsidRPr="00663D6B" w:rsidRDefault="006A5399">
      <w:pPr>
        <w:pStyle w:val="FootnoteText"/>
        <w:rPr>
          <w:lang w:val="en-US"/>
        </w:rPr>
      </w:pPr>
      <w:r>
        <w:rPr>
          <w:rStyle w:val="FootnoteReference"/>
        </w:rPr>
        <w:footnoteRef/>
      </w:r>
      <w:r w:rsidRPr="00663D6B">
        <w:rPr>
          <w:lang w:val="en-US"/>
        </w:rPr>
        <w:t xml:space="preserve"> </w:t>
      </w:r>
      <w:proofErr w:type="spellStart"/>
      <w:proofErr w:type="gramStart"/>
      <w:r w:rsidRPr="00663D6B">
        <w:rPr>
          <w:lang w:val="en-US"/>
        </w:rPr>
        <w:t>Ibidem</w:t>
      </w:r>
      <w:proofErr w:type="spellEnd"/>
      <w:r w:rsidRPr="00663D6B">
        <w:rPr>
          <w:lang w:val="en-US"/>
        </w:rPr>
        <w:t>, p.137.</w:t>
      </w:r>
      <w:proofErr w:type="gramEnd"/>
    </w:p>
  </w:footnote>
  <w:footnote w:id="57">
    <w:p w:rsidR="006A5399" w:rsidRPr="00663D6B" w:rsidRDefault="006A5399">
      <w:pPr>
        <w:pStyle w:val="FootnoteText"/>
        <w:rPr>
          <w:lang w:val="en-US"/>
        </w:rPr>
      </w:pPr>
      <w:r>
        <w:rPr>
          <w:rStyle w:val="FootnoteReference"/>
        </w:rPr>
        <w:footnoteRef/>
      </w:r>
      <w:r w:rsidRPr="00663D6B">
        <w:rPr>
          <w:lang w:val="en-US"/>
        </w:rPr>
        <w:t xml:space="preserve"> </w:t>
      </w:r>
      <w:proofErr w:type="gramStart"/>
      <w:r w:rsidRPr="00663D6B">
        <w:rPr>
          <w:lang w:val="en-US"/>
        </w:rPr>
        <w:t xml:space="preserve">Hardman, </w:t>
      </w:r>
      <w:r w:rsidRPr="00663D6B">
        <w:rPr>
          <w:i/>
          <w:lang w:val="en-US"/>
        </w:rPr>
        <w:t>Louis XVI</w:t>
      </w:r>
      <w:r w:rsidRPr="00663D6B">
        <w:rPr>
          <w:lang w:val="en-US"/>
        </w:rPr>
        <w:t>, p.229-230.</w:t>
      </w:r>
      <w:proofErr w:type="gramEnd"/>
    </w:p>
  </w:footnote>
  <w:footnote w:id="58">
    <w:p w:rsidR="006A5399" w:rsidRPr="00A01815" w:rsidRDefault="006A5399">
      <w:pPr>
        <w:pStyle w:val="FootnoteText"/>
        <w:rPr>
          <w:lang w:val="en-GB"/>
        </w:rPr>
      </w:pPr>
      <w:r>
        <w:rPr>
          <w:rStyle w:val="FootnoteReference"/>
        </w:rPr>
        <w:footnoteRef/>
      </w:r>
      <w:r w:rsidRPr="00A01815">
        <w:rPr>
          <w:lang w:val="en-GB"/>
        </w:rPr>
        <w:t xml:space="preserve"> Jordan, </w:t>
      </w:r>
      <w:r w:rsidRPr="00A01815">
        <w:rPr>
          <w:i/>
          <w:lang w:val="en-GB"/>
        </w:rPr>
        <w:t>The King’s Trial</w:t>
      </w:r>
      <w:r w:rsidRPr="00A01815">
        <w:rPr>
          <w:lang w:val="en-GB"/>
        </w:rPr>
        <w:t>, p. 166.</w:t>
      </w:r>
    </w:p>
  </w:footnote>
  <w:footnote w:id="59">
    <w:p w:rsidR="006A5399" w:rsidRPr="001F6952" w:rsidRDefault="006A5399">
      <w:pPr>
        <w:pStyle w:val="FootnoteText"/>
        <w:rPr>
          <w:lang w:val="en-GB"/>
        </w:rPr>
      </w:pPr>
      <w:r>
        <w:rPr>
          <w:rStyle w:val="FootnoteReference"/>
        </w:rPr>
        <w:footnoteRef/>
      </w:r>
      <w:r w:rsidRPr="001F6952">
        <w:rPr>
          <w:lang w:val="en-GB"/>
        </w:rPr>
        <w:t xml:space="preserve"> </w:t>
      </w:r>
      <w:proofErr w:type="gramStart"/>
      <w:r w:rsidRPr="001F6952">
        <w:rPr>
          <w:lang w:val="en-GB"/>
        </w:rPr>
        <w:t xml:space="preserve">Johnson, </w:t>
      </w:r>
      <w:r w:rsidRPr="001F6952">
        <w:rPr>
          <w:i/>
          <w:lang w:val="en-GB"/>
        </w:rPr>
        <w:t>Louis XVI and the French Revolution</w:t>
      </w:r>
      <w:r>
        <w:rPr>
          <w:lang w:val="en-GB"/>
        </w:rPr>
        <w:t>, p.192.</w:t>
      </w:r>
      <w:proofErr w:type="gramEnd"/>
    </w:p>
  </w:footnote>
  <w:footnote w:id="60">
    <w:p w:rsidR="006A5399" w:rsidRPr="00AE48A6" w:rsidRDefault="006A5399">
      <w:pPr>
        <w:pStyle w:val="FootnoteText"/>
        <w:rPr>
          <w:lang w:val="en-GB"/>
        </w:rPr>
      </w:pPr>
      <w:r>
        <w:rPr>
          <w:rStyle w:val="FootnoteReference"/>
        </w:rPr>
        <w:footnoteRef/>
      </w:r>
      <w:r w:rsidRPr="00AE48A6">
        <w:rPr>
          <w:lang w:val="en-GB"/>
        </w:rPr>
        <w:t xml:space="preserve"> </w:t>
      </w:r>
      <w:proofErr w:type="gramStart"/>
      <w:r w:rsidRPr="00AE48A6">
        <w:rPr>
          <w:lang w:val="en-GB"/>
        </w:rPr>
        <w:t xml:space="preserve">Doyle, </w:t>
      </w:r>
      <w:r w:rsidRPr="00AE48A6">
        <w:rPr>
          <w:i/>
          <w:lang w:val="en-GB"/>
        </w:rPr>
        <w:t>The Oxford History of the French Revolution</w:t>
      </w:r>
      <w:r>
        <w:rPr>
          <w:lang w:val="en-GB"/>
        </w:rPr>
        <w:t>, p.196.</w:t>
      </w:r>
      <w:proofErr w:type="gramEnd"/>
    </w:p>
  </w:footnote>
  <w:footnote w:id="61">
    <w:p w:rsidR="006A5399" w:rsidRPr="000A5CCF" w:rsidRDefault="006A5399">
      <w:pPr>
        <w:pStyle w:val="FootnoteText"/>
        <w:rPr>
          <w:lang w:val="en-GB"/>
        </w:rPr>
      </w:pPr>
      <w:r>
        <w:rPr>
          <w:rStyle w:val="FootnoteReference"/>
        </w:rPr>
        <w:footnoteRef/>
      </w:r>
      <w:r w:rsidRPr="000A5CCF">
        <w:rPr>
          <w:lang w:val="en-GB"/>
        </w:rPr>
        <w:t xml:space="preserve"> Neely, </w:t>
      </w:r>
      <w:r w:rsidRPr="000A5CCF">
        <w:rPr>
          <w:i/>
          <w:lang w:val="en-GB"/>
        </w:rPr>
        <w:t>A Concise History of the French Revolution</w:t>
      </w:r>
      <w:r>
        <w:rPr>
          <w:lang w:val="en-GB"/>
        </w:rPr>
        <w:t>, p.170.</w:t>
      </w:r>
    </w:p>
  </w:footnote>
  <w:footnote w:id="62">
    <w:p w:rsidR="006A5399" w:rsidRPr="0074102C" w:rsidRDefault="006A5399">
      <w:pPr>
        <w:pStyle w:val="FootnoteText"/>
        <w:rPr>
          <w:lang w:val="en-GB"/>
        </w:rPr>
      </w:pPr>
      <w:r>
        <w:rPr>
          <w:rStyle w:val="FootnoteReference"/>
        </w:rPr>
        <w:footnoteRef/>
      </w:r>
      <w:r w:rsidRPr="0074102C">
        <w:rPr>
          <w:lang w:val="en-GB"/>
        </w:rPr>
        <w:t xml:space="preserve"> </w:t>
      </w:r>
      <w:proofErr w:type="gramStart"/>
      <w:r w:rsidRPr="0074102C">
        <w:rPr>
          <w:lang w:val="en-GB"/>
        </w:rPr>
        <w:t xml:space="preserve">Jordan, </w:t>
      </w:r>
      <w:r w:rsidRPr="0074102C">
        <w:rPr>
          <w:i/>
          <w:lang w:val="en-GB"/>
        </w:rPr>
        <w:t>The King’s Trial</w:t>
      </w:r>
      <w:r w:rsidRPr="0074102C">
        <w:rPr>
          <w:lang w:val="en-GB"/>
        </w:rPr>
        <w:t>, p.191-192.</w:t>
      </w:r>
      <w:proofErr w:type="gramEnd"/>
    </w:p>
  </w:footnote>
  <w:footnote w:id="63">
    <w:p w:rsidR="006A5399" w:rsidRPr="0074102C" w:rsidRDefault="006A5399">
      <w:pPr>
        <w:pStyle w:val="FootnoteText"/>
        <w:rPr>
          <w:lang w:val="en-GB"/>
        </w:rPr>
      </w:pPr>
      <w:r>
        <w:rPr>
          <w:rStyle w:val="FootnoteReference"/>
        </w:rPr>
        <w:footnoteRef/>
      </w:r>
      <w:r w:rsidRPr="0074102C">
        <w:rPr>
          <w:lang w:val="en-GB"/>
        </w:rPr>
        <w:t xml:space="preserve"> Neely, </w:t>
      </w:r>
      <w:r w:rsidRPr="000A5CCF">
        <w:rPr>
          <w:i/>
          <w:lang w:val="en-GB"/>
        </w:rPr>
        <w:t>A Concise History of the French Revolution</w:t>
      </w:r>
      <w:r>
        <w:rPr>
          <w:lang w:val="en-GB"/>
        </w:rPr>
        <w:t>, p.170.</w:t>
      </w:r>
    </w:p>
  </w:footnote>
  <w:footnote w:id="64">
    <w:p w:rsidR="006A5399" w:rsidRPr="003C3C5A" w:rsidRDefault="006A5399">
      <w:pPr>
        <w:pStyle w:val="FootnoteText"/>
        <w:rPr>
          <w:lang w:val="en-GB"/>
        </w:rPr>
      </w:pPr>
      <w:r>
        <w:rPr>
          <w:rStyle w:val="FootnoteReference"/>
        </w:rPr>
        <w:footnoteRef/>
      </w:r>
      <w:r w:rsidRPr="003C3C5A">
        <w:rPr>
          <w:lang w:val="en-GB"/>
        </w:rPr>
        <w:t xml:space="preserve"> Neely, </w:t>
      </w:r>
      <w:r w:rsidRPr="003C3C5A">
        <w:rPr>
          <w:i/>
          <w:lang w:val="en-GB"/>
        </w:rPr>
        <w:t>A Concise History of the French Revolution</w:t>
      </w:r>
      <w:r>
        <w:rPr>
          <w:lang w:val="en-GB"/>
        </w:rPr>
        <w:t>, p.67.</w:t>
      </w:r>
    </w:p>
  </w:footnote>
  <w:footnote w:id="65">
    <w:p w:rsidR="006A5399" w:rsidRPr="00A546D9" w:rsidRDefault="006A5399">
      <w:pPr>
        <w:pStyle w:val="FootnoteText"/>
        <w:rPr>
          <w:lang w:val="en-GB"/>
        </w:rPr>
      </w:pPr>
      <w:r>
        <w:rPr>
          <w:rStyle w:val="FootnoteReference"/>
        </w:rPr>
        <w:footnoteRef/>
      </w:r>
      <w:r w:rsidRPr="00A546D9">
        <w:rPr>
          <w:lang w:val="en-GB"/>
        </w:rPr>
        <w:t xml:space="preserve"> </w:t>
      </w:r>
      <w:proofErr w:type="gramStart"/>
      <w:r w:rsidRPr="00A546D9">
        <w:rPr>
          <w:lang w:val="en-GB"/>
        </w:rPr>
        <w:t xml:space="preserve">Doyle, </w:t>
      </w:r>
      <w:r w:rsidRPr="00A546D9">
        <w:rPr>
          <w:i/>
          <w:lang w:val="en-GB"/>
        </w:rPr>
        <w:t>The Oxford H</w:t>
      </w:r>
      <w:r>
        <w:rPr>
          <w:i/>
          <w:lang w:val="en-GB"/>
        </w:rPr>
        <w:t>istory of the French Revolution</w:t>
      </w:r>
      <w:r>
        <w:rPr>
          <w:lang w:val="en-GB"/>
        </w:rPr>
        <w:t>, p.105.</w:t>
      </w:r>
      <w:proofErr w:type="gramEnd"/>
    </w:p>
  </w:footnote>
  <w:footnote w:id="66">
    <w:p w:rsidR="006A5399" w:rsidRPr="00C20F72" w:rsidRDefault="006A5399">
      <w:pPr>
        <w:pStyle w:val="FootnoteText"/>
        <w:rPr>
          <w:lang w:val="en-GB"/>
        </w:rPr>
      </w:pPr>
      <w:r>
        <w:rPr>
          <w:rStyle w:val="FootnoteReference"/>
        </w:rPr>
        <w:footnoteRef/>
      </w:r>
      <w:r w:rsidRPr="00C20F72">
        <w:rPr>
          <w:lang w:val="en-GB"/>
        </w:rPr>
        <w:t xml:space="preserve"> Jordan, </w:t>
      </w:r>
      <w:r w:rsidRPr="00C20F72">
        <w:rPr>
          <w:i/>
          <w:lang w:val="en-GB"/>
        </w:rPr>
        <w:t>The King’s Trial</w:t>
      </w:r>
      <w:r w:rsidRPr="00C20F72">
        <w:rPr>
          <w:lang w:val="en-GB"/>
        </w:rPr>
        <w:t>, p.109.</w:t>
      </w:r>
    </w:p>
  </w:footnote>
  <w:footnote w:id="67">
    <w:p w:rsidR="006A5399" w:rsidRPr="001D613B" w:rsidRDefault="006A5399">
      <w:pPr>
        <w:pStyle w:val="FootnoteText"/>
      </w:pPr>
      <w:r>
        <w:rPr>
          <w:rStyle w:val="FootnoteReference"/>
        </w:rPr>
        <w:footnoteRef/>
      </w:r>
      <w:r>
        <w:t xml:space="preserve"> </w:t>
      </w:r>
      <w:r>
        <w:t xml:space="preserve">Goodwin, </w:t>
      </w:r>
      <w:r>
        <w:rPr>
          <w:i/>
        </w:rPr>
        <w:t>De Franse Revolutie</w:t>
      </w:r>
      <w:r>
        <w:t>, p.60.</w:t>
      </w:r>
    </w:p>
  </w:footnote>
  <w:footnote w:id="68">
    <w:p w:rsidR="006A5399" w:rsidRPr="006117EF" w:rsidRDefault="006A5399">
      <w:pPr>
        <w:pStyle w:val="FootnoteText"/>
      </w:pPr>
      <w:r>
        <w:rPr>
          <w:rStyle w:val="FootnoteReference"/>
        </w:rPr>
        <w:footnoteRef/>
      </w:r>
      <w:r w:rsidRPr="006117EF">
        <w:t xml:space="preserve"> </w:t>
      </w:r>
      <w:r>
        <w:t xml:space="preserve">Goodwin, </w:t>
      </w:r>
      <w:r>
        <w:rPr>
          <w:i/>
        </w:rPr>
        <w:t>De Franse Revolutie</w:t>
      </w:r>
      <w:r w:rsidRPr="006117EF">
        <w:t>, p.61.</w:t>
      </w:r>
    </w:p>
  </w:footnote>
  <w:footnote w:id="69">
    <w:p w:rsidR="006A5399" w:rsidRPr="00D2161F" w:rsidRDefault="006A5399">
      <w:pPr>
        <w:pStyle w:val="FootnoteText"/>
        <w:rPr>
          <w:lang w:val="en-GB"/>
        </w:rPr>
      </w:pPr>
      <w:r>
        <w:rPr>
          <w:rStyle w:val="FootnoteReference"/>
        </w:rPr>
        <w:footnoteRef/>
      </w:r>
      <w:r w:rsidRPr="00D2161F">
        <w:rPr>
          <w:lang w:val="en-GB"/>
        </w:rPr>
        <w:t xml:space="preserve"> Jordan, </w:t>
      </w:r>
      <w:r w:rsidRPr="00D2161F">
        <w:rPr>
          <w:i/>
          <w:lang w:val="en-GB"/>
        </w:rPr>
        <w:t>The King’s Trial</w:t>
      </w:r>
      <w:r w:rsidRPr="00D2161F">
        <w:rPr>
          <w:lang w:val="en-GB"/>
        </w:rPr>
        <w:t>, p.109.</w:t>
      </w:r>
    </w:p>
  </w:footnote>
  <w:footnote w:id="70">
    <w:p w:rsidR="006A5399" w:rsidRPr="00D2161F" w:rsidRDefault="006A5399">
      <w:pPr>
        <w:pStyle w:val="FootnoteText"/>
        <w:rPr>
          <w:lang w:val="en-GB"/>
        </w:rPr>
      </w:pPr>
      <w:r>
        <w:rPr>
          <w:rStyle w:val="FootnoteReference"/>
        </w:rPr>
        <w:footnoteRef/>
      </w:r>
      <w:r w:rsidRPr="00D2161F">
        <w:rPr>
          <w:lang w:val="en-GB"/>
        </w:rPr>
        <w:t xml:space="preserve"> </w:t>
      </w:r>
      <w:proofErr w:type="gramStart"/>
      <w:r w:rsidRPr="00D2161F">
        <w:rPr>
          <w:lang w:val="en-GB"/>
        </w:rPr>
        <w:t xml:space="preserve">Jones, </w:t>
      </w:r>
      <w:r w:rsidRPr="00D2161F">
        <w:rPr>
          <w:i/>
          <w:lang w:val="en-GB"/>
        </w:rPr>
        <w:t>The French Revolution 1787 – 1804</w:t>
      </w:r>
      <w:r w:rsidRPr="00D2161F">
        <w:rPr>
          <w:lang w:val="en-GB"/>
        </w:rPr>
        <w:t>, p.</w:t>
      </w:r>
      <w:r>
        <w:rPr>
          <w:lang w:val="en-GB"/>
        </w:rPr>
        <w:t>32.</w:t>
      </w:r>
      <w:proofErr w:type="gramEnd"/>
    </w:p>
  </w:footnote>
  <w:footnote w:id="71">
    <w:p w:rsidR="006A5399" w:rsidRPr="00587BDA" w:rsidRDefault="006A5399">
      <w:pPr>
        <w:pStyle w:val="FootnoteText"/>
      </w:pPr>
      <w:r>
        <w:rPr>
          <w:rStyle w:val="FootnoteReference"/>
        </w:rPr>
        <w:footnoteRef/>
      </w:r>
      <w:r>
        <w:t xml:space="preserve"> </w:t>
      </w:r>
      <w:r>
        <w:t xml:space="preserve">Soboul, </w:t>
      </w:r>
      <w:r>
        <w:rPr>
          <w:i/>
        </w:rPr>
        <w:t>De Franse Revolutie</w:t>
      </w:r>
      <w:r>
        <w:t>, p.109-110.</w:t>
      </w:r>
    </w:p>
  </w:footnote>
  <w:footnote w:id="72">
    <w:p w:rsidR="006A5399" w:rsidRPr="00C35DB1" w:rsidRDefault="006A5399">
      <w:pPr>
        <w:pStyle w:val="FootnoteText"/>
      </w:pPr>
      <w:r>
        <w:rPr>
          <w:rStyle w:val="FootnoteReference"/>
        </w:rPr>
        <w:footnoteRef/>
      </w:r>
      <w:r w:rsidRPr="00C35DB1">
        <w:t xml:space="preserve"> </w:t>
      </w:r>
      <w:proofErr w:type="gramStart"/>
      <w:r w:rsidRPr="00C35DB1">
        <w:t>Ibidem, p.113.</w:t>
      </w:r>
      <w:proofErr w:type="gramEnd"/>
    </w:p>
  </w:footnote>
  <w:footnote w:id="73">
    <w:p w:rsidR="006A5399" w:rsidRPr="002A28EB" w:rsidRDefault="006A5399">
      <w:pPr>
        <w:pStyle w:val="FootnoteText"/>
        <w:rPr>
          <w:lang w:val="en-GB"/>
        </w:rPr>
      </w:pPr>
      <w:r>
        <w:rPr>
          <w:rStyle w:val="FootnoteReference"/>
        </w:rPr>
        <w:footnoteRef/>
      </w:r>
      <w:r w:rsidRPr="002A28EB">
        <w:rPr>
          <w:lang w:val="en-GB"/>
        </w:rPr>
        <w:t xml:space="preserve"> </w:t>
      </w:r>
      <w:proofErr w:type="gramStart"/>
      <w:r w:rsidRPr="002A28EB">
        <w:rPr>
          <w:lang w:val="en-GB"/>
        </w:rPr>
        <w:t xml:space="preserve">Doyle, </w:t>
      </w:r>
      <w:r w:rsidRPr="002A28EB">
        <w:rPr>
          <w:i/>
          <w:lang w:val="en-GB"/>
        </w:rPr>
        <w:t>The Oxford History of the French Revolution</w:t>
      </w:r>
      <w:r>
        <w:rPr>
          <w:lang w:val="en-GB"/>
        </w:rPr>
        <w:t>, p.110.</w:t>
      </w:r>
      <w:proofErr w:type="gramEnd"/>
    </w:p>
  </w:footnote>
  <w:footnote w:id="74">
    <w:p w:rsidR="006A5399" w:rsidRPr="00C927A7" w:rsidRDefault="006A5399">
      <w:pPr>
        <w:pStyle w:val="FootnoteText"/>
        <w:rPr>
          <w:lang w:val="en-GB"/>
        </w:rPr>
      </w:pPr>
      <w:r>
        <w:rPr>
          <w:rStyle w:val="FootnoteReference"/>
        </w:rPr>
        <w:footnoteRef/>
      </w:r>
      <w:r w:rsidRPr="00C927A7">
        <w:rPr>
          <w:lang w:val="en-GB"/>
        </w:rPr>
        <w:t xml:space="preserve"> </w:t>
      </w:r>
      <w:proofErr w:type="gramStart"/>
      <w:r>
        <w:rPr>
          <w:lang w:val="en-GB"/>
        </w:rPr>
        <w:t xml:space="preserve">Johnson, </w:t>
      </w:r>
      <w:r>
        <w:rPr>
          <w:i/>
          <w:lang w:val="en-GB"/>
        </w:rPr>
        <w:t>Louis XVI and the French Revolution</w:t>
      </w:r>
      <w:r>
        <w:rPr>
          <w:lang w:val="en-GB"/>
        </w:rPr>
        <w:t>, p.77-78.</w:t>
      </w:r>
      <w:proofErr w:type="gramEnd"/>
    </w:p>
  </w:footnote>
  <w:footnote w:id="75">
    <w:p w:rsidR="006A5399" w:rsidRPr="00195BEE" w:rsidRDefault="006A5399">
      <w:pPr>
        <w:pStyle w:val="FootnoteText"/>
        <w:rPr>
          <w:lang w:val="en-GB"/>
        </w:rPr>
      </w:pPr>
      <w:r>
        <w:rPr>
          <w:rStyle w:val="FootnoteReference"/>
        </w:rPr>
        <w:footnoteRef/>
      </w:r>
      <w:r w:rsidRPr="00195BEE">
        <w:rPr>
          <w:lang w:val="en-GB"/>
        </w:rPr>
        <w:t xml:space="preserve"> </w:t>
      </w:r>
      <w:r>
        <w:rPr>
          <w:lang w:val="en-GB"/>
        </w:rPr>
        <w:t xml:space="preserve">Neely, </w:t>
      </w:r>
      <w:r>
        <w:rPr>
          <w:i/>
          <w:lang w:val="en-GB"/>
        </w:rPr>
        <w:t>A Concise History of the French Revolution</w:t>
      </w:r>
      <w:r>
        <w:rPr>
          <w:lang w:val="en-GB"/>
        </w:rPr>
        <w:t>, p.92.</w:t>
      </w:r>
    </w:p>
  </w:footnote>
  <w:footnote w:id="76">
    <w:p w:rsidR="006A5399" w:rsidRPr="00195BEE" w:rsidRDefault="006A5399">
      <w:pPr>
        <w:pStyle w:val="FootnoteText"/>
        <w:rPr>
          <w:lang w:val="en-GB"/>
        </w:rPr>
      </w:pPr>
      <w:r>
        <w:rPr>
          <w:rStyle w:val="FootnoteReference"/>
        </w:rPr>
        <w:footnoteRef/>
      </w:r>
      <w:r w:rsidRPr="00195BEE">
        <w:rPr>
          <w:lang w:val="en-GB"/>
        </w:rPr>
        <w:t xml:space="preserve"> </w:t>
      </w:r>
      <w:r>
        <w:rPr>
          <w:lang w:val="en-GB"/>
        </w:rPr>
        <w:t xml:space="preserve">Jordan, </w:t>
      </w:r>
      <w:r>
        <w:rPr>
          <w:i/>
          <w:lang w:val="en-GB"/>
        </w:rPr>
        <w:t>The King’s Trial</w:t>
      </w:r>
      <w:r>
        <w:rPr>
          <w:lang w:val="en-GB"/>
        </w:rPr>
        <w:t>, p.109.</w:t>
      </w:r>
    </w:p>
  </w:footnote>
  <w:footnote w:id="77">
    <w:p w:rsidR="006A5399" w:rsidRPr="00A70E2E" w:rsidRDefault="006A5399">
      <w:pPr>
        <w:pStyle w:val="FootnoteText"/>
        <w:rPr>
          <w:lang w:val="en-GB"/>
        </w:rPr>
      </w:pPr>
      <w:r>
        <w:rPr>
          <w:rStyle w:val="FootnoteReference"/>
        </w:rPr>
        <w:footnoteRef/>
      </w:r>
      <w:r w:rsidRPr="00A70E2E">
        <w:rPr>
          <w:lang w:val="en-GB"/>
        </w:rPr>
        <w:t xml:space="preserve"> </w:t>
      </w:r>
      <w:r>
        <w:rPr>
          <w:lang w:val="en-GB"/>
        </w:rPr>
        <w:t xml:space="preserve">Neely, </w:t>
      </w:r>
      <w:r>
        <w:rPr>
          <w:i/>
          <w:lang w:val="en-GB"/>
        </w:rPr>
        <w:t>A Concise History of the French Revolution</w:t>
      </w:r>
      <w:r>
        <w:rPr>
          <w:lang w:val="en-GB"/>
        </w:rPr>
        <w:t>, p.92.</w:t>
      </w:r>
    </w:p>
  </w:footnote>
  <w:footnote w:id="78">
    <w:p w:rsidR="006A5399" w:rsidRPr="00233026" w:rsidRDefault="006A5399">
      <w:pPr>
        <w:pStyle w:val="FootnoteText"/>
        <w:rPr>
          <w:lang w:val="en-GB"/>
        </w:rPr>
      </w:pPr>
      <w:r>
        <w:rPr>
          <w:rStyle w:val="FootnoteReference"/>
        </w:rPr>
        <w:footnoteRef/>
      </w:r>
      <w:r w:rsidRPr="00233026">
        <w:rPr>
          <w:lang w:val="en-GB"/>
        </w:rPr>
        <w:t xml:space="preserve"> </w:t>
      </w:r>
      <w:proofErr w:type="gramStart"/>
      <w:r w:rsidRPr="002A28EB">
        <w:rPr>
          <w:lang w:val="en-GB"/>
        </w:rPr>
        <w:t xml:space="preserve">Doyle, </w:t>
      </w:r>
      <w:r w:rsidRPr="002A28EB">
        <w:rPr>
          <w:i/>
          <w:lang w:val="en-GB"/>
        </w:rPr>
        <w:t>The Oxford History of the French Revolution</w:t>
      </w:r>
      <w:r w:rsidRPr="00233026">
        <w:rPr>
          <w:lang w:val="en-GB"/>
        </w:rPr>
        <w:t>, p.148.</w:t>
      </w:r>
      <w:proofErr w:type="gramEnd"/>
    </w:p>
  </w:footnote>
  <w:footnote w:id="79">
    <w:p w:rsidR="006A5399" w:rsidRPr="005A2FC6" w:rsidRDefault="006A5399">
      <w:pPr>
        <w:pStyle w:val="FootnoteText"/>
        <w:rPr>
          <w:lang w:val="en-GB"/>
        </w:rPr>
      </w:pPr>
      <w:r>
        <w:rPr>
          <w:rStyle w:val="FootnoteReference"/>
        </w:rPr>
        <w:footnoteRef/>
      </w:r>
      <w:r w:rsidRPr="005A2FC6">
        <w:rPr>
          <w:lang w:val="en-GB"/>
        </w:rPr>
        <w:t xml:space="preserve"> Jordan, </w:t>
      </w:r>
      <w:r w:rsidRPr="005A2FC6">
        <w:rPr>
          <w:i/>
          <w:lang w:val="en-GB"/>
        </w:rPr>
        <w:t>The King’s Trial</w:t>
      </w:r>
      <w:r w:rsidRPr="005A2FC6">
        <w:rPr>
          <w:lang w:val="en-GB"/>
        </w:rPr>
        <w:t>, p.109.</w:t>
      </w:r>
    </w:p>
  </w:footnote>
  <w:footnote w:id="80">
    <w:p w:rsidR="006A5399" w:rsidRPr="00BE6D42" w:rsidRDefault="006A5399">
      <w:pPr>
        <w:pStyle w:val="FootnoteText"/>
        <w:rPr>
          <w:lang w:val="en-GB"/>
        </w:rPr>
      </w:pPr>
      <w:r>
        <w:rPr>
          <w:rStyle w:val="FootnoteReference"/>
        </w:rPr>
        <w:footnoteRef/>
      </w:r>
      <w:r w:rsidRPr="00BE6D42">
        <w:rPr>
          <w:lang w:val="en-GB"/>
        </w:rPr>
        <w:t xml:space="preserve"> </w:t>
      </w:r>
      <w:proofErr w:type="spellStart"/>
      <w:proofErr w:type="gramStart"/>
      <w:r>
        <w:rPr>
          <w:lang w:val="en-GB"/>
        </w:rPr>
        <w:t>Ibidem</w:t>
      </w:r>
      <w:proofErr w:type="spellEnd"/>
      <w:r w:rsidRPr="00BE6D42">
        <w:rPr>
          <w:lang w:val="en-GB"/>
        </w:rPr>
        <w:t>, p.109.</w:t>
      </w:r>
      <w:proofErr w:type="gramEnd"/>
    </w:p>
  </w:footnote>
  <w:footnote w:id="81">
    <w:p w:rsidR="006A5399" w:rsidRPr="001A5339" w:rsidRDefault="006A5399">
      <w:pPr>
        <w:pStyle w:val="FootnoteText"/>
        <w:rPr>
          <w:lang w:val="en-GB"/>
        </w:rPr>
      </w:pPr>
      <w:r>
        <w:rPr>
          <w:rStyle w:val="FootnoteReference"/>
        </w:rPr>
        <w:footnoteRef/>
      </w:r>
      <w:r w:rsidRPr="001A5339">
        <w:rPr>
          <w:lang w:val="en-GB"/>
        </w:rPr>
        <w:t xml:space="preserve"> </w:t>
      </w:r>
      <w:proofErr w:type="gramStart"/>
      <w:r>
        <w:rPr>
          <w:lang w:val="en-GB"/>
        </w:rPr>
        <w:t xml:space="preserve">Doyle, </w:t>
      </w:r>
      <w:r>
        <w:rPr>
          <w:i/>
          <w:lang w:val="en-GB"/>
        </w:rPr>
        <w:t>The Oxford History of the French Revolution</w:t>
      </w:r>
      <w:r>
        <w:rPr>
          <w:lang w:val="en-GB"/>
        </w:rPr>
        <w:t>, p.152.</w:t>
      </w:r>
      <w:proofErr w:type="gramEnd"/>
    </w:p>
  </w:footnote>
  <w:footnote w:id="82">
    <w:p w:rsidR="006A5399" w:rsidRPr="001A5339" w:rsidRDefault="006A5399">
      <w:pPr>
        <w:pStyle w:val="FootnoteText"/>
        <w:rPr>
          <w:lang w:val="en-GB"/>
        </w:rPr>
      </w:pPr>
      <w:r>
        <w:rPr>
          <w:rStyle w:val="FootnoteReference"/>
        </w:rPr>
        <w:footnoteRef/>
      </w:r>
      <w:r w:rsidRPr="001A5339">
        <w:rPr>
          <w:lang w:val="en-GB"/>
        </w:rPr>
        <w:t xml:space="preserve"> Neely, </w:t>
      </w:r>
      <w:r w:rsidRPr="001A5339">
        <w:rPr>
          <w:i/>
          <w:lang w:val="en-GB"/>
        </w:rPr>
        <w:t>A Concise History of the French Revolution</w:t>
      </w:r>
      <w:r>
        <w:rPr>
          <w:lang w:val="en-GB"/>
        </w:rPr>
        <w:t>, p.125.</w:t>
      </w:r>
    </w:p>
  </w:footnote>
  <w:footnote w:id="83">
    <w:p w:rsidR="006A5399" w:rsidRPr="00067AD9" w:rsidRDefault="006A5399">
      <w:pPr>
        <w:pStyle w:val="FootnoteText"/>
        <w:rPr>
          <w:lang w:val="en-GB"/>
        </w:rPr>
      </w:pPr>
      <w:r>
        <w:rPr>
          <w:rStyle w:val="FootnoteReference"/>
        </w:rPr>
        <w:footnoteRef/>
      </w:r>
      <w:r w:rsidRPr="00067AD9">
        <w:rPr>
          <w:lang w:val="en-GB"/>
        </w:rPr>
        <w:t xml:space="preserve"> Jordan, </w:t>
      </w:r>
      <w:r w:rsidRPr="00067AD9">
        <w:rPr>
          <w:i/>
          <w:lang w:val="en-GB"/>
        </w:rPr>
        <w:t>The King’s Trial</w:t>
      </w:r>
      <w:r w:rsidRPr="00067AD9">
        <w:rPr>
          <w:lang w:val="en-GB"/>
        </w:rPr>
        <w:t>, p.109.</w:t>
      </w:r>
    </w:p>
  </w:footnote>
  <w:footnote w:id="84">
    <w:p w:rsidR="006A5399" w:rsidRPr="00B63747" w:rsidRDefault="006A5399">
      <w:pPr>
        <w:pStyle w:val="FootnoteText"/>
        <w:rPr>
          <w:lang w:val="en-GB"/>
        </w:rPr>
      </w:pPr>
      <w:r>
        <w:rPr>
          <w:rStyle w:val="FootnoteReference"/>
        </w:rPr>
        <w:footnoteRef/>
      </w:r>
      <w:r w:rsidRPr="00B63747">
        <w:rPr>
          <w:lang w:val="en-GB"/>
        </w:rPr>
        <w:t xml:space="preserve"> </w:t>
      </w:r>
      <w:proofErr w:type="gramStart"/>
      <w:r>
        <w:rPr>
          <w:lang w:val="en-GB"/>
        </w:rPr>
        <w:t xml:space="preserve">Doyle, </w:t>
      </w:r>
      <w:r>
        <w:rPr>
          <w:i/>
          <w:lang w:val="en-GB"/>
        </w:rPr>
        <w:t>The Oxford History of the French Revolution</w:t>
      </w:r>
      <w:r>
        <w:rPr>
          <w:lang w:val="en-GB"/>
        </w:rPr>
        <w:t>, p.154.</w:t>
      </w:r>
      <w:proofErr w:type="gramEnd"/>
    </w:p>
  </w:footnote>
  <w:footnote w:id="85">
    <w:p w:rsidR="006A5399" w:rsidRPr="00F43436" w:rsidRDefault="006A5399">
      <w:pPr>
        <w:pStyle w:val="FootnoteText"/>
        <w:rPr>
          <w:lang w:val="en-GB"/>
        </w:rPr>
      </w:pPr>
      <w:r>
        <w:rPr>
          <w:rStyle w:val="FootnoteReference"/>
        </w:rPr>
        <w:footnoteRef/>
      </w:r>
      <w:r w:rsidRPr="00F43436">
        <w:rPr>
          <w:lang w:val="en-GB"/>
        </w:rPr>
        <w:t xml:space="preserve"> Jordan, </w:t>
      </w:r>
      <w:r w:rsidRPr="00F43436">
        <w:rPr>
          <w:i/>
          <w:lang w:val="en-GB"/>
        </w:rPr>
        <w:t>The King’s Trial</w:t>
      </w:r>
      <w:r w:rsidRPr="00F43436">
        <w:rPr>
          <w:lang w:val="en-GB"/>
        </w:rPr>
        <w:t>, p.109.</w:t>
      </w:r>
    </w:p>
  </w:footnote>
  <w:footnote w:id="86">
    <w:p w:rsidR="006A5399" w:rsidRPr="00F43436" w:rsidRDefault="006A5399">
      <w:pPr>
        <w:pStyle w:val="FootnoteText"/>
        <w:rPr>
          <w:lang w:val="en-GB"/>
        </w:rPr>
      </w:pPr>
      <w:r>
        <w:rPr>
          <w:rStyle w:val="FootnoteReference"/>
        </w:rPr>
        <w:footnoteRef/>
      </w:r>
      <w:r w:rsidRPr="00F43436">
        <w:rPr>
          <w:lang w:val="en-GB"/>
        </w:rPr>
        <w:t xml:space="preserve"> Neely, </w:t>
      </w:r>
      <w:r w:rsidRPr="00F43436">
        <w:rPr>
          <w:i/>
          <w:lang w:val="en-GB"/>
        </w:rPr>
        <w:t>A Concise History of the French Revolution</w:t>
      </w:r>
      <w:r>
        <w:rPr>
          <w:lang w:val="en-GB"/>
        </w:rPr>
        <w:t>, p.141.</w:t>
      </w:r>
    </w:p>
  </w:footnote>
  <w:footnote w:id="87">
    <w:p w:rsidR="006A5399" w:rsidRPr="00545793" w:rsidRDefault="006A5399">
      <w:pPr>
        <w:pStyle w:val="FootnoteText"/>
        <w:rPr>
          <w:lang w:val="en-GB"/>
        </w:rPr>
      </w:pPr>
      <w:r>
        <w:rPr>
          <w:rStyle w:val="FootnoteReference"/>
        </w:rPr>
        <w:footnoteRef/>
      </w:r>
      <w:r w:rsidRPr="00545793">
        <w:rPr>
          <w:lang w:val="en-GB"/>
        </w:rPr>
        <w:t xml:space="preserve"> Jordan, </w:t>
      </w:r>
      <w:r w:rsidRPr="00545793">
        <w:rPr>
          <w:i/>
          <w:lang w:val="en-GB"/>
        </w:rPr>
        <w:t>The King’s Trial</w:t>
      </w:r>
      <w:r w:rsidRPr="00545793">
        <w:rPr>
          <w:lang w:val="en-GB"/>
        </w:rPr>
        <w:t>, p.110.</w:t>
      </w:r>
    </w:p>
  </w:footnote>
  <w:footnote w:id="88">
    <w:p w:rsidR="006A5399" w:rsidRPr="001512D7" w:rsidRDefault="006A5399">
      <w:pPr>
        <w:pStyle w:val="FootnoteText"/>
      </w:pPr>
      <w:r>
        <w:rPr>
          <w:rStyle w:val="FootnoteReference"/>
        </w:rPr>
        <w:footnoteRef/>
      </w:r>
      <w:r w:rsidRPr="001512D7">
        <w:t xml:space="preserve"> Hardman, </w:t>
      </w:r>
      <w:r w:rsidRPr="001512D7">
        <w:rPr>
          <w:i/>
        </w:rPr>
        <w:t>Louis XVI,</w:t>
      </w:r>
      <w:r w:rsidRPr="001512D7">
        <w:t xml:space="preserve"> p.204.</w:t>
      </w:r>
    </w:p>
  </w:footnote>
  <w:footnote w:id="89">
    <w:p w:rsidR="006A5399" w:rsidRPr="006D34B7" w:rsidRDefault="006A5399">
      <w:pPr>
        <w:pStyle w:val="FootnoteText"/>
        <w:rPr>
          <w:lang w:val="en-GB"/>
        </w:rPr>
      </w:pPr>
      <w:r>
        <w:rPr>
          <w:rStyle w:val="FootnoteReference"/>
        </w:rPr>
        <w:footnoteRef/>
      </w:r>
      <w:r w:rsidRPr="006D34B7">
        <w:rPr>
          <w:lang w:val="en-GB"/>
        </w:rPr>
        <w:t xml:space="preserve"> </w:t>
      </w:r>
      <w:proofErr w:type="gramStart"/>
      <w:r w:rsidRPr="006D34B7">
        <w:rPr>
          <w:lang w:val="en-GB"/>
        </w:rPr>
        <w:t xml:space="preserve">Doyle, </w:t>
      </w:r>
      <w:r w:rsidRPr="006D34B7">
        <w:rPr>
          <w:i/>
          <w:lang w:val="en-GB"/>
        </w:rPr>
        <w:t>The Oxford History of the French Revolution</w:t>
      </w:r>
      <w:r>
        <w:rPr>
          <w:lang w:val="en-GB"/>
        </w:rPr>
        <w:t>, p.177.</w:t>
      </w:r>
      <w:proofErr w:type="gramEnd"/>
    </w:p>
  </w:footnote>
  <w:footnote w:id="90">
    <w:p w:rsidR="006A5399" w:rsidRPr="0023697B" w:rsidRDefault="006A5399">
      <w:pPr>
        <w:pStyle w:val="FootnoteText"/>
        <w:rPr>
          <w:lang w:val="en-GB"/>
        </w:rPr>
      </w:pPr>
      <w:r>
        <w:rPr>
          <w:rStyle w:val="FootnoteReference"/>
        </w:rPr>
        <w:footnoteRef/>
      </w:r>
      <w:r w:rsidRPr="0023697B">
        <w:rPr>
          <w:lang w:val="en-GB"/>
        </w:rPr>
        <w:t xml:space="preserve"> Jordan, </w:t>
      </w:r>
      <w:r w:rsidRPr="0023697B">
        <w:rPr>
          <w:i/>
          <w:lang w:val="en-GB"/>
        </w:rPr>
        <w:t>The King’s Trial</w:t>
      </w:r>
      <w:r w:rsidRPr="0023697B">
        <w:rPr>
          <w:lang w:val="en-GB"/>
        </w:rPr>
        <w:t>, p.</w:t>
      </w:r>
      <w:r>
        <w:rPr>
          <w:lang w:val="en-GB"/>
        </w:rPr>
        <w:t>133.</w:t>
      </w:r>
    </w:p>
  </w:footnote>
  <w:footnote w:id="91">
    <w:p w:rsidR="006A5399" w:rsidRPr="005F074C" w:rsidRDefault="006A5399">
      <w:pPr>
        <w:pStyle w:val="FootnoteText"/>
      </w:pPr>
      <w:r>
        <w:rPr>
          <w:rStyle w:val="FootnoteReference"/>
        </w:rPr>
        <w:footnoteRef/>
      </w:r>
      <w:r w:rsidRPr="005F074C">
        <w:t xml:space="preserve"> </w:t>
      </w:r>
      <w:proofErr w:type="gramStart"/>
      <w:r w:rsidRPr="005F074C">
        <w:t>Ibidem, p.110.</w:t>
      </w:r>
      <w:proofErr w:type="gramEnd"/>
    </w:p>
  </w:footnote>
  <w:footnote w:id="92">
    <w:p w:rsidR="006A5399" w:rsidRPr="0081116E" w:rsidRDefault="006A5399">
      <w:pPr>
        <w:pStyle w:val="FootnoteText"/>
        <w:rPr>
          <w:lang w:val="en-GB"/>
        </w:rPr>
      </w:pPr>
      <w:r>
        <w:rPr>
          <w:rStyle w:val="FootnoteReference"/>
        </w:rPr>
        <w:footnoteRef/>
      </w:r>
      <w:r w:rsidRPr="0081116E">
        <w:rPr>
          <w:lang w:val="en-GB"/>
        </w:rPr>
        <w:t xml:space="preserve"> </w:t>
      </w:r>
      <w:proofErr w:type="gramStart"/>
      <w:r w:rsidRPr="0081116E">
        <w:rPr>
          <w:lang w:val="en-GB"/>
        </w:rPr>
        <w:t xml:space="preserve">Doyle, </w:t>
      </w:r>
      <w:r w:rsidRPr="0081116E">
        <w:rPr>
          <w:i/>
          <w:lang w:val="en-GB"/>
        </w:rPr>
        <w:t>The Oxford History of the French Revolution,</w:t>
      </w:r>
      <w:r>
        <w:rPr>
          <w:lang w:val="en-GB"/>
        </w:rPr>
        <w:t xml:space="preserve"> p.189.</w:t>
      </w:r>
      <w:proofErr w:type="gramEnd"/>
    </w:p>
  </w:footnote>
  <w:footnote w:id="93">
    <w:p w:rsidR="006A5399" w:rsidRPr="006117EF" w:rsidRDefault="006A5399">
      <w:pPr>
        <w:pStyle w:val="FootnoteText"/>
        <w:rPr>
          <w:lang w:val="en-GB"/>
        </w:rPr>
      </w:pPr>
      <w:r>
        <w:rPr>
          <w:rStyle w:val="FootnoteReference"/>
        </w:rPr>
        <w:footnoteRef/>
      </w:r>
      <w:r w:rsidRPr="006117EF">
        <w:rPr>
          <w:lang w:val="en-GB"/>
        </w:rPr>
        <w:t xml:space="preserve"> </w:t>
      </w:r>
      <w:proofErr w:type="gramStart"/>
      <w:r w:rsidRPr="006117EF">
        <w:rPr>
          <w:lang w:val="en-GB"/>
        </w:rPr>
        <w:t xml:space="preserve">Jordan, </w:t>
      </w:r>
      <w:r w:rsidRPr="006117EF">
        <w:rPr>
          <w:i/>
          <w:lang w:val="en-GB"/>
        </w:rPr>
        <w:t>The King’s Trial</w:t>
      </w:r>
      <w:r w:rsidRPr="006117EF">
        <w:rPr>
          <w:lang w:val="en-GB"/>
        </w:rPr>
        <w:t>, p.134</w:t>
      </w:r>
      <w:r>
        <w:rPr>
          <w:lang w:val="en-GB"/>
        </w:rPr>
        <w:t>-135</w:t>
      </w:r>
      <w:r w:rsidRPr="006117EF">
        <w:rPr>
          <w:lang w:val="en-GB"/>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90"/>
    <w:rsid w:val="00005153"/>
    <w:rsid w:val="00025674"/>
    <w:rsid w:val="00025C7B"/>
    <w:rsid w:val="00026F9E"/>
    <w:rsid w:val="00027251"/>
    <w:rsid w:val="0005654A"/>
    <w:rsid w:val="000641E3"/>
    <w:rsid w:val="00067AD9"/>
    <w:rsid w:val="00077A8D"/>
    <w:rsid w:val="000A5CCF"/>
    <w:rsid w:val="000D5BEB"/>
    <w:rsid w:val="000F1D55"/>
    <w:rsid w:val="00102147"/>
    <w:rsid w:val="0010561D"/>
    <w:rsid w:val="00137E06"/>
    <w:rsid w:val="0014249A"/>
    <w:rsid w:val="001512D7"/>
    <w:rsid w:val="00166BDE"/>
    <w:rsid w:val="00182FDD"/>
    <w:rsid w:val="00185908"/>
    <w:rsid w:val="0019229F"/>
    <w:rsid w:val="00195BEE"/>
    <w:rsid w:val="001A2DD4"/>
    <w:rsid w:val="001A5339"/>
    <w:rsid w:val="001A565D"/>
    <w:rsid w:val="001A5F49"/>
    <w:rsid w:val="001A7116"/>
    <w:rsid w:val="001C53E0"/>
    <w:rsid w:val="001C5E22"/>
    <w:rsid w:val="001D1818"/>
    <w:rsid w:val="001D613B"/>
    <w:rsid w:val="001E0BA3"/>
    <w:rsid w:val="001E1F93"/>
    <w:rsid w:val="001E6E54"/>
    <w:rsid w:val="001F6952"/>
    <w:rsid w:val="00214177"/>
    <w:rsid w:val="002302DE"/>
    <w:rsid w:val="00233026"/>
    <w:rsid w:val="0023444E"/>
    <w:rsid w:val="00235862"/>
    <w:rsid w:val="0023697B"/>
    <w:rsid w:val="00250BAE"/>
    <w:rsid w:val="00250E38"/>
    <w:rsid w:val="00254CD0"/>
    <w:rsid w:val="002A0159"/>
    <w:rsid w:val="002A28EB"/>
    <w:rsid w:val="002A44F4"/>
    <w:rsid w:val="002A6CB0"/>
    <w:rsid w:val="002C624B"/>
    <w:rsid w:val="002D0B61"/>
    <w:rsid w:val="002D7DC8"/>
    <w:rsid w:val="002E5F9A"/>
    <w:rsid w:val="002E6ADD"/>
    <w:rsid w:val="002F5C05"/>
    <w:rsid w:val="002F65B1"/>
    <w:rsid w:val="00303F4F"/>
    <w:rsid w:val="00326840"/>
    <w:rsid w:val="0033364B"/>
    <w:rsid w:val="003458BB"/>
    <w:rsid w:val="00354190"/>
    <w:rsid w:val="00354712"/>
    <w:rsid w:val="00355E17"/>
    <w:rsid w:val="00363927"/>
    <w:rsid w:val="003672E1"/>
    <w:rsid w:val="0037761D"/>
    <w:rsid w:val="003A14D6"/>
    <w:rsid w:val="003B4EA0"/>
    <w:rsid w:val="003C3C5A"/>
    <w:rsid w:val="003D760D"/>
    <w:rsid w:val="003F2192"/>
    <w:rsid w:val="003F6844"/>
    <w:rsid w:val="004562DD"/>
    <w:rsid w:val="00461CCE"/>
    <w:rsid w:val="0046597A"/>
    <w:rsid w:val="00466BEC"/>
    <w:rsid w:val="00482B66"/>
    <w:rsid w:val="004878CF"/>
    <w:rsid w:val="00487DE0"/>
    <w:rsid w:val="00494D83"/>
    <w:rsid w:val="00496025"/>
    <w:rsid w:val="004A0890"/>
    <w:rsid w:val="004B0456"/>
    <w:rsid w:val="004C0322"/>
    <w:rsid w:val="004C0B0A"/>
    <w:rsid w:val="004C0DF0"/>
    <w:rsid w:val="004C41D2"/>
    <w:rsid w:val="004C5292"/>
    <w:rsid w:val="004D2F81"/>
    <w:rsid w:val="004D382B"/>
    <w:rsid w:val="004D47BE"/>
    <w:rsid w:val="004E4C12"/>
    <w:rsid w:val="004E551D"/>
    <w:rsid w:val="004E7071"/>
    <w:rsid w:val="004F2677"/>
    <w:rsid w:val="005117EC"/>
    <w:rsid w:val="00515430"/>
    <w:rsid w:val="005165A2"/>
    <w:rsid w:val="00517B67"/>
    <w:rsid w:val="00521C07"/>
    <w:rsid w:val="00526247"/>
    <w:rsid w:val="00541A40"/>
    <w:rsid w:val="00545793"/>
    <w:rsid w:val="005502F6"/>
    <w:rsid w:val="00564164"/>
    <w:rsid w:val="00567E80"/>
    <w:rsid w:val="00582F70"/>
    <w:rsid w:val="00585EBE"/>
    <w:rsid w:val="00587BDA"/>
    <w:rsid w:val="005926BF"/>
    <w:rsid w:val="005A1C01"/>
    <w:rsid w:val="005A2FC6"/>
    <w:rsid w:val="005C6F7B"/>
    <w:rsid w:val="005D1AE9"/>
    <w:rsid w:val="005E186D"/>
    <w:rsid w:val="005F074C"/>
    <w:rsid w:val="005F48B5"/>
    <w:rsid w:val="005F5A84"/>
    <w:rsid w:val="0060079F"/>
    <w:rsid w:val="00601B7B"/>
    <w:rsid w:val="00606DE0"/>
    <w:rsid w:val="00607D97"/>
    <w:rsid w:val="00610026"/>
    <w:rsid w:val="006117EF"/>
    <w:rsid w:val="0062319B"/>
    <w:rsid w:val="00625F35"/>
    <w:rsid w:val="006634CE"/>
    <w:rsid w:val="00663D6B"/>
    <w:rsid w:val="00663E42"/>
    <w:rsid w:val="0067456F"/>
    <w:rsid w:val="006921A1"/>
    <w:rsid w:val="006A5399"/>
    <w:rsid w:val="006A7E05"/>
    <w:rsid w:val="006B29F5"/>
    <w:rsid w:val="006C4749"/>
    <w:rsid w:val="006C5AD4"/>
    <w:rsid w:val="006D34B7"/>
    <w:rsid w:val="006D3BF1"/>
    <w:rsid w:val="006D53C0"/>
    <w:rsid w:val="006D5A23"/>
    <w:rsid w:val="006D611C"/>
    <w:rsid w:val="006D706A"/>
    <w:rsid w:val="006E0CED"/>
    <w:rsid w:val="006F60CB"/>
    <w:rsid w:val="007023EC"/>
    <w:rsid w:val="0070710D"/>
    <w:rsid w:val="00726633"/>
    <w:rsid w:val="00733984"/>
    <w:rsid w:val="0074102C"/>
    <w:rsid w:val="00746F7A"/>
    <w:rsid w:val="00747C79"/>
    <w:rsid w:val="007513A5"/>
    <w:rsid w:val="0075730B"/>
    <w:rsid w:val="00766E76"/>
    <w:rsid w:val="007714DD"/>
    <w:rsid w:val="0077733D"/>
    <w:rsid w:val="00790EC8"/>
    <w:rsid w:val="00791CD9"/>
    <w:rsid w:val="007957A6"/>
    <w:rsid w:val="00796163"/>
    <w:rsid w:val="007A1309"/>
    <w:rsid w:val="007A1A6A"/>
    <w:rsid w:val="007C0985"/>
    <w:rsid w:val="007C5810"/>
    <w:rsid w:val="007D019C"/>
    <w:rsid w:val="007E45CB"/>
    <w:rsid w:val="007F25B1"/>
    <w:rsid w:val="0081116E"/>
    <w:rsid w:val="0082194A"/>
    <w:rsid w:val="00822AC6"/>
    <w:rsid w:val="00824FA3"/>
    <w:rsid w:val="00833CF6"/>
    <w:rsid w:val="00833F4F"/>
    <w:rsid w:val="00842FD0"/>
    <w:rsid w:val="008433C9"/>
    <w:rsid w:val="0084516F"/>
    <w:rsid w:val="008624C5"/>
    <w:rsid w:val="008731BF"/>
    <w:rsid w:val="008817D1"/>
    <w:rsid w:val="008B32C7"/>
    <w:rsid w:val="008C09A1"/>
    <w:rsid w:val="008F7BCB"/>
    <w:rsid w:val="00933585"/>
    <w:rsid w:val="00937142"/>
    <w:rsid w:val="009410EF"/>
    <w:rsid w:val="0095774E"/>
    <w:rsid w:val="00967F19"/>
    <w:rsid w:val="00995710"/>
    <w:rsid w:val="00995E16"/>
    <w:rsid w:val="009A3CF1"/>
    <w:rsid w:val="009B722E"/>
    <w:rsid w:val="009C7E30"/>
    <w:rsid w:val="00A01815"/>
    <w:rsid w:val="00A036B0"/>
    <w:rsid w:val="00A14453"/>
    <w:rsid w:val="00A17268"/>
    <w:rsid w:val="00A3101E"/>
    <w:rsid w:val="00A47466"/>
    <w:rsid w:val="00A546D9"/>
    <w:rsid w:val="00A64260"/>
    <w:rsid w:val="00A65461"/>
    <w:rsid w:val="00A70E2E"/>
    <w:rsid w:val="00A73C51"/>
    <w:rsid w:val="00AC2CEB"/>
    <w:rsid w:val="00AC57A2"/>
    <w:rsid w:val="00AD04DF"/>
    <w:rsid w:val="00AD44F2"/>
    <w:rsid w:val="00AD4BBA"/>
    <w:rsid w:val="00AE24C1"/>
    <w:rsid w:val="00AE48A6"/>
    <w:rsid w:val="00AE7122"/>
    <w:rsid w:val="00B2050F"/>
    <w:rsid w:val="00B32681"/>
    <w:rsid w:val="00B3624C"/>
    <w:rsid w:val="00B63747"/>
    <w:rsid w:val="00B7062D"/>
    <w:rsid w:val="00B86DE6"/>
    <w:rsid w:val="00BA0BD9"/>
    <w:rsid w:val="00BB6448"/>
    <w:rsid w:val="00BC0577"/>
    <w:rsid w:val="00BC13E0"/>
    <w:rsid w:val="00BD379C"/>
    <w:rsid w:val="00BE6D42"/>
    <w:rsid w:val="00BF43FE"/>
    <w:rsid w:val="00C20F72"/>
    <w:rsid w:val="00C21C3C"/>
    <w:rsid w:val="00C25875"/>
    <w:rsid w:val="00C35DB1"/>
    <w:rsid w:val="00C4018B"/>
    <w:rsid w:val="00C63DE3"/>
    <w:rsid w:val="00C64C27"/>
    <w:rsid w:val="00C75676"/>
    <w:rsid w:val="00C80A34"/>
    <w:rsid w:val="00C817D2"/>
    <w:rsid w:val="00C87EBB"/>
    <w:rsid w:val="00C92152"/>
    <w:rsid w:val="00C927A7"/>
    <w:rsid w:val="00C93850"/>
    <w:rsid w:val="00C96218"/>
    <w:rsid w:val="00CA2641"/>
    <w:rsid w:val="00CA41FC"/>
    <w:rsid w:val="00CA4312"/>
    <w:rsid w:val="00CB27B0"/>
    <w:rsid w:val="00CD1A3A"/>
    <w:rsid w:val="00CD6456"/>
    <w:rsid w:val="00CF18E4"/>
    <w:rsid w:val="00CF252C"/>
    <w:rsid w:val="00D01769"/>
    <w:rsid w:val="00D01E94"/>
    <w:rsid w:val="00D2161F"/>
    <w:rsid w:val="00D27ECA"/>
    <w:rsid w:val="00D448EA"/>
    <w:rsid w:val="00D53607"/>
    <w:rsid w:val="00D61FC0"/>
    <w:rsid w:val="00D7062E"/>
    <w:rsid w:val="00D77125"/>
    <w:rsid w:val="00D83E5F"/>
    <w:rsid w:val="00D8652E"/>
    <w:rsid w:val="00DA4CBD"/>
    <w:rsid w:val="00DA5FD3"/>
    <w:rsid w:val="00DB1402"/>
    <w:rsid w:val="00DC2F11"/>
    <w:rsid w:val="00DE7BE9"/>
    <w:rsid w:val="00E26B27"/>
    <w:rsid w:val="00E3246B"/>
    <w:rsid w:val="00E33EB9"/>
    <w:rsid w:val="00E56D7F"/>
    <w:rsid w:val="00E610F0"/>
    <w:rsid w:val="00E671C6"/>
    <w:rsid w:val="00E91B85"/>
    <w:rsid w:val="00E927EB"/>
    <w:rsid w:val="00EA01B8"/>
    <w:rsid w:val="00EA6A92"/>
    <w:rsid w:val="00EB1ED4"/>
    <w:rsid w:val="00EB605B"/>
    <w:rsid w:val="00EC1190"/>
    <w:rsid w:val="00EE5244"/>
    <w:rsid w:val="00F068C2"/>
    <w:rsid w:val="00F13DB5"/>
    <w:rsid w:val="00F149CA"/>
    <w:rsid w:val="00F25108"/>
    <w:rsid w:val="00F421EE"/>
    <w:rsid w:val="00F43436"/>
    <w:rsid w:val="00F45162"/>
    <w:rsid w:val="00F641DA"/>
    <w:rsid w:val="00F76EC5"/>
    <w:rsid w:val="00FA23CF"/>
    <w:rsid w:val="00FA3238"/>
    <w:rsid w:val="00FB1F96"/>
    <w:rsid w:val="00FC3FE1"/>
    <w:rsid w:val="00FD3F42"/>
    <w:rsid w:val="00FD560B"/>
    <w:rsid w:val="00FD716C"/>
    <w:rsid w:val="00FE5AC5"/>
    <w:rsid w:val="00FF4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6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163"/>
    <w:rPr>
      <w:sz w:val="20"/>
      <w:szCs w:val="20"/>
    </w:rPr>
  </w:style>
  <w:style w:type="character" w:styleId="FootnoteReference">
    <w:name w:val="footnote reference"/>
    <w:basedOn w:val="DefaultParagraphFont"/>
    <w:uiPriority w:val="99"/>
    <w:semiHidden/>
    <w:unhideWhenUsed/>
    <w:rsid w:val="00796163"/>
    <w:rPr>
      <w:vertAlign w:val="superscript"/>
    </w:rPr>
  </w:style>
  <w:style w:type="character" w:styleId="Hyperlink">
    <w:name w:val="Hyperlink"/>
    <w:basedOn w:val="DefaultParagraphFont"/>
    <w:uiPriority w:val="99"/>
    <w:unhideWhenUsed/>
    <w:rsid w:val="004C5292"/>
    <w:rPr>
      <w:color w:val="0000FF" w:themeColor="hyperlink"/>
      <w:u w:val="single"/>
    </w:rPr>
  </w:style>
  <w:style w:type="character" w:styleId="CommentReference">
    <w:name w:val="annotation reference"/>
    <w:basedOn w:val="DefaultParagraphFont"/>
    <w:uiPriority w:val="99"/>
    <w:semiHidden/>
    <w:unhideWhenUsed/>
    <w:rsid w:val="00663D6B"/>
    <w:rPr>
      <w:sz w:val="16"/>
      <w:szCs w:val="16"/>
    </w:rPr>
  </w:style>
  <w:style w:type="paragraph" w:styleId="CommentText">
    <w:name w:val="annotation text"/>
    <w:basedOn w:val="Normal"/>
    <w:link w:val="CommentTextChar"/>
    <w:uiPriority w:val="99"/>
    <w:semiHidden/>
    <w:unhideWhenUsed/>
    <w:rsid w:val="00663D6B"/>
    <w:pPr>
      <w:spacing w:line="240" w:lineRule="auto"/>
    </w:pPr>
    <w:rPr>
      <w:sz w:val="20"/>
      <w:szCs w:val="20"/>
    </w:rPr>
  </w:style>
  <w:style w:type="character" w:customStyle="1" w:styleId="CommentTextChar">
    <w:name w:val="Comment Text Char"/>
    <w:basedOn w:val="DefaultParagraphFont"/>
    <w:link w:val="CommentText"/>
    <w:uiPriority w:val="99"/>
    <w:semiHidden/>
    <w:rsid w:val="00663D6B"/>
    <w:rPr>
      <w:sz w:val="20"/>
      <w:szCs w:val="20"/>
    </w:rPr>
  </w:style>
  <w:style w:type="paragraph" w:styleId="CommentSubject">
    <w:name w:val="annotation subject"/>
    <w:basedOn w:val="CommentText"/>
    <w:next w:val="CommentText"/>
    <w:link w:val="CommentSubjectChar"/>
    <w:uiPriority w:val="99"/>
    <w:semiHidden/>
    <w:unhideWhenUsed/>
    <w:rsid w:val="00663D6B"/>
    <w:rPr>
      <w:b/>
      <w:bCs/>
    </w:rPr>
  </w:style>
  <w:style w:type="character" w:customStyle="1" w:styleId="CommentSubjectChar">
    <w:name w:val="Comment Subject Char"/>
    <w:basedOn w:val="CommentTextChar"/>
    <w:link w:val="CommentSubject"/>
    <w:uiPriority w:val="99"/>
    <w:semiHidden/>
    <w:rsid w:val="00663D6B"/>
    <w:rPr>
      <w:b/>
      <w:bCs/>
      <w:sz w:val="20"/>
      <w:szCs w:val="20"/>
    </w:rPr>
  </w:style>
  <w:style w:type="paragraph" w:styleId="BalloonText">
    <w:name w:val="Balloon Text"/>
    <w:basedOn w:val="Normal"/>
    <w:link w:val="BalloonTextChar"/>
    <w:uiPriority w:val="99"/>
    <w:semiHidden/>
    <w:unhideWhenUsed/>
    <w:rsid w:val="0066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61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163"/>
    <w:rPr>
      <w:sz w:val="20"/>
      <w:szCs w:val="20"/>
    </w:rPr>
  </w:style>
  <w:style w:type="character" w:styleId="FootnoteReference">
    <w:name w:val="footnote reference"/>
    <w:basedOn w:val="DefaultParagraphFont"/>
    <w:uiPriority w:val="99"/>
    <w:semiHidden/>
    <w:unhideWhenUsed/>
    <w:rsid w:val="00796163"/>
    <w:rPr>
      <w:vertAlign w:val="superscript"/>
    </w:rPr>
  </w:style>
  <w:style w:type="character" w:styleId="Hyperlink">
    <w:name w:val="Hyperlink"/>
    <w:basedOn w:val="DefaultParagraphFont"/>
    <w:uiPriority w:val="99"/>
    <w:unhideWhenUsed/>
    <w:rsid w:val="004C5292"/>
    <w:rPr>
      <w:color w:val="0000FF" w:themeColor="hyperlink"/>
      <w:u w:val="single"/>
    </w:rPr>
  </w:style>
  <w:style w:type="character" w:styleId="CommentReference">
    <w:name w:val="annotation reference"/>
    <w:basedOn w:val="DefaultParagraphFont"/>
    <w:uiPriority w:val="99"/>
    <w:semiHidden/>
    <w:unhideWhenUsed/>
    <w:rsid w:val="00663D6B"/>
    <w:rPr>
      <w:sz w:val="16"/>
      <w:szCs w:val="16"/>
    </w:rPr>
  </w:style>
  <w:style w:type="paragraph" w:styleId="CommentText">
    <w:name w:val="annotation text"/>
    <w:basedOn w:val="Normal"/>
    <w:link w:val="CommentTextChar"/>
    <w:uiPriority w:val="99"/>
    <w:semiHidden/>
    <w:unhideWhenUsed/>
    <w:rsid w:val="00663D6B"/>
    <w:pPr>
      <w:spacing w:line="240" w:lineRule="auto"/>
    </w:pPr>
    <w:rPr>
      <w:sz w:val="20"/>
      <w:szCs w:val="20"/>
    </w:rPr>
  </w:style>
  <w:style w:type="character" w:customStyle="1" w:styleId="CommentTextChar">
    <w:name w:val="Comment Text Char"/>
    <w:basedOn w:val="DefaultParagraphFont"/>
    <w:link w:val="CommentText"/>
    <w:uiPriority w:val="99"/>
    <w:semiHidden/>
    <w:rsid w:val="00663D6B"/>
    <w:rPr>
      <w:sz w:val="20"/>
      <w:szCs w:val="20"/>
    </w:rPr>
  </w:style>
  <w:style w:type="paragraph" w:styleId="CommentSubject">
    <w:name w:val="annotation subject"/>
    <w:basedOn w:val="CommentText"/>
    <w:next w:val="CommentText"/>
    <w:link w:val="CommentSubjectChar"/>
    <w:uiPriority w:val="99"/>
    <w:semiHidden/>
    <w:unhideWhenUsed/>
    <w:rsid w:val="00663D6B"/>
    <w:rPr>
      <w:b/>
      <w:bCs/>
    </w:rPr>
  </w:style>
  <w:style w:type="character" w:customStyle="1" w:styleId="CommentSubjectChar">
    <w:name w:val="Comment Subject Char"/>
    <w:basedOn w:val="CommentTextChar"/>
    <w:link w:val="CommentSubject"/>
    <w:uiPriority w:val="99"/>
    <w:semiHidden/>
    <w:rsid w:val="00663D6B"/>
    <w:rPr>
      <w:b/>
      <w:bCs/>
      <w:sz w:val="20"/>
      <w:szCs w:val="20"/>
    </w:rPr>
  </w:style>
  <w:style w:type="paragraph" w:styleId="BalloonText">
    <w:name w:val="Balloon Text"/>
    <w:basedOn w:val="Normal"/>
    <w:link w:val="BalloonTextChar"/>
    <w:uiPriority w:val="99"/>
    <w:semiHidden/>
    <w:unhideWhenUsed/>
    <w:rsid w:val="0066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9908">
      <w:bodyDiv w:val="1"/>
      <w:marLeft w:val="0"/>
      <w:marRight w:val="0"/>
      <w:marTop w:val="0"/>
      <w:marBottom w:val="0"/>
      <w:divBdr>
        <w:top w:val="none" w:sz="0" w:space="0" w:color="auto"/>
        <w:left w:val="none" w:sz="0" w:space="0" w:color="auto"/>
        <w:bottom w:val="none" w:sz="0" w:space="0" w:color="auto"/>
        <w:right w:val="none" w:sz="0" w:space="0" w:color="auto"/>
      </w:divBdr>
      <w:divsChild>
        <w:div w:id="1415932766">
          <w:marLeft w:val="0"/>
          <w:marRight w:val="0"/>
          <w:marTop w:val="0"/>
          <w:marBottom w:val="0"/>
          <w:divBdr>
            <w:top w:val="none" w:sz="0" w:space="0" w:color="auto"/>
            <w:left w:val="none" w:sz="0" w:space="0" w:color="auto"/>
            <w:bottom w:val="none" w:sz="0" w:space="0" w:color="auto"/>
            <w:right w:val="none" w:sz="0" w:space="0" w:color="auto"/>
          </w:divBdr>
        </w:div>
        <w:div w:id="585236696">
          <w:marLeft w:val="0"/>
          <w:marRight w:val="0"/>
          <w:marTop w:val="0"/>
          <w:marBottom w:val="0"/>
          <w:divBdr>
            <w:top w:val="none" w:sz="0" w:space="0" w:color="auto"/>
            <w:left w:val="none" w:sz="0" w:space="0" w:color="auto"/>
            <w:bottom w:val="none" w:sz="0" w:space="0" w:color="auto"/>
            <w:right w:val="none" w:sz="0" w:space="0" w:color="auto"/>
          </w:divBdr>
        </w:div>
        <w:div w:id="1956281814">
          <w:marLeft w:val="0"/>
          <w:marRight w:val="0"/>
          <w:marTop w:val="0"/>
          <w:marBottom w:val="0"/>
          <w:divBdr>
            <w:top w:val="none" w:sz="0" w:space="0" w:color="auto"/>
            <w:left w:val="none" w:sz="0" w:space="0" w:color="auto"/>
            <w:bottom w:val="none" w:sz="0" w:space="0" w:color="auto"/>
            <w:right w:val="none" w:sz="0" w:space="0" w:color="auto"/>
          </w:divBdr>
        </w:div>
        <w:div w:id="744375861">
          <w:marLeft w:val="0"/>
          <w:marRight w:val="0"/>
          <w:marTop w:val="0"/>
          <w:marBottom w:val="0"/>
          <w:divBdr>
            <w:top w:val="none" w:sz="0" w:space="0" w:color="auto"/>
            <w:left w:val="none" w:sz="0" w:space="0" w:color="auto"/>
            <w:bottom w:val="none" w:sz="0" w:space="0" w:color="auto"/>
            <w:right w:val="none" w:sz="0" w:space="0" w:color="auto"/>
          </w:divBdr>
        </w:div>
        <w:div w:id="40323902">
          <w:marLeft w:val="0"/>
          <w:marRight w:val="0"/>
          <w:marTop w:val="0"/>
          <w:marBottom w:val="0"/>
          <w:divBdr>
            <w:top w:val="none" w:sz="0" w:space="0" w:color="auto"/>
            <w:left w:val="none" w:sz="0" w:space="0" w:color="auto"/>
            <w:bottom w:val="none" w:sz="0" w:space="0" w:color="auto"/>
            <w:right w:val="none" w:sz="0" w:space="0" w:color="auto"/>
          </w:divBdr>
        </w:div>
        <w:div w:id="41721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2F6D-A044-447B-AAAD-F6F51AC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10890</Words>
  <Characters>59897</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ITS_ALIVE</dc:creator>
  <cp:lastModifiedBy>ITS_ALIVE</cp:lastModifiedBy>
  <cp:revision>2</cp:revision>
  <dcterms:created xsi:type="dcterms:W3CDTF">2015-06-05T17:44:00Z</dcterms:created>
  <dcterms:modified xsi:type="dcterms:W3CDTF">2015-06-05T17:44:00Z</dcterms:modified>
</cp:coreProperties>
</file>