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46357327" w:displacedByCustomXml="next"/>
    <w:sdt>
      <w:sdtPr>
        <w:id w:val="13376564"/>
        <w:docPartObj>
          <w:docPartGallery w:val="Cover Pages"/>
          <w:docPartUnique/>
        </w:docPartObj>
      </w:sdtPr>
      <w:sdtEndPr>
        <w:rPr>
          <w:b/>
          <w:bCs/>
          <w:i/>
          <w:iCs/>
          <w:sz w:val="24"/>
          <w:szCs w:val="24"/>
        </w:rPr>
      </w:sdtEndPr>
      <w:sdtContent>
        <w:p w:rsidR="00961905" w:rsidRDefault="00836C71">
          <w:r>
            <w:rPr>
              <w:noProof/>
            </w:rPr>
            <w:pict>
              <v:group id="_x0000_s1067" style="position:absolute;margin-left:1.1pt;margin-top:0;width:595.3pt;height:728.45pt;z-index:251678720;mso-width-percent:1000;mso-height-percent:1000;mso-position-horizontal-relative:page;mso-position-vertical-relative:margin;mso-width-percent:1000;mso-height-percent:1000;mso-height-relative:margin" coordorigin=",1440" coordsize="12239,12960" o:allowincell="f">
                <v:group id="_x0000_s106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69" style="position:absolute;left:-6;top:3717;width:12189;height:3550" coordorigin="18,7468" coordsize="12189,3550">
                    <v:shape id="_x0000_s1070" style="position:absolute;left:18;top:7837;width:7132;height:2863;mso-width-relative:page;mso-height-relative:page" coordsize="7132,2863" path="m,l17,2863,7132,2578r,-2378l,xe" fillcolor="#f19f82 [1620]" stroked="f">
                      <v:fill opacity=".5"/>
                      <v:path arrowok="t"/>
                    </v:shape>
                    <v:shape id="_x0000_s1071" style="position:absolute;left:7150;top:7468;width:3466;height:3550;mso-width-relative:page;mso-height-relative:page" coordsize="3466,3550" path="m,569l,2930r3466,620l3466,,,569xe" fillcolor="#f8cfc1 [820]" stroked="f">
                      <v:fill opacity=".5"/>
                      <v:path arrowok="t"/>
                    </v:shape>
                    <v:shape id="_x0000_s1072" style="position:absolute;left:10616;top:7468;width:1591;height:3550;mso-width-relative:page;mso-height-relative:page" coordsize="1591,3550" path="m,l,3550,1591,2746r,-2009l,xe" fillcolor="#f19f82 [1620]" stroked="f">
                      <v:fill opacity=".5"/>
                      <v:path arrowok="t"/>
                    </v:shape>
                  </v:group>
                  <v:shape id="_x0000_s1073" style="position:absolute;left:8071;top:4069;width:4120;height:2913;mso-width-relative:page;mso-height-relative:page" coordsize="4120,2913" path="m1,251l,2662r4120,251l4120,,1,251xe" fillcolor="#d8d8d8 [2732]" stroked="f">
                    <v:path arrowok="t"/>
                  </v:shape>
                  <v:shape id="_x0000_s1074" style="position:absolute;left:4104;top:3399;width:3985;height:4236;mso-width-relative:page;mso-height-relative:page" coordsize="3985,4236" path="m,l,4236,3985,3349r,-2428l,xe" fillcolor="#bfbfbf [2412]" stroked="f">
                    <v:path arrowok="t"/>
                  </v:shape>
                  <v:shape id="_x0000_s1075" style="position:absolute;left:18;top:3399;width:4086;height:4253;mso-width-relative:page;mso-height-relative:page" coordsize="4086,4253" path="m4086,r-2,4253l,3198,,1072,4086,xe" fillcolor="#d8d8d8 [2732]" stroked="f">
                    <v:path arrowok="t"/>
                  </v:shape>
                  <v:shape id="_x0000_s1076" style="position:absolute;left:17;top:3617;width:2076;height:3851;mso-width-relative:page;mso-height-relative:page" coordsize="2076,3851" path="m,921l2060,r16,3851l,2981,,921xe" fillcolor="#f8cfc1 [820]" stroked="f">
                    <v:fill opacity="45875f"/>
                    <v:path arrowok="t"/>
                  </v:shape>
                  <v:shape id="_x0000_s1077" style="position:absolute;left:2077;top:3617;width:6011;height:3835;mso-width-relative:page;mso-height-relative:page" coordsize="6011,3835" path="m,l17,3835,6011,2629r,-1390l,xe" fillcolor="#f19f82 [1620]" stroked="f">
                    <v:fill opacity="45875f"/>
                    <v:path arrowok="t"/>
                  </v:shape>
                  <v:shape id="_x0000_s1078" style="position:absolute;left:8088;top:3835;width:4102;height:3432;mso-width-relative:page;mso-height-relative:page" coordsize="4102,3432" path="m,1038l,2411,4102,3432,4102,,,1038xe" fillcolor="#f8cfc1 [820]" stroked="f">
                    <v:fill opacity="45875f"/>
                    <v:path arrowok="t"/>
                  </v:shape>
                </v:group>
                <v:rect id="_x0000_s1079" style="position:absolute;left:1800;top:1440;width:8638;height:827;mso-width-percent:1000;mso-position-horizontal:center;mso-position-horizontal-relative:margin;mso-position-vertical:top;mso-position-vertical-relative:margin;mso-width-percent:1000;mso-width-relative:margin;mso-height-relative:margin" filled="f" stroked="f">
                  <v:textbox style="mso-next-textbox:#_x0000_s1079;mso-fit-shape-to-text:t">
                    <w:txbxContent>
                      <w:sdt>
                        <w:sdtPr>
                          <w:rPr>
                            <w:b/>
                            <w:bCs/>
                            <w:color w:val="808080" w:themeColor="text1" w:themeTint="7F"/>
                            <w:sz w:val="28"/>
                            <w:szCs w:val="28"/>
                          </w:rPr>
                          <w:alias w:val="Bedrijf"/>
                          <w:id w:val="13376599"/>
                          <w:placeholder>
                            <w:docPart w:val="C3F221976665425590D5649303B4A9D3"/>
                          </w:placeholder>
                          <w:dataBinding w:prefixMappings="xmlns:ns0='http://schemas.openxmlformats.org/officeDocument/2006/extended-properties'" w:xpath="/ns0:Properties[1]/ns0:Company[1]" w:storeItemID="{6668398D-A668-4E3E-A5EB-62B293D839F1}"/>
                          <w:text/>
                        </w:sdtPr>
                        <w:sdtContent>
                          <w:p w:rsidR="00961905" w:rsidRPr="00895872" w:rsidRDefault="0047677F">
                            <w:pPr>
                              <w:spacing w:after="0"/>
                              <w:rPr>
                                <w:b/>
                                <w:bCs/>
                                <w:color w:val="808080" w:themeColor="text1" w:themeTint="7F"/>
                                <w:sz w:val="28"/>
                                <w:szCs w:val="28"/>
                              </w:rPr>
                            </w:pPr>
                            <w:r w:rsidRPr="00895872">
                              <w:rPr>
                                <w:b/>
                                <w:bCs/>
                                <w:color w:val="808080" w:themeColor="text1" w:themeTint="7F"/>
                                <w:sz w:val="28"/>
                                <w:szCs w:val="28"/>
                              </w:rPr>
                              <w:t>BA Eindwerkstuk Communicatie- en Informatiewetenschappen</w:t>
                            </w:r>
                          </w:p>
                        </w:sdtContent>
                      </w:sdt>
                      <w:p w:rsidR="00961905" w:rsidRPr="00895872" w:rsidRDefault="0047677F">
                        <w:pPr>
                          <w:spacing w:after="0"/>
                          <w:rPr>
                            <w:b/>
                            <w:bCs/>
                            <w:color w:val="808080" w:themeColor="text1" w:themeTint="7F"/>
                            <w:sz w:val="28"/>
                            <w:szCs w:val="28"/>
                          </w:rPr>
                        </w:pPr>
                        <w:r w:rsidRPr="00895872">
                          <w:rPr>
                            <w:b/>
                            <w:bCs/>
                            <w:color w:val="808080" w:themeColor="text1" w:themeTint="7F"/>
                            <w:sz w:val="28"/>
                            <w:szCs w:val="28"/>
                          </w:rPr>
                          <w:t>Universiteit Utrecht</w:t>
                        </w:r>
                      </w:p>
                    </w:txbxContent>
                  </v:textbox>
                </v:rect>
                <v:rect id="_x0000_s1080" style="position:absolute;left:6494;top:11160;width:4998;height:1026;mso-position-horizontal-relative:margin;mso-position-vertical-relative:margin" filled="f" stroked="f">
                  <v:textbox style="mso-next-textbox:#_x0000_s1080;mso-fit-shape-to-text:t">
                    <w:txbxContent>
                      <w:sdt>
                        <w:sdtPr>
                          <w:rPr>
                            <w:rFonts w:asciiTheme="majorHAnsi" w:hAnsiTheme="majorHAnsi"/>
                            <w:sz w:val="20"/>
                            <w:szCs w:val="20"/>
                          </w:rPr>
                          <w:alias w:val="Jaar"/>
                          <w:id w:val="13376600"/>
                          <w:placeholder>
                            <w:docPart w:val="260B22CC487B4988AAFCEE26288C82A8"/>
                          </w:placeholder>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Content>
                          <w:p w:rsidR="00961905" w:rsidRDefault="0047677F">
                            <w:pPr>
                              <w:jc w:val="right"/>
                              <w:rPr>
                                <w:sz w:val="96"/>
                                <w:szCs w:val="96"/>
                              </w:rPr>
                            </w:pPr>
                            <w:r w:rsidRPr="00A242A4">
                              <w:rPr>
                                <w:rFonts w:asciiTheme="majorHAnsi" w:hAnsiTheme="majorHAnsi"/>
                                <w:sz w:val="20"/>
                                <w:szCs w:val="20"/>
                              </w:rPr>
                              <w:t>Stude</w:t>
                            </w:r>
                            <w:r w:rsidR="00895872" w:rsidRPr="00A242A4">
                              <w:rPr>
                                <w:rFonts w:asciiTheme="majorHAnsi" w:hAnsiTheme="majorHAnsi"/>
                                <w:sz w:val="20"/>
                                <w:szCs w:val="20"/>
                              </w:rPr>
                              <w:t>nt</w:t>
                            </w:r>
                            <w:r w:rsidR="00A242A4">
                              <w:rPr>
                                <w:rFonts w:asciiTheme="majorHAnsi" w:hAnsiTheme="majorHAnsi"/>
                                <w:sz w:val="20"/>
                                <w:szCs w:val="20"/>
                              </w:rPr>
                              <w:t xml:space="preserve">nummer: </w:t>
                            </w:r>
                            <w:r w:rsidRPr="00A242A4">
                              <w:rPr>
                                <w:rFonts w:asciiTheme="majorHAnsi" w:hAnsiTheme="majorHAnsi"/>
                                <w:sz w:val="20"/>
                                <w:szCs w:val="20"/>
                              </w:rPr>
                              <w:t>3642887</w:t>
                            </w:r>
                            <w:r w:rsidR="00895872" w:rsidRPr="00A242A4">
                              <w:rPr>
                                <w:rFonts w:asciiTheme="majorHAnsi" w:hAnsiTheme="majorHAnsi"/>
                                <w:sz w:val="20"/>
                                <w:szCs w:val="20"/>
                              </w:rPr>
                              <w:t xml:space="preserve"> m.b.c.braat@students.uu.nl                                                        Docent: D.M.L.</w:t>
                            </w:r>
                            <w:r w:rsidR="00A242A4" w:rsidRPr="00A242A4">
                              <w:rPr>
                                <w:rFonts w:asciiTheme="majorHAnsi" w:hAnsiTheme="majorHAnsi"/>
                                <w:sz w:val="20"/>
                                <w:szCs w:val="20"/>
                              </w:rPr>
                              <w:t xml:space="preserve"> </w:t>
                            </w:r>
                            <w:r w:rsidR="00895872" w:rsidRPr="00A242A4">
                              <w:rPr>
                                <w:rFonts w:asciiTheme="majorHAnsi" w:hAnsiTheme="majorHAnsi"/>
                                <w:sz w:val="20"/>
                                <w:szCs w:val="20"/>
                              </w:rPr>
                              <w:t xml:space="preserve">Janssen </w:t>
                            </w:r>
                          </w:p>
                        </w:sdtContent>
                      </w:sdt>
                    </w:txbxContent>
                  </v:textbox>
                </v:rect>
                <v:rect id="_x0000_s108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81">
                    <w:txbxContent>
                      <w:sdt>
                        <w:sdtPr>
                          <w:rPr>
                            <w:b/>
                            <w:bCs/>
                            <w:color w:val="696464" w:themeColor="text2"/>
                            <w:sz w:val="64"/>
                            <w:szCs w:val="64"/>
                          </w:rPr>
                          <w:alias w:val="Titel"/>
                          <w:id w:val="13376601"/>
                          <w:placeholder>
                            <w:docPart w:val="9893DF0B4D404773AAD014E4805EFEB7"/>
                          </w:placeholder>
                          <w:dataBinding w:prefixMappings="xmlns:ns0='http://schemas.openxmlformats.org/package/2006/metadata/core-properties' xmlns:ns1='http://purl.org/dc/elements/1.1/'" w:xpath="/ns0:coreProperties[1]/ns1:title[1]" w:storeItemID="{6C3C8BC8-F283-45AE-878A-BAB7291924A1}"/>
                          <w:text/>
                        </w:sdtPr>
                        <w:sdtContent>
                          <w:p w:rsidR="00961905" w:rsidRDefault="00895872">
                            <w:pPr>
                              <w:spacing w:after="0"/>
                              <w:rPr>
                                <w:b/>
                                <w:bCs/>
                                <w:color w:val="696464" w:themeColor="text2"/>
                                <w:sz w:val="72"/>
                                <w:szCs w:val="72"/>
                              </w:rPr>
                            </w:pPr>
                            <w:r w:rsidRPr="00895872">
                              <w:rPr>
                                <w:b/>
                                <w:bCs/>
                                <w:color w:val="696464" w:themeColor="text2"/>
                                <w:sz w:val="64"/>
                                <w:szCs w:val="64"/>
                              </w:rPr>
                              <w:t xml:space="preserve">“Uit onderzoek is </w:t>
                            </w:r>
                            <w:r w:rsidR="00961905" w:rsidRPr="00895872">
                              <w:rPr>
                                <w:b/>
                                <w:bCs/>
                                <w:color w:val="696464" w:themeColor="text2"/>
                                <w:sz w:val="64"/>
                                <w:szCs w:val="64"/>
                              </w:rPr>
                              <w:t>gebleken..”</w:t>
                            </w:r>
                          </w:p>
                        </w:sdtContent>
                      </w:sdt>
                      <w:sdt>
                        <w:sdtPr>
                          <w:rPr>
                            <w:b/>
                            <w:bCs/>
                            <w:color w:val="D34817" w:themeColor="accent1"/>
                            <w:sz w:val="34"/>
                            <w:szCs w:val="34"/>
                          </w:rPr>
                          <w:alias w:val="Ondertitel"/>
                          <w:id w:val="13376602"/>
                          <w:placeholder>
                            <w:docPart w:val="3CD318E3507F4DEB8731A2D7F00F2D5C"/>
                          </w:placeholder>
                          <w:dataBinding w:prefixMappings="xmlns:ns0='http://schemas.openxmlformats.org/package/2006/metadata/core-properties' xmlns:ns1='http://purl.org/dc/elements/1.1/'" w:xpath="/ns0:coreProperties[1]/ns1:subject[1]" w:storeItemID="{6C3C8BC8-F283-45AE-878A-BAB7291924A1}"/>
                          <w:text/>
                        </w:sdtPr>
                        <w:sdtContent>
                          <w:p w:rsidR="00961905" w:rsidRDefault="00961905">
                            <w:pPr>
                              <w:rPr>
                                <w:b/>
                                <w:bCs/>
                                <w:color w:val="D34817" w:themeColor="accent1"/>
                                <w:sz w:val="40"/>
                                <w:szCs w:val="40"/>
                              </w:rPr>
                            </w:pPr>
                            <w:r w:rsidRPr="00895872">
                              <w:rPr>
                                <w:b/>
                                <w:bCs/>
                                <w:color w:val="D34817" w:themeColor="accent1"/>
                                <w:sz w:val="34"/>
                                <w:szCs w:val="34"/>
                              </w:rPr>
                              <w:t>Een experimenteel onderzoek naar de overtuigingskracht van verschillende typen evidentie</w:t>
                            </w:r>
                          </w:p>
                        </w:sdtContent>
                      </w:sdt>
                      <w:sdt>
                        <w:sdtPr>
                          <w:rPr>
                            <w:b/>
                            <w:bCs/>
                            <w:color w:val="808080" w:themeColor="text1" w:themeTint="7F"/>
                            <w:sz w:val="28"/>
                            <w:szCs w:val="28"/>
                          </w:rPr>
                          <w:alias w:val="Auteur"/>
                          <w:id w:val="13376603"/>
                          <w:placeholder>
                            <w:docPart w:val="DB197D219F474329820C0D80FB05280E"/>
                          </w:placeholder>
                          <w:dataBinding w:prefixMappings="xmlns:ns0='http://schemas.openxmlformats.org/package/2006/metadata/core-properties' xmlns:ns1='http://purl.org/dc/elements/1.1/'" w:xpath="/ns0:coreProperties[1]/ns1:creator[1]" w:storeItemID="{6C3C8BC8-F283-45AE-878A-BAB7291924A1}"/>
                          <w:text/>
                        </w:sdtPr>
                        <w:sdtContent>
                          <w:p w:rsidR="00961905" w:rsidRDefault="00961905">
                            <w:pPr>
                              <w:rPr>
                                <w:b/>
                                <w:bCs/>
                                <w:color w:val="808080" w:themeColor="text1" w:themeTint="7F"/>
                                <w:sz w:val="32"/>
                                <w:szCs w:val="32"/>
                              </w:rPr>
                            </w:pPr>
                            <w:r w:rsidRPr="00895872">
                              <w:rPr>
                                <w:b/>
                                <w:bCs/>
                                <w:color w:val="808080" w:themeColor="text1" w:themeTint="7F"/>
                                <w:sz w:val="28"/>
                                <w:szCs w:val="28"/>
                              </w:rPr>
                              <w:t>Door: Manon Braat</w:t>
                            </w:r>
                          </w:p>
                        </w:sdtContent>
                      </w:sdt>
                      <w:p w:rsidR="00961905" w:rsidRDefault="00961905">
                        <w:pPr>
                          <w:rPr>
                            <w:b/>
                            <w:bCs/>
                            <w:color w:val="808080" w:themeColor="text1" w:themeTint="7F"/>
                            <w:sz w:val="32"/>
                            <w:szCs w:val="32"/>
                          </w:rPr>
                        </w:pPr>
                      </w:p>
                    </w:txbxContent>
                  </v:textbox>
                </v:rect>
                <w10:wrap anchorx="page" anchory="margin"/>
              </v:group>
            </w:pict>
          </w:r>
        </w:p>
        <w:p w:rsidR="00961905" w:rsidRDefault="00961905"/>
        <w:p w:rsidR="00961905" w:rsidRDefault="00961905">
          <w:pPr>
            <w:rPr>
              <w:i/>
              <w:iCs/>
              <w:color w:val="D34817" w:themeColor="accent1"/>
              <w:sz w:val="24"/>
              <w:szCs w:val="24"/>
            </w:rPr>
          </w:pPr>
          <w:r>
            <w:rPr>
              <w:b/>
              <w:bCs/>
              <w:i/>
              <w:iCs/>
              <w:sz w:val="24"/>
              <w:szCs w:val="24"/>
            </w:rPr>
            <w:br w:type="page"/>
          </w:r>
        </w:p>
      </w:sdtContent>
    </w:sdt>
    <w:p w:rsidR="002902C5" w:rsidRDefault="002902C5" w:rsidP="002902C5">
      <w:pPr>
        <w:pStyle w:val="Kop3"/>
        <w:jc w:val="center"/>
        <w:rPr>
          <w:i/>
        </w:rPr>
      </w:pPr>
      <w:bookmarkStart w:id="1" w:name="_Toc346802168"/>
      <w:bookmarkEnd w:id="0"/>
      <w:r w:rsidRPr="00D154E0">
        <w:rPr>
          <w:i/>
        </w:rPr>
        <w:lastRenderedPageBreak/>
        <w:t>Abstract</w:t>
      </w:r>
      <w:bookmarkEnd w:id="1"/>
    </w:p>
    <w:p w:rsidR="002902C5" w:rsidRPr="00D60C1F" w:rsidRDefault="002902C5" w:rsidP="002902C5">
      <w:pPr>
        <w:jc w:val="both"/>
        <w:rPr>
          <w:i/>
          <w:sz w:val="20"/>
          <w:szCs w:val="20"/>
        </w:rPr>
      </w:pPr>
    </w:p>
    <w:p w:rsidR="002902C5" w:rsidRPr="00235B37" w:rsidRDefault="002902C5" w:rsidP="002902C5">
      <w:pPr>
        <w:jc w:val="both"/>
        <w:rPr>
          <w:sz w:val="20"/>
          <w:szCs w:val="20"/>
        </w:rPr>
      </w:pPr>
      <w:r w:rsidRPr="00D60C1F">
        <w:rPr>
          <w:i/>
          <w:sz w:val="20"/>
          <w:szCs w:val="20"/>
        </w:rPr>
        <w:t xml:space="preserve">Dit is een onderzoeksverslag van een experimenteel onderzoek naar overtuigingskracht. </w:t>
      </w:r>
      <w:r w:rsidR="00EC21BE">
        <w:rPr>
          <w:i/>
          <w:sz w:val="20"/>
          <w:szCs w:val="20"/>
        </w:rPr>
        <w:t>In dit onderzoek is h</w:t>
      </w:r>
      <w:r w:rsidRPr="00D60C1F">
        <w:rPr>
          <w:i/>
          <w:sz w:val="20"/>
          <w:szCs w:val="20"/>
        </w:rPr>
        <w:t xml:space="preserve">et effect van </w:t>
      </w:r>
      <w:r w:rsidR="0075779C">
        <w:rPr>
          <w:i/>
          <w:sz w:val="20"/>
          <w:szCs w:val="20"/>
        </w:rPr>
        <w:t xml:space="preserve">de </w:t>
      </w:r>
      <w:r w:rsidRPr="00D60C1F">
        <w:rPr>
          <w:i/>
          <w:sz w:val="20"/>
          <w:szCs w:val="20"/>
        </w:rPr>
        <w:t>bron en</w:t>
      </w:r>
      <w:r w:rsidR="0075779C">
        <w:rPr>
          <w:i/>
          <w:sz w:val="20"/>
          <w:szCs w:val="20"/>
        </w:rPr>
        <w:t xml:space="preserve"> het effect van </w:t>
      </w:r>
      <w:r w:rsidRPr="00D60C1F">
        <w:rPr>
          <w:i/>
          <w:sz w:val="20"/>
          <w:szCs w:val="20"/>
        </w:rPr>
        <w:t>evi</w:t>
      </w:r>
      <w:r w:rsidR="00EC21BE">
        <w:rPr>
          <w:i/>
          <w:sz w:val="20"/>
          <w:szCs w:val="20"/>
        </w:rPr>
        <w:t xml:space="preserve">dentie op overtuigingskracht </w:t>
      </w:r>
      <w:r w:rsidRPr="00D60C1F">
        <w:rPr>
          <w:i/>
          <w:sz w:val="20"/>
          <w:szCs w:val="20"/>
        </w:rPr>
        <w:t xml:space="preserve">onderzocht. De twee typen evidentie die zijn meegenomen in dit onderzoek zijn statistische evidentie en anekdotische evidentie. De onderzoeksvraag van dit onderzoek luidt: Wat is het effect van de bron op de overtuigingskracht van statistische evidentie en van anekdotische evidentie? De twee hypotheses die hierbij opgesteld zijn, zijn: ´Statistische evidentie is overtuigender dan anekdotische evidentie´ en ´geloofwaardigheid van de bron is een voorspeller voor overtuigingskracht´. Er zijn acht video’s </w:t>
      </w:r>
      <w:r w:rsidR="00EC21BE">
        <w:rPr>
          <w:i/>
          <w:sz w:val="20"/>
          <w:szCs w:val="20"/>
        </w:rPr>
        <w:t>opgenomen</w:t>
      </w:r>
      <w:r w:rsidRPr="00D60C1F">
        <w:rPr>
          <w:i/>
          <w:sz w:val="20"/>
          <w:szCs w:val="20"/>
        </w:rPr>
        <w:t xml:space="preserve"> die voorgelegd zijn aan 104 verschillende respondenten. Deze respondenten hebben een vragenlijst ingevuld waarin </w:t>
      </w:r>
      <w:r w:rsidRPr="00013E56">
        <w:rPr>
          <w:i/>
          <w:sz w:val="20"/>
          <w:szCs w:val="20"/>
        </w:rPr>
        <w:t xml:space="preserve">ze een oordeel hebben gegeven over </w:t>
      </w:r>
      <w:r w:rsidR="0075779C">
        <w:rPr>
          <w:i/>
          <w:sz w:val="20"/>
          <w:szCs w:val="20"/>
        </w:rPr>
        <w:t>het standpunt van de bron</w:t>
      </w:r>
      <w:r w:rsidRPr="00013E56">
        <w:rPr>
          <w:i/>
          <w:sz w:val="20"/>
          <w:szCs w:val="20"/>
        </w:rPr>
        <w:t xml:space="preserve">, de kwaliteit van het argument, de </w:t>
      </w:r>
      <w:r w:rsidR="002F1454">
        <w:rPr>
          <w:i/>
          <w:sz w:val="20"/>
          <w:szCs w:val="20"/>
        </w:rPr>
        <w:t>gebruikte evidentie, de geloofwaardigheid van de bron</w:t>
      </w:r>
      <w:r w:rsidRPr="00013E56">
        <w:rPr>
          <w:i/>
          <w:sz w:val="20"/>
          <w:szCs w:val="20"/>
        </w:rPr>
        <w:t xml:space="preserve"> en de aantrekkelijkheid van de bron. Uit de resultaten is gebleken dat de bron geen effect heeft op de overtuigingskracht van het </w:t>
      </w:r>
      <w:r w:rsidR="008B53DD">
        <w:rPr>
          <w:i/>
          <w:sz w:val="20"/>
          <w:szCs w:val="20"/>
        </w:rPr>
        <w:t>type</w:t>
      </w:r>
      <w:r w:rsidRPr="00013E56">
        <w:rPr>
          <w:i/>
          <w:sz w:val="20"/>
          <w:szCs w:val="20"/>
        </w:rPr>
        <w:t xml:space="preserve"> evide</w:t>
      </w:r>
      <w:r>
        <w:rPr>
          <w:i/>
          <w:sz w:val="20"/>
          <w:szCs w:val="20"/>
        </w:rPr>
        <w:t xml:space="preserve">ntie. In alle condities werden </w:t>
      </w:r>
      <w:r w:rsidRPr="00013E56">
        <w:rPr>
          <w:i/>
          <w:sz w:val="20"/>
          <w:szCs w:val="20"/>
        </w:rPr>
        <w:t xml:space="preserve">beide </w:t>
      </w:r>
      <w:r w:rsidR="008B53DD">
        <w:rPr>
          <w:i/>
          <w:sz w:val="20"/>
          <w:szCs w:val="20"/>
        </w:rPr>
        <w:t>typ</w:t>
      </w:r>
      <w:r w:rsidRPr="00013E56">
        <w:rPr>
          <w:i/>
          <w:sz w:val="20"/>
          <w:szCs w:val="20"/>
        </w:rPr>
        <w:t>en evidentie hetzelfde beoordeeld.</w:t>
      </w:r>
      <w:r w:rsidR="00EC21BE">
        <w:rPr>
          <w:i/>
          <w:sz w:val="20"/>
          <w:szCs w:val="20"/>
        </w:rPr>
        <w:t xml:space="preserve"> Statistische evidentie bleek dus ook niet overtuigender te zijn dan anekdotische evidentie, waardoor de eerste hypothese is verworpen. </w:t>
      </w:r>
      <w:r w:rsidR="0075779C">
        <w:rPr>
          <w:i/>
          <w:sz w:val="20"/>
          <w:szCs w:val="20"/>
        </w:rPr>
        <w:t>De tweede hypothese</w:t>
      </w:r>
      <w:r w:rsidR="00EC21BE">
        <w:rPr>
          <w:i/>
          <w:sz w:val="20"/>
          <w:szCs w:val="20"/>
        </w:rPr>
        <w:t xml:space="preserve"> is wel aangenomen: </w:t>
      </w:r>
      <w:r w:rsidRPr="00013E56">
        <w:rPr>
          <w:i/>
          <w:sz w:val="20"/>
          <w:szCs w:val="20"/>
        </w:rPr>
        <w:t>de geloofwaa</w:t>
      </w:r>
      <w:r w:rsidR="00AA7A0A">
        <w:rPr>
          <w:i/>
          <w:sz w:val="20"/>
          <w:szCs w:val="20"/>
        </w:rPr>
        <w:t xml:space="preserve">rdigheid van de bron blijkt </w:t>
      </w:r>
      <w:r w:rsidRPr="00013E56">
        <w:rPr>
          <w:i/>
          <w:sz w:val="20"/>
          <w:szCs w:val="20"/>
        </w:rPr>
        <w:t>een goede voorspeller te zijn voor overtuigingskracht.</w:t>
      </w:r>
      <w:r>
        <w:rPr>
          <w:sz w:val="20"/>
          <w:szCs w:val="20"/>
        </w:rPr>
        <w:t xml:space="preserve"> </w:t>
      </w:r>
    </w:p>
    <w:p w:rsidR="00D154E0" w:rsidRDefault="00D154E0" w:rsidP="00D154E0">
      <w:pPr>
        <w:jc w:val="center"/>
        <w:rPr>
          <w:i/>
          <w:sz w:val="20"/>
          <w:szCs w:val="20"/>
        </w:rPr>
      </w:pPr>
    </w:p>
    <w:p w:rsidR="00D154E0" w:rsidRDefault="00D154E0" w:rsidP="00D154E0">
      <w:pPr>
        <w:jc w:val="center"/>
        <w:rPr>
          <w:i/>
          <w:sz w:val="20"/>
          <w:szCs w:val="20"/>
        </w:rPr>
      </w:pPr>
    </w:p>
    <w:p w:rsidR="00D154E0" w:rsidRDefault="00D154E0"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p w:rsidR="00131224" w:rsidRDefault="00131224" w:rsidP="00D154E0">
      <w:pPr>
        <w:jc w:val="center"/>
        <w:rPr>
          <w:i/>
          <w:sz w:val="20"/>
          <w:szCs w:val="20"/>
        </w:rPr>
      </w:pPr>
    </w:p>
    <w:sdt>
      <w:sdtPr>
        <w:rPr>
          <w:rFonts w:asciiTheme="minorHAnsi" w:eastAsiaTheme="minorHAnsi" w:hAnsiTheme="minorHAnsi" w:cstheme="minorBidi"/>
          <w:b w:val="0"/>
          <w:bCs w:val="0"/>
          <w:color w:val="auto"/>
          <w:sz w:val="22"/>
          <w:szCs w:val="22"/>
        </w:rPr>
        <w:id w:val="4950567"/>
        <w:docPartObj>
          <w:docPartGallery w:val="Table of Contents"/>
          <w:docPartUnique/>
        </w:docPartObj>
      </w:sdtPr>
      <w:sdtContent>
        <w:p w:rsidR="00131224" w:rsidRDefault="00131224">
          <w:pPr>
            <w:pStyle w:val="Kopvaninhoudsopgave"/>
          </w:pPr>
          <w:r>
            <w:t>Inhoudsopgave</w:t>
          </w:r>
        </w:p>
        <w:p w:rsidR="00D32B8F" w:rsidRPr="005E6EFC" w:rsidRDefault="00D32B8F" w:rsidP="005E6EFC">
          <w:pPr>
            <w:rPr>
              <w:sz w:val="20"/>
              <w:szCs w:val="20"/>
            </w:rPr>
          </w:pPr>
        </w:p>
        <w:p w:rsidR="005E6EFC" w:rsidRPr="005E6EFC" w:rsidRDefault="00836C71" w:rsidP="005E6EFC">
          <w:pPr>
            <w:pStyle w:val="Inhopg3"/>
            <w:tabs>
              <w:tab w:val="right" w:leader="dot" w:pos="9062"/>
            </w:tabs>
            <w:ind w:left="0"/>
            <w:rPr>
              <w:rFonts w:eastAsiaTheme="minorEastAsia"/>
              <w:noProof/>
              <w:sz w:val="20"/>
              <w:szCs w:val="20"/>
              <w:lang w:val="en-US"/>
            </w:rPr>
          </w:pPr>
          <w:r w:rsidRPr="00836C71">
            <w:rPr>
              <w:sz w:val="20"/>
              <w:szCs w:val="20"/>
            </w:rPr>
            <w:fldChar w:fldCharType="begin"/>
          </w:r>
          <w:r w:rsidR="00131224" w:rsidRPr="005E6EFC">
            <w:rPr>
              <w:sz w:val="20"/>
              <w:szCs w:val="20"/>
            </w:rPr>
            <w:instrText xml:space="preserve"> TOC \o "1-3" \h \z \u </w:instrText>
          </w:r>
          <w:r w:rsidRPr="00836C71">
            <w:rPr>
              <w:sz w:val="20"/>
              <w:szCs w:val="20"/>
            </w:rPr>
            <w:fldChar w:fldCharType="separate"/>
          </w:r>
          <w:hyperlink w:anchor="_Toc346802168" w:history="1"/>
        </w:p>
        <w:p w:rsidR="005E6EFC" w:rsidRPr="005E6EFC" w:rsidRDefault="00836C71" w:rsidP="005E6EFC">
          <w:pPr>
            <w:pStyle w:val="Inhopg1"/>
            <w:tabs>
              <w:tab w:val="left" w:pos="440"/>
              <w:tab w:val="right" w:leader="dot" w:pos="9062"/>
            </w:tabs>
            <w:rPr>
              <w:rFonts w:eastAsiaTheme="minorEastAsia"/>
              <w:noProof/>
              <w:sz w:val="20"/>
              <w:szCs w:val="20"/>
              <w:lang w:val="en-US"/>
            </w:rPr>
          </w:pPr>
          <w:hyperlink w:anchor="_Toc346802169" w:history="1">
            <w:r w:rsidR="005E6EFC" w:rsidRPr="005E6EFC">
              <w:rPr>
                <w:rStyle w:val="Hyperlink"/>
                <w:noProof/>
                <w:sz w:val="20"/>
                <w:szCs w:val="20"/>
              </w:rPr>
              <w:t xml:space="preserve">1. </w:t>
            </w:r>
            <w:r w:rsidR="005E6EFC" w:rsidRPr="005E6EFC">
              <w:rPr>
                <w:rFonts w:eastAsiaTheme="minorEastAsia"/>
                <w:noProof/>
                <w:sz w:val="20"/>
                <w:szCs w:val="20"/>
                <w:lang w:val="en-US"/>
              </w:rPr>
              <w:tab/>
            </w:r>
            <w:r w:rsidR="005E6EFC" w:rsidRPr="005E6EFC">
              <w:rPr>
                <w:rStyle w:val="Hyperlink"/>
                <w:noProof/>
                <w:sz w:val="20"/>
                <w:szCs w:val="20"/>
              </w:rPr>
              <w:t>Inleiding</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_Toc346802169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1"/>
            <w:tabs>
              <w:tab w:val="left" w:pos="440"/>
              <w:tab w:val="right" w:leader="dot" w:pos="9062"/>
            </w:tabs>
            <w:rPr>
              <w:rFonts w:eastAsiaTheme="minorEastAsia"/>
              <w:noProof/>
              <w:sz w:val="20"/>
              <w:szCs w:val="20"/>
              <w:lang w:val="en-US"/>
            </w:rPr>
          </w:pPr>
          <w:hyperlink w:anchor="_Toc346802170" w:history="1">
            <w:r w:rsidR="005E6EFC" w:rsidRPr="005E6EFC">
              <w:rPr>
                <w:rStyle w:val="Hyperlink"/>
                <w:noProof/>
                <w:sz w:val="20"/>
                <w:szCs w:val="20"/>
              </w:rPr>
              <w:t>2.</w:t>
            </w:r>
            <w:r w:rsidR="005E6EFC" w:rsidRPr="005E6EFC">
              <w:rPr>
                <w:rFonts w:eastAsiaTheme="minorEastAsia"/>
                <w:noProof/>
                <w:sz w:val="20"/>
                <w:szCs w:val="20"/>
                <w:lang w:val="en-US"/>
              </w:rPr>
              <w:tab/>
            </w:r>
            <w:r w:rsidR="005E6EFC" w:rsidRPr="005E6EFC">
              <w:rPr>
                <w:rStyle w:val="Hyperlink"/>
                <w:noProof/>
                <w:sz w:val="20"/>
                <w:szCs w:val="20"/>
              </w:rPr>
              <w:t>Theoretisch kader</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_Toc346802170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71" w:history="1">
            <w:r w:rsidR="005E6EFC" w:rsidRPr="005E6EFC">
              <w:rPr>
                <w:rStyle w:val="Hyperlink"/>
                <w:noProof/>
                <w:sz w:val="20"/>
                <w:szCs w:val="20"/>
              </w:rPr>
              <w:t xml:space="preserve">2.1 </w:t>
            </w:r>
            <w:r w:rsidR="005E6EFC" w:rsidRPr="005E6EFC">
              <w:rPr>
                <w:rFonts w:eastAsiaTheme="minorEastAsia"/>
                <w:noProof/>
                <w:sz w:val="20"/>
                <w:szCs w:val="20"/>
                <w:lang w:val="en-US"/>
              </w:rPr>
              <w:tab/>
            </w:r>
            <w:r w:rsidR="005E6EFC" w:rsidRPr="005E6EFC">
              <w:rPr>
                <w:rStyle w:val="Hyperlink"/>
                <w:noProof/>
                <w:sz w:val="20"/>
                <w:szCs w:val="20"/>
              </w:rPr>
              <w:t>Effect evidentie op overtuigingskracht</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_Toc346802171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72" w:history="1">
            <w:r w:rsidR="005E6EFC" w:rsidRPr="005E6EFC">
              <w:rPr>
                <w:rStyle w:val="Hyperlink"/>
                <w:noProof/>
                <w:sz w:val="20"/>
                <w:szCs w:val="20"/>
              </w:rPr>
              <w:t xml:space="preserve">2.2 </w:t>
            </w:r>
            <w:r w:rsidR="005E6EFC" w:rsidRPr="005E6EFC">
              <w:rPr>
                <w:rFonts w:eastAsiaTheme="minorEastAsia"/>
                <w:noProof/>
                <w:sz w:val="20"/>
                <w:szCs w:val="20"/>
                <w:lang w:val="en-US"/>
              </w:rPr>
              <w:tab/>
            </w:r>
            <w:r w:rsidR="005E6EFC" w:rsidRPr="005E6EFC">
              <w:rPr>
                <w:rStyle w:val="Hyperlink"/>
                <w:noProof/>
                <w:sz w:val="20"/>
                <w:szCs w:val="20"/>
              </w:rPr>
              <w:t>Effect bron op overtuigingskracht</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_Toc346802172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73" w:history="1">
            <w:r w:rsidR="005E6EFC" w:rsidRPr="005E6EFC">
              <w:rPr>
                <w:rStyle w:val="Hyperlink"/>
                <w:noProof/>
                <w:sz w:val="20"/>
                <w:szCs w:val="20"/>
              </w:rPr>
              <w:t xml:space="preserve">2.3 </w:t>
            </w:r>
            <w:r w:rsidR="005E6EFC" w:rsidRPr="005E6EFC">
              <w:rPr>
                <w:rFonts w:eastAsiaTheme="minorEastAsia"/>
                <w:noProof/>
                <w:sz w:val="20"/>
                <w:szCs w:val="20"/>
                <w:lang w:val="en-US"/>
              </w:rPr>
              <w:tab/>
            </w:r>
            <w:r w:rsidR="005E6EFC" w:rsidRPr="005E6EFC">
              <w:rPr>
                <w:rStyle w:val="Hyperlink"/>
                <w:noProof/>
                <w:sz w:val="20"/>
                <w:szCs w:val="20"/>
              </w:rPr>
              <w:t>Effect van communicatieve modaliteit</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_Toc346802173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74" w:history="1">
            <w:r w:rsidR="005E6EFC" w:rsidRPr="005E6EFC">
              <w:rPr>
                <w:rStyle w:val="Hyperlink"/>
                <w:noProof/>
                <w:sz w:val="20"/>
                <w:szCs w:val="20"/>
              </w:rPr>
              <w:t xml:space="preserve">2.4 </w:t>
            </w:r>
            <w:r w:rsidR="005E6EFC" w:rsidRPr="005E6EFC">
              <w:rPr>
                <w:rFonts w:eastAsiaTheme="minorEastAsia"/>
                <w:noProof/>
                <w:sz w:val="20"/>
                <w:szCs w:val="20"/>
                <w:lang w:val="en-US"/>
              </w:rPr>
              <w:tab/>
            </w:r>
            <w:r w:rsidR="005E6EFC" w:rsidRPr="005E6EFC">
              <w:rPr>
                <w:rStyle w:val="Hyperlink"/>
                <w:noProof/>
                <w:sz w:val="20"/>
                <w:szCs w:val="20"/>
              </w:rPr>
              <w:t>Relevantie onderzoek</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_Toc346802174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75" w:history="1">
            <w:r w:rsidR="005E6EFC" w:rsidRPr="005E6EFC">
              <w:rPr>
                <w:rStyle w:val="Hyperlink"/>
                <w:noProof/>
                <w:sz w:val="20"/>
                <w:szCs w:val="20"/>
              </w:rPr>
              <w:t>2.5</w:t>
            </w:r>
            <w:r w:rsidR="005E6EFC" w:rsidRPr="005E6EFC">
              <w:rPr>
                <w:rFonts w:eastAsiaTheme="minorEastAsia"/>
                <w:noProof/>
                <w:sz w:val="20"/>
                <w:szCs w:val="20"/>
                <w:lang w:val="en-US"/>
              </w:rPr>
              <w:tab/>
            </w:r>
            <w:r w:rsidR="005E6EFC" w:rsidRPr="005E6EFC">
              <w:rPr>
                <w:rStyle w:val="Hyperlink"/>
                <w:noProof/>
                <w:sz w:val="20"/>
                <w:szCs w:val="20"/>
              </w:rPr>
              <w:t xml:space="preserve"> Onderzoeksvraag en hy</w:t>
            </w:r>
            <w:r w:rsidR="00DF2452">
              <w:rPr>
                <w:rStyle w:val="Hyperlink"/>
                <w:noProof/>
                <w:sz w:val="20"/>
                <w:szCs w:val="20"/>
              </w:rPr>
              <w:t>potheses</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_Toc346802175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1"/>
            <w:tabs>
              <w:tab w:val="left" w:pos="440"/>
              <w:tab w:val="right" w:leader="dot" w:pos="9062"/>
            </w:tabs>
            <w:rPr>
              <w:rFonts w:eastAsiaTheme="minorEastAsia"/>
              <w:noProof/>
              <w:sz w:val="20"/>
              <w:szCs w:val="20"/>
              <w:lang w:val="en-US"/>
            </w:rPr>
          </w:pPr>
          <w:hyperlink w:anchor="_Toc346802176" w:history="1">
            <w:r w:rsidR="005E6EFC" w:rsidRPr="005E6EFC">
              <w:rPr>
                <w:rStyle w:val="Hyperlink"/>
                <w:noProof/>
                <w:sz w:val="20"/>
                <w:szCs w:val="20"/>
              </w:rPr>
              <w:t>3.</w:t>
            </w:r>
            <w:r w:rsidR="005E6EFC" w:rsidRPr="005E6EFC">
              <w:rPr>
                <w:rFonts w:eastAsiaTheme="minorEastAsia"/>
                <w:noProof/>
                <w:sz w:val="20"/>
                <w:szCs w:val="20"/>
                <w:lang w:val="en-US"/>
              </w:rPr>
              <w:tab/>
            </w:r>
            <w:r w:rsidR="005E6EFC" w:rsidRPr="005E6EFC">
              <w:rPr>
                <w:rStyle w:val="Hyperlink"/>
                <w:noProof/>
                <w:sz w:val="20"/>
                <w:szCs w:val="20"/>
              </w:rPr>
              <w:t>Onderzoeksmethode</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_Toc346802176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77" w:history="1">
            <w:r w:rsidR="005E6EFC" w:rsidRPr="005E6EFC">
              <w:rPr>
                <w:rStyle w:val="Hyperlink"/>
                <w:noProof/>
                <w:sz w:val="20"/>
                <w:szCs w:val="20"/>
              </w:rPr>
              <w:t xml:space="preserve">3.1 </w:t>
            </w:r>
            <w:r w:rsidR="005E6EFC" w:rsidRPr="005E6EFC">
              <w:rPr>
                <w:rFonts w:eastAsiaTheme="minorEastAsia"/>
                <w:noProof/>
                <w:sz w:val="20"/>
                <w:szCs w:val="20"/>
                <w:lang w:val="en-US"/>
              </w:rPr>
              <w:tab/>
            </w:r>
            <w:r w:rsidR="005E6EFC" w:rsidRPr="005E6EFC">
              <w:rPr>
                <w:rStyle w:val="Hyperlink"/>
                <w:noProof/>
                <w:sz w:val="20"/>
                <w:szCs w:val="20"/>
              </w:rPr>
              <w:t>Opzet van het onderzoek</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_Toc346802177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78" w:history="1">
            <w:r w:rsidR="005E6EFC" w:rsidRPr="005E6EFC">
              <w:rPr>
                <w:rStyle w:val="Hyperlink"/>
                <w:noProof/>
                <w:sz w:val="20"/>
                <w:szCs w:val="20"/>
              </w:rPr>
              <w:t>3.2</w:t>
            </w:r>
            <w:r w:rsidR="005E6EFC" w:rsidRPr="005E6EFC">
              <w:rPr>
                <w:rFonts w:eastAsiaTheme="minorEastAsia"/>
                <w:noProof/>
                <w:sz w:val="20"/>
                <w:szCs w:val="20"/>
                <w:lang w:val="en-US"/>
              </w:rPr>
              <w:tab/>
            </w:r>
            <w:r w:rsidR="005E6EFC" w:rsidRPr="005E6EFC">
              <w:rPr>
                <w:rStyle w:val="Hyperlink"/>
                <w:noProof/>
                <w:sz w:val="20"/>
                <w:szCs w:val="20"/>
              </w:rPr>
              <w:t>Operationalisering</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_Toc346802178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79" w:history="1">
            <w:r w:rsidR="005E6EFC" w:rsidRPr="005E6EFC">
              <w:rPr>
                <w:rStyle w:val="Hyperlink"/>
                <w:noProof/>
                <w:sz w:val="20"/>
                <w:szCs w:val="20"/>
              </w:rPr>
              <w:t>3.3</w:t>
            </w:r>
            <w:r w:rsidR="005E6EFC" w:rsidRPr="005E6EFC">
              <w:rPr>
                <w:rFonts w:eastAsiaTheme="minorEastAsia"/>
                <w:noProof/>
                <w:sz w:val="20"/>
                <w:szCs w:val="20"/>
                <w:lang w:val="en-US"/>
              </w:rPr>
              <w:tab/>
            </w:r>
            <w:r w:rsidR="005E6EFC" w:rsidRPr="005E6EFC">
              <w:rPr>
                <w:rStyle w:val="Hyperlink"/>
                <w:noProof/>
                <w:sz w:val="20"/>
                <w:szCs w:val="20"/>
              </w:rPr>
              <w:t>Afnameprocedure- en materiaal</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_Toc346802179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80" w:history="1">
            <w:r w:rsidR="005E6EFC" w:rsidRPr="005E6EFC">
              <w:rPr>
                <w:rStyle w:val="Hyperlink"/>
                <w:noProof/>
                <w:sz w:val="20"/>
                <w:szCs w:val="20"/>
              </w:rPr>
              <w:t>3.4</w:t>
            </w:r>
            <w:r w:rsidR="005E6EFC" w:rsidRPr="005E6EFC">
              <w:rPr>
                <w:rFonts w:eastAsiaTheme="minorEastAsia"/>
                <w:noProof/>
                <w:sz w:val="20"/>
                <w:szCs w:val="20"/>
                <w:lang w:val="en-US"/>
              </w:rPr>
              <w:tab/>
            </w:r>
            <w:r w:rsidR="005E6EFC" w:rsidRPr="005E6EFC">
              <w:rPr>
                <w:rStyle w:val="Hyperlink"/>
                <w:noProof/>
                <w:sz w:val="20"/>
                <w:szCs w:val="20"/>
              </w:rPr>
              <w:t>Respondenten</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_Toc346802180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81" w:history="1">
            <w:r w:rsidR="005E6EFC" w:rsidRPr="005E6EFC">
              <w:rPr>
                <w:rStyle w:val="Hyperlink"/>
                <w:noProof/>
                <w:sz w:val="20"/>
                <w:szCs w:val="20"/>
              </w:rPr>
              <w:t>3.5</w:t>
            </w:r>
            <w:r w:rsidR="005E6EFC" w:rsidRPr="005E6EFC">
              <w:rPr>
                <w:rFonts w:eastAsiaTheme="minorEastAsia"/>
                <w:noProof/>
                <w:sz w:val="20"/>
                <w:szCs w:val="20"/>
                <w:lang w:val="en-US"/>
              </w:rPr>
              <w:tab/>
            </w:r>
            <w:r w:rsidR="005E6EFC" w:rsidRPr="005E6EFC">
              <w:rPr>
                <w:rStyle w:val="Hyperlink"/>
                <w:noProof/>
                <w:sz w:val="20"/>
                <w:szCs w:val="20"/>
              </w:rPr>
              <w:t>Randomisatiecontrole</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_Toc346802181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82" w:history="1">
            <w:r w:rsidR="005E6EFC" w:rsidRPr="005E6EFC">
              <w:rPr>
                <w:rStyle w:val="Hyperlink"/>
                <w:noProof/>
                <w:sz w:val="20"/>
                <w:szCs w:val="20"/>
              </w:rPr>
              <w:t>3.6</w:t>
            </w:r>
            <w:r w:rsidR="005E6EFC" w:rsidRPr="005E6EFC">
              <w:rPr>
                <w:rFonts w:eastAsiaTheme="minorEastAsia"/>
                <w:noProof/>
                <w:sz w:val="20"/>
                <w:szCs w:val="20"/>
                <w:lang w:val="en-US"/>
              </w:rPr>
              <w:tab/>
            </w:r>
            <w:r w:rsidR="005E6EFC" w:rsidRPr="005E6EFC">
              <w:rPr>
                <w:rStyle w:val="Hyperlink"/>
                <w:noProof/>
                <w:sz w:val="20"/>
                <w:szCs w:val="20"/>
              </w:rPr>
              <w:t>Betrouwbaarheid vragenclusters</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_Toc346802182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1"/>
            <w:tabs>
              <w:tab w:val="left" w:pos="440"/>
              <w:tab w:val="right" w:leader="dot" w:pos="9062"/>
            </w:tabs>
            <w:rPr>
              <w:rFonts w:eastAsiaTheme="minorEastAsia"/>
              <w:noProof/>
              <w:sz w:val="20"/>
              <w:szCs w:val="20"/>
              <w:lang w:val="en-US"/>
            </w:rPr>
          </w:pPr>
          <w:hyperlink w:anchor="_Toc346802183" w:history="1">
            <w:r w:rsidR="005E6EFC" w:rsidRPr="005E6EFC">
              <w:rPr>
                <w:rStyle w:val="Hyperlink"/>
                <w:noProof/>
                <w:sz w:val="20"/>
                <w:szCs w:val="20"/>
              </w:rPr>
              <w:t>4.</w:t>
            </w:r>
            <w:r w:rsidR="005E6EFC" w:rsidRPr="005E6EFC">
              <w:rPr>
                <w:rFonts w:eastAsiaTheme="minorEastAsia"/>
                <w:noProof/>
                <w:sz w:val="20"/>
                <w:szCs w:val="20"/>
                <w:lang w:val="en-US"/>
              </w:rPr>
              <w:tab/>
            </w:r>
            <w:r w:rsidR="005E6EFC" w:rsidRPr="005E6EFC">
              <w:rPr>
                <w:rStyle w:val="Hyperlink"/>
                <w:noProof/>
                <w:sz w:val="20"/>
                <w:szCs w:val="20"/>
              </w:rPr>
              <w:t>Resultaten</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_Toc346802183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84" w:history="1">
            <w:r w:rsidR="005E6EFC" w:rsidRPr="005E6EFC">
              <w:rPr>
                <w:rStyle w:val="Hyperlink"/>
                <w:noProof/>
                <w:sz w:val="20"/>
                <w:szCs w:val="20"/>
              </w:rPr>
              <w:t>4.1</w:t>
            </w:r>
            <w:r w:rsidR="005E6EFC" w:rsidRPr="005E6EFC">
              <w:rPr>
                <w:rFonts w:eastAsiaTheme="minorEastAsia"/>
                <w:noProof/>
                <w:sz w:val="20"/>
                <w:szCs w:val="20"/>
                <w:lang w:val="en-US"/>
              </w:rPr>
              <w:tab/>
            </w:r>
            <w:r w:rsidR="005E6EFC" w:rsidRPr="005E6EFC">
              <w:rPr>
                <w:rStyle w:val="Hyperlink"/>
                <w:noProof/>
                <w:sz w:val="20"/>
                <w:szCs w:val="20"/>
              </w:rPr>
              <w:t>Schoolcijfers per versie</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_Toc346802184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85" w:history="1">
            <w:r w:rsidR="005E6EFC" w:rsidRPr="005E6EFC">
              <w:rPr>
                <w:rStyle w:val="Hyperlink"/>
                <w:noProof/>
                <w:sz w:val="20"/>
                <w:szCs w:val="20"/>
              </w:rPr>
              <w:t>4.2</w:t>
            </w:r>
            <w:r w:rsidR="005E6EFC" w:rsidRPr="005E6EFC">
              <w:rPr>
                <w:rFonts w:eastAsiaTheme="minorEastAsia"/>
                <w:noProof/>
                <w:sz w:val="20"/>
                <w:szCs w:val="20"/>
                <w:lang w:val="en-US"/>
              </w:rPr>
              <w:tab/>
            </w:r>
            <w:r w:rsidR="005E6EFC" w:rsidRPr="005E6EFC">
              <w:rPr>
                <w:rStyle w:val="Hyperlink"/>
                <w:noProof/>
                <w:sz w:val="20"/>
                <w:szCs w:val="20"/>
              </w:rPr>
              <w:t>De rol van evidentie</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_Toc346802185 \h </w:instrText>
            </w:r>
            <w:r w:rsidRPr="005E6EFC">
              <w:rPr>
                <w:noProof/>
                <w:webHidden/>
                <w:sz w:val="20"/>
                <w:szCs w:val="20"/>
              </w:rPr>
            </w:r>
            <w:r w:rsidRPr="005E6EFC">
              <w:rPr>
                <w:noProof/>
                <w:webHidden/>
                <w:sz w:val="20"/>
                <w:szCs w:val="20"/>
              </w:rPr>
              <w:fldChar w:fldCharType="separate"/>
            </w:r>
            <w:r w:rsidR="00675099">
              <w:rPr>
                <w:noProof/>
                <w:webHidden/>
                <w:sz w:val="20"/>
                <w:szCs w:val="20"/>
              </w:rPr>
              <w:t>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86" w:history="1">
            <w:r w:rsidR="005E6EFC" w:rsidRPr="005E6EFC">
              <w:rPr>
                <w:rStyle w:val="Hyperlink"/>
                <w:noProof/>
                <w:sz w:val="20"/>
                <w:szCs w:val="20"/>
              </w:rPr>
              <w:t>4.3</w:t>
            </w:r>
            <w:r w:rsidR="005E6EFC" w:rsidRPr="005E6EFC">
              <w:rPr>
                <w:rFonts w:eastAsiaTheme="minorEastAsia"/>
                <w:noProof/>
                <w:sz w:val="20"/>
                <w:szCs w:val="20"/>
                <w:lang w:val="en-US"/>
              </w:rPr>
              <w:tab/>
            </w:r>
            <w:r w:rsidR="005E6EFC" w:rsidRPr="005E6EFC">
              <w:rPr>
                <w:rStyle w:val="Hyperlink"/>
                <w:noProof/>
                <w:sz w:val="20"/>
                <w:szCs w:val="20"/>
              </w:rPr>
              <w:t>Rol van de objectiviteit</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_Toc346802186 \h </w:instrText>
            </w:r>
            <w:r w:rsidRPr="005E6EFC">
              <w:rPr>
                <w:noProof/>
                <w:webHidden/>
                <w:sz w:val="20"/>
                <w:szCs w:val="20"/>
              </w:rPr>
            </w:r>
            <w:r w:rsidRPr="005E6EFC">
              <w:rPr>
                <w:noProof/>
                <w:webHidden/>
                <w:sz w:val="20"/>
                <w:szCs w:val="20"/>
              </w:rPr>
              <w:fldChar w:fldCharType="separate"/>
            </w:r>
            <w:r w:rsidR="00675099">
              <w:rPr>
                <w:noProof/>
                <w:webHidden/>
                <w:sz w:val="20"/>
                <w:szCs w:val="20"/>
              </w:rPr>
              <w:t>13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87" w:history="1">
            <w:r w:rsidR="005E6EFC" w:rsidRPr="005E6EFC">
              <w:rPr>
                <w:rStyle w:val="Hyperlink"/>
                <w:noProof/>
                <w:sz w:val="20"/>
                <w:szCs w:val="20"/>
              </w:rPr>
              <w:t>4.4</w:t>
            </w:r>
            <w:r w:rsidR="005E6EFC" w:rsidRPr="005E6EFC">
              <w:rPr>
                <w:rFonts w:eastAsiaTheme="minorEastAsia"/>
                <w:noProof/>
                <w:sz w:val="20"/>
                <w:szCs w:val="20"/>
                <w:lang w:val="en-US"/>
              </w:rPr>
              <w:tab/>
            </w:r>
            <w:r w:rsidR="005E6EFC" w:rsidRPr="005E6EFC">
              <w:rPr>
                <w:rStyle w:val="Hyperlink"/>
                <w:noProof/>
                <w:sz w:val="20"/>
                <w:szCs w:val="20"/>
              </w:rPr>
              <w:t>Invloed van de bron op de overtuigingskracht</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_Toc346802187 \h </w:instrText>
            </w:r>
            <w:r w:rsidRPr="005E6EFC">
              <w:rPr>
                <w:noProof/>
                <w:webHidden/>
                <w:sz w:val="20"/>
                <w:szCs w:val="20"/>
              </w:rPr>
            </w:r>
            <w:r w:rsidRPr="005E6EFC">
              <w:rPr>
                <w:noProof/>
                <w:webHidden/>
                <w:sz w:val="20"/>
                <w:szCs w:val="20"/>
              </w:rPr>
              <w:fldChar w:fldCharType="separate"/>
            </w:r>
            <w:r w:rsidR="00675099">
              <w:rPr>
                <w:noProof/>
                <w:webHidden/>
                <w:sz w:val="20"/>
                <w:szCs w:val="20"/>
              </w:rPr>
              <w:t>13</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88" w:history="1">
            <w:r w:rsidR="005E6EFC" w:rsidRPr="005E6EFC">
              <w:rPr>
                <w:rStyle w:val="Hyperlink"/>
                <w:noProof/>
                <w:sz w:val="20"/>
                <w:szCs w:val="20"/>
              </w:rPr>
              <w:t>4.5</w:t>
            </w:r>
            <w:r w:rsidR="005E6EFC" w:rsidRPr="005E6EFC">
              <w:rPr>
                <w:rFonts w:eastAsiaTheme="minorEastAsia"/>
                <w:noProof/>
                <w:sz w:val="20"/>
                <w:szCs w:val="20"/>
                <w:lang w:val="en-US"/>
              </w:rPr>
              <w:tab/>
            </w:r>
            <w:r w:rsidR="005E6EFC" w:rsidRPr="005E6EFC">
              <w:rPr>
                <w:rStyle w:val="Hyperlink"/>
                <w:noProof/>
                <w:sz w:val="20"/>
                <w:szCs w:val="20"/>
              </w:rPr>
              <w:t>Voorspeller overtuigingskracht</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_Toc346802188 \h </w:instrText>
            </w:r>
            <w:r w:rsidRPr="005E6EFC">
              <w:rPr>
                <w:noProof/>
                <w:webHidden/>
                <w:sz w:val="20"/>
                <w:szCs w:val="20"/>
              </w:rPr>
            </w:r>
            <w:r w:rsidRPr="005E6EFC">
              <w:rPr>
                <w:noProof/>
                <w:webHidden/>
                <w:sz w:val="20"/>
                <w:szCs w:val="20"/>
              </w:rPr>
              <w:fldChar w:fldCharType="separate"/>
            </w:r>
            <w:r w:rsidR="00675099">
              <w:rPr>
                <w:noProof/>
                <w:webHidden/>
                <w:sz w:val="20"/>
                <w:szCs w:val="20"/>
              </w:rPr>
              <w:t>15</w:t>
            </w:r>
            <w:r w:rsidRPr="005E6EFC">
              <w:rPr>
                <w:noProof/>
                <w:webHidden/>
                <w:sz w:val="20"/>
                <w:szCs w:val="20"/>
              </w:rPr>
              <w:fldChar w:fldCharType="end"/>
            </w:r>
          </w:hyperlink>
        </w:p>
        <w:p w:rsidR="005E6EFC" w:rsidRPr="005E6EFC" w:rsidRDefault="00836C71" w:rsidP="005E6EFC">
          <w:pPr>
            <w:pStyle w:val="Inhopg1"/>
            <w:tabs>
              <w:tab w:val="left" w:pos="440"/>
              <w:tab w:val="right" w:leader="dot" w:pos="9062"/>
            </w:tabs>
            <w:rPr>
              <w:rFonts w:eastAsiaTheme="minorEastAsia"/>
              <w:noProof/>
              <w:sz w:val="20"/>
              <w:szCs w:val="20"/>
              <w:lang w:val="en-US"/>
            </w:rPr>
          </w:pPr>
          <w:hyperlink w:anchor="_Toc346802189" w:history="1">
            <w:r w:rsidR="005E6EFC" w:rsidRPr="005E6EFC">
              <w:rPr>
                <w:rStyle w:val="Hyperlink"/>
                <w:noProof/>
                <w:sz w:val="20"/>
                <w:szCs w:val="20"/>
              </w:rPr>
              <w:t>5.</w:t>
            </w:r>
            <w:r w:rsidR="005E6EFC" w:rsidRPr="005E6EFC">
              <w:rPr>
                <w:rFonts w:eastAsiaTheme="minorEastAsia"/>
                <w:noProof/>
                <w:sz w:val="20"/>
                <w:szCs w:val="20"/>
                <w:lang w:val="en-US"/>
              </w:rPr>
              <w:tab/>
            </w:r>
            <w:r w:rsidR="005E6EFC" w:rsidRPr="005E6EFC">
              <w:rPr>
                <w:rStyle w:val="Hyperlink"/>
                <w:noProof/>
                <w:sz w:val="20"/>
                <w:szCs w:val="20"/>
              </w:rPr>
              <w:t>Conclusie</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_Toc346802189 \h </w:instrText>
            </w:r>
            <w:r w:rsidRPr="005E6EFC">
              <w:rPr>
                <w:noProof/>
                <w:webHidden/>
                <w:sz w:val="20"/>
                <w:szCs w:val="20"/>
              </w:rPr>
            </w:r>
            <w:r w:rsidRPr="005E6EFC">
              <w:rPr>
                <w:noProof/>
                <w:webHidden/>
                <w:sz w:val="20"/>
                <w:szCs w:val="20"/>
              </w:rPr>
              <w:fldChar w:fldCharType="separate"/>
            </w:r>
            <w:r w:rsidR="00675099">
              <w:rPr>
                <w:noProof/>
                <w:webHidden/>
                <w:sz w:val="20"/>
                <w:szCs w:val="20"/>
              </w:rPr>
              <w:t>17</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90" w:history="1">
            <w:r w:rsidR="005E6EFC" w:rsidRPr="005E6EFC">
              <w:rPr>
                <w:rStyle w:val="Hyperlink"/>
                <w:noProof/>
                <w:sz w:val="20"/>
                <w:szCs w:val="20"/>
              </w:rPr>
              <w:t xml:space="preserve">5.1 </w:t>
            </w:r>
            <w:r w:rsidR="005E6EFC" w:rsidRPr="005E6EFC">
              <w:rPr>
                <w:rFonts w:eastAsiaTheme="minorEastAsia"/>
                <w:noProof/>
                <w:sz w:val="20"/>
                <w:szCs w:val="20"/>
                <w:lang w:val="en-US"/>
              </w:rPr>
              <w:tab/>
            </w:r>
            <w:r w:rsidR="005E6EFC" w:rsidRPr="005E6EFC">
              <w:rPr>
                <w:rStyle w:val="Hyperlink"/>
                <w:noProof/>
                <w:sz w:val="20"/>
                <w:szCs w:val="20"/>
              </w:rPr>
              <w:t>Conclusie hypotheses</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_Toc346802190 \h </w:instrText>
            </w:r>
            <w:r w:rsidRPr="005E6EFC">
              <w:rPr>
                <w:noProof/>
                <w:webHidden/>
                <w:sz w:val="20"/>
                <w:szCs w:val="20"/>
              </w:rPr>
            </w:r>
            <w:r w:rsidRPr="005E6EFC">
              <w:rPr>
                <w:noProof/>
                <w:webHidden/>
                <w:sz w:val="20"/>
                <w:szCs w:val="20"/>
              </w:rPr>
              <w:fldChar w:fldCharType="separate"/>
            </w:r>
            <w:r w:rsidR="00675099">
              <w:rPr>
                <w:noProof/>
                <w:webHidden/>
                <w:sz w:val="20"/>
                <w:szCs w:val="20"/>
              </w:rPr>
              <w:t>17</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91" w:history="1">
            <w:r w:rsidR="005E6EFC" w:rsidRPr="005E6EFC">
              <w:rPr>
                <w:rStyle w:val="Hyperlink"/>
                <w:noProof/>
                <w:sz w:val="20"/>
                <w:szCs w:val="20"/>
              </w:rPr>
              <w:t>5.2</w:t>
            </w:r>
            <w:r w:rsidR="005E6EFC" w:rsidRPr="005E6EFC">
              <w:rPr>
                <w:rFonts w:eastAsiaTheme="minorEastAsia"/>
                <w:noProof/>
                <w:sz w:val="20"/>
                <w:szCs w:val="20"/>
                <w:lang w:val="en-US"/>
              </w:rPr>
              <w:tab/>
            </w:r>
            <w:r w:rsidR="005E6EFC" w:rsidRPr="005E6EFC">
              <w:rPr>
                <w:rStyle w:val="Hyperlink"/>
                <w:noProof/>
                <w:sz w:val="20"/>
                <w:szCs w:val="20"/>
              </w:rPr>
              <w:t>Antwoord onderzoeksvraag</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_Toc346802191 \h </w:instrText>
            </w:r>
            <w:r w:rsidRPr="005E6EFC">
              <w:rPr>
                <w:noProof/>
                <w:webHidden/>
                <w:sz w:val="20"/>
                <w:szCs w:val="20"/>
              </w:rPr>
            </w:r>
            <w:r w:rsidRPr="005E6EFC">
              <w:rPr>
                <w:noProof/>
                <w:webHidden/>
                <w:sz w:val="20"/>
                <w:szCs w:val="20"/>
              </w:rPr>
              <w:fldChar w:fldCharType="separate"/>
            </w:r>
            <w:r w:rsidR="00675099">
              <w:rPr>
                <w:noProof/>
                <w:webHidden/>
                <w:sz w:val="20"/>
                <w:szCs w:val="20"/>
              </w:rPr>
              <w:t>17</w:t>
            </w:r>
            <w:r w:rsidRPr="005E6EFC">
              <w:rPr>
                <w:noProof/>
                <w:webHidden/>
                <w:sz w:val="20"/>
                <w:szCs w:val="20"/>
              </w:rPr>
              <w:fldChar w:fldCharType="end"/>
            </w:r>
          </w:hyperlink>
        </w:p>
        <w:p w:rsidR="005E6EFC" w:rsidRPr="005E6EFC" w:rsidRDefault="00836C71" w:rsidP="005E6EFC">
          <w:pPr>
            <w:pStyle w:val="Inhopg1"/>
            <w:tabs>
              <w:tab w:val="left" w:pos="440"/>
              <w:tab w:val="right" w:leader="dot" w:pos="9062"/>
            </w:tabs>
            <w:rPr>
              <w:rFonts w:eastAsiaTheme="minorEastAsia"/>
              <w:noProof/>
              <w:sz w:val="20"/>
              <w:szCs w:val="20"/>
              <w:lang w:val="en-US"/>
            </w:rPr>
          </w:pPr>
          <w:hyperlink w:anchor="_Toc346802192" w:history="1">
            <w:r w:rsidR="005E6EFC" w:rsidRPr="005E6EFC">
              <w:rPr>
                <w:rStyle w:val="Hyperlink"/>
                <w:noProof/>
                <w:sz w:val="20"/>
                <w:szCs w:val="20"/>
              </w:rPr>
              <w:t>6.</w:t>
            </w:r>
            <w:r w:rsidR="005E6EFC" w:rsidRPr="005E6EFC">
              <w:rPr>
                <w:rFonts w:eastAsiaTheme="minorEastAsia"/>
                <w:noProof/>
                <w:sz w:val="20"/>
                <w:szCs w:val="20"/>
                <w:lang w:val="en-US"/>
              </w:rPr>
              <w:tab/>
            </w:r>
            <w:r w:rsidR="005E6EFC" w:rsidRPr="005E6EFC">
              <w:rPr>
                <w:rStyle w:val="Hyperlink"/>
                <w:noProof/>
                <w:sz w:val="20"/>
                <w:szCs w:val="20"/>
              </w:rPr>
              <w:t>Discussie en aanbevelingen</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_Toc346802192 \h </w:instrText>
            </w:r>
            <w:r w:rsidRPr="005E6EFC">
              <w:rPr>
                <w:noProof/>
                <w:webHidden/>
                <w:sz w:val="20"/>
                <w:szCs w:val="20"/>
              </w:rPr>
            </w:r>
            <w:r w:rsidRPr="005E6EFC">
              <w:rPr>
                <w:noProof/>
                <w:webHidden/>
                <w:sz w:val="20"/>
                <w:szCs w:val="20"/>
              </w:rPr>
              <w:fldChar w:fldCharType="separate"/>
            </w:r>
            <w:r w:rsidR="00675099">
              <w:rPr>
                <w:noProof/>
                <w:webHidden/>
                <w:sz w:val="20"/>
                <w:szCs w:val="20"/>
              </w:rPr>
              <w:t>18</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93" w:history="1">
            <w:r w:rsidR="005E6EFC" w:rsidRPr="005E6EFC">
              <w:rPr>
                <w:rStyle w:val="Hyperlink"/>
                <w:noProof/>
                <w:sz w:val="20"/>
                <w:szCs w:val="20"/>
              </w:rPr>
              <w:t>6.1</w:t>
            </w:r>
            <w:r w:rsidR="005E6EFC" w:rsidRPr="005E6EFC">
              <w:rPr>
                <w:rFonts w:eastAsiaTheme="minorEastAsia"/>
                <w:noProof/>
                <w:sz w:val="20"/>
                <w:szCs w:val="20"/>
                <w:lang w:val="en-US"/>
              </w:rPr>
              <w:tab/>
            </w:r>
            <w:r w:rsidR="005E6EFC" w:rsidRPr="005E6EFC">
              <w:rPr>
                <w:rStyle w:val="Hyperlink"/>
                <w:noProof/>
                <w:sz w:val="20"/>
                <w:szCs w:val="20"/>
              </w:rPr>
              <w:t>De respondenten</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_Toc346802193 \h </w:instrText>
            </w:r>
            <w:r w:rsidRPr="005E6EFC">
              <w:rPr>
                <w:noProof/>
                <w:webHidden/>
                <w:sz w:val="20"/>
                <w:szCs w:val="20"/>
              </w:rPr>
            </w:r>
            <w:r w:rsidRPr="005E6EFC">
              <w:rPr>
                <w:noProof/>
                <w:webHidden/>
                <w:sz w:val="20"/>
                <w:szCs w:val="20"/>
              </w:rPr>
              <w:fldChar w:fldCharType="separate"/>
            </w:r>
            <w:r w:rsidR="00675099">
              <w:rPr>
                <w:noProof/>
                <w:webHidden/>
                <w:sz w:val="20"/>
                <w:szCs w:val="20"/>
              </w:rPr>
              <w:t>18</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94" w:history="1">
            <w:r w:rsidR="005E6EFC" w:rsidRPr="005E6EFC">
              <w:rPr>
                <w:rStyle w:val="Hyperlink"/>
                <w:noProof/>
                <w:sz w:val="20"/>
                <w:szCs w:val="20"/>
              </w:rPr>
              <w:t xml:space="preserve">6.2 </w:t>
            </w:r>
            <w:r w:rsidR="005E6EFC" w:rsidRPr="005E6EFC">
              <w:rPr>
                <w:rFonts w:eastAsiaTheme="minorEastAsia"/>
                <w:noProof/>
                <w:sz w:val="20"/>
                <w:szCs w:val="20"/>
                <w:lang w:val="en-US"/>
              </w:rPr>
              <w:tab/>
            </w:r>
            <w:r w:rsidR="005E6EFC" w:rsidRPr="005E6EFC">
              <w:rPr>
                <w:rStyle w:val="Hyperlink"/>
                <w:noProof/>
                <w:sz w:val="20"/>
                <w:szCs w:val="20"/>
              </w:rPr>
              <w:t>De operationalisering</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_Toc346802194 \h </w:instrText>
            </w:r>
            <w:r w:rsidRPr="005E6EFC">
              <w:rPr>
                <w:noProof/>
                <w:webHidden/>
                <w:sz w:val="20"/>
                <w:szCs w:val="20"/>
              </w:rPr>
            </w:r>
            <w:r w:rsidRPr="005E6EFC">
              <w:rPr>
                <w:noProof/>
                <w:webHidden/>
                <w:sz w:val="20"/>
                <w:szCs w:val="20"/>
              </w:rPr>
              <w:fldChar w:fldCharType="separate"/>
            </w:r>
            <w:r w:rsidR="00675099">
              <w:rPr>
                <w:noProof/>
                <w:webHidden/>
                <w:sz w:val="20"/>
                <w:szCs w:val="20"/>
              </w:rPr>
              <w:t>18</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95" w:history="1">
            <w:r w:rsidR="005E6EFC" w:rsidRPr="005E6EFC">
              <w:rPr>
                <w:rStyle w:val="Hyperlink"/>
                <w:noProof/>
                <w:sz w:val="20"/>
                <w:szCs w:val="20"/>
              </w:rPr>
              <w:t>6.3</w:t>
            </w:r>
            <w:r w:rsidR="005E6EFC" w:rsidRPr="005E6EFC">
              <w:rPr>
                <w:rFonts w:eastAsiaTheme="minorEastAsia"/>
                <w:noProof/>
                <w:sz w:val="20"/>
                <w:szCs w:val="20"/>
                <w:lang w:val="en-US"/>
              </w:rPr>
              <w:tab/>
            </w:r>
            <w:r w:rsidR="005E6EFC" w:rsidRPr="005E6EFC">
              <w:rPr>
                <w:rStyle w:val="Hyperlink"/>
                <w:noProof/>
                <w:sz w:val="20"/>
                <w:szCs w:val="20"/>
              </w:rPr>
              <w:t>De vragenlijst</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_Toc346802195 \h </w:instrText>
            </w:r>
            <w:r w:rsidRPr="005E6EFC">
              <w:rPr>
                <w:noProof/>
                <w:webHidden/>
                <w:sz w:val="20"/>
                <w:szCs w:val="20"/>
              </w:rPr>
            </w:r>
            <w:r w:rsidRPr="005E6EFC">
              <w:rPr>
                <w:noProof/>
                <w:webHidden/>
                <w:sz w:val="20"/>
                <w:szCs w:val="20"/>
              </w:rPr>
              <w:fldChar w:fldCharType="separate"/>
            </w:r>
            <w:r w:rsidR="00675099">
              <w:rPr>
                <w:noProof/>
                <w:webHidden/>
                <w:sz w:val="20"/>
                <w:szCs w:val="20"/>
              </w:rPr>
              <w:t>18</w:t>
            </w:r>
            <w:r w:rsidRPr="005E6EFC">
              <w:rPr>
                <w:noProof/>
                <w:webHidden/>
                <w:sz w:val="20"/>
                <w:szCs w:val="20"/>
              </w:rPr>
              <w:fldChar w:fldCharType="end"/>
            </w:r>
          </w:hyperlink>
        </w:p>
        <w:p w:rsidR="005E6EFC" w:rsidRPr="005E6EFC" w:rsidRDefault="00836C71" w:rsidP="005E6EFC">
          <w:pPr>
            <w:pStyle w:val="Inhopg3"/>
            <w:tabs>
              <w:tab w:val="left" w:pos="1100"/>
              <w:tab w:val="right" w:leader="dot" w:pos="9062"/>
            </w:tabs>
            <w:rPr>
              <w:rFonts w:eastAsiaTheme="minorEastAsia"/>
              <w:noProof/>
              <w:sz w:val="20"/>
              <w:szCs w:val="20"/>
              <w:lang w:val="en-US"/>
            </w:rPr>
          </w:pPr>
          <w:hyperlink w:anchor="_Toc346802196" w:history="1">
            <w:r w:rsidR="005E6EFC" w:rsidRPr="005E6EFC">
              <w:rPr>
                <w:rStyle w:val="Hyperlink"/>
                <w:noProof/>
                <w:sz w:val="20"/>
                <w:szCs w:val="20"/>
              </w:rPr>
              <w:t>6.4</w:t>
            </w:r>
            <w:r w:rsidR="005E6EFC" w:rsidRPr="005E6EFC">
              <w:rPr>
                <w:rFonts w:eastAsiaTheme="minorEastAsia"/>
                <w:noProof/>
                <w:sz w:val="20"/>
                <w:szCs w:val="20"/>
                <w:lang w:val="en-US"/>
              </w:rPr>
              <w:tab/>
            </w:r>
            <w:r w:rsidR="005E6EFC" w:rsidRPr="005E6EFC">
              <w:rPr>
                <w:rStyle w:val="Hyperlink"/>
                <w:noProof/>
                <w:sz w:val="20"/>
                <w:szCs w:val="20"/>
              </w:rPr>
              <w:t>Betekenis van de resultaten</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_Toc346802196 \h </w:instrText>
            </w:r>
            <w:r w:rsidRPr="005E6EFC">
              <w:rPr>
                <w:noProof/>
                <w:webHidden/>
                <w:sz w:val="20"/>
                <w:szCs w:val="20"/>
              </w:rPr>
            </w:r>
            <w:r w:rsidRPr="005E6EFC">
              <w:rPr>
                <w:noProof/>
                <w:webHidden/>
                <w:sz w:val="20"/>
                <w:szCs w:val="20"/>
              </w:rPr>
              <w:fldChar w:fldCharType="separate"/>
            </w:r>
            <w:r w:rsidR="00675099">
              <w:rPr>
                <w:noProof/>
                <w:webHidden/>
                <w:sz w:val="20"/>
                <w:szCs w:val="20"/>
              </w:rPr>
              <w:t>18</w:t>
            </w:r>
            <w:r w:rsidRPr="005E6EFC">
              <w:rPr>
                <w:noProof/>
                <w:webHidden/>
                <w:sz w:val="20"/>
                <w:szCs w:val="20"/>
              </w:rPr>
              <w:fldChar w:fldCharType="end"/>
            </w:r>
          </w:hyperlink>
        </w:p>
        <w:p w:rsidR="005E6EFC" w:rsidRPr="005E6EFC" w:rsidRDefault="00836C71" w:rsidP="005E6EFC">
          <w:pPr>
            <w:pStyle w:val="Inhopg1"/>
            <w:tabs>
              <w:tab w:val="left" w:pos="440"/>
              <w:tab w:val="right" w:leader="dot" w:pos="9062"/>
            </w:tabs>
            <w:rPr>
              <w:rFonts w:eastAsiaTheme="minorEastAsia"/>
              <w:noProof/>
              <w:sz w:val="20"/>
              <w:szCs w:val="20"/>
              <w:lang w:val="en-US"/>
            </w:rPr>
          </w:pPr>
          <w:hyperlink w:anchor="_Toc346802197" w:history="1">
            <w:r w:rsidR="005E6EFC" w:rsidRPr="005E6EFC">
              <w:rPr>
                <w:rStyle w:val="Hyperlink"/>
                <w:noProof/>
                <w:sz w:val="20"/>
                <w:szCs w:val="20"/>
                <w:lang w:val="en-US"/>
              </w:rPr>
              <w:t>7.</w:t>
            </w:r>
            <w:r w:rsidR="005E6EFC" w:rsidRPr="005E6EFC">
              <w:rPr>
                <w:rFonts w:eastAsiaTheme="minorEastAsia"/>
                <w:noProof/>
                <w:sz w:val="20"/>
                <w:szCs w:val="20"/>
                <w:lang w:val="en-US"/>
              </w:rPr>
              <w:tab/>
            </w:r>
            <w:r w:rsidR="005E6EFC" w:rsidRPr="005E6EFC">
              <w:rPr>
                <w:rStyle w:val="Hyperlink"/>
                <w:noProof/>
                <w:sz w:val="20"/>
                <w:szCs w:val="20"/>
                <w:lang w:val="en-US"/>
              </w:rPr>
              <w:t>Literatuurlijst</w:t>
            </w:r>
            <w:r w:rsidR="005E6EFC" w:rsidRPr="005E6EFC">
              <w:rPr>
                <w:noProof/>
                <w:webHidden/>
                <w:sz w:val="20"/>
                <w:szCs w:val="20"/>
              </w:rPr>
              <w:tab/>
            </w:r>
            <w:r w:rsidRPr="005E6EFC">
              <w:rPr>
                <w:noProof/>
                <w:webHidden/>
                <w:sz w:val="20"/>
                <w:szCs w:val="20"/>
              </w:rPr>
              <w:fldChar w:fldCharType="begin"/>
            </w:r>
            <w:r w:rsidR="005E6EFC" w:rsidRPr="005E6EFC">
              <w:rPr>
                <w:noProof/>
                <w:webHidden/>
                <w:sz w:val="20"/>
                <w:szCs w:val="20"/>
              </w:rPr>
              <w:instrText xml:space="preserve"> PAGEREF _Toc346802197 \h </w:instrText>
            </w:r>
            <w:r w:rsidRPr="005E6EFC">
              <w:rPr>
                <w:noProof/>
                <w:webHidden/>
                <w:sz w:val="20"/>
                <w:szCs w:val="20"/>
              </w:rPr>
            </w:r>
            <w:r w:rsidRPr="005E6EFC">
              <w:rPr>
                <w:noProof/>
                <w:webHidden/>
                <w:sz w:val="20"/>
                <w:szCs w:val="20"/>
              </w:rPr>
              <w:fldChar w:fldCharType="separate"/>
            </w:r>
            <w:r w:rsidR="00675099">
              <w:rPr>
                <w:noProof/>
                <w:webHidden/>
                <w:sz w:val="20"/>
                <w:szCs w:val="20"/>
              </w:rPr>
              <w:t>20</w:t>
            </w:r>
            <w:r w:rsidRPr="005E6EFC">
              <w:rPr>
                <w:noProof/>
                <w:webHidden/>
                <w:sz w:val="20"/>
                <w:szCs w:val="20"/>
              </w:rPr>
              <w:fldChar w:fldCharType="end"/>
            </w:r>
          </w:hyperlink>
        </w:p>
        <w:p w:rsidR="001E66F0" w:rsidRPr="005E6EFC" w:rsidRDefault="00836C71" w:rsidP="005E6EFC">
          <w:pPr>
            <w:pStyle w:val="Geenafstand"/>
            <w:rPr>
              <w:sz w:val="20"/>
              <w:szCs w:val="20"/>
            </w:rPr>
          </w:pPr>
          <w:r w:rsidRPr="005E6EFC">
            <w:fldChar w:fldCharType="end"/>
          </w:r>
          <w:r w:rsidR="004C41E0" w:rsidRPr="005E6EFC">
            <w:rPr>
              <w:sz w:val="20"/>
              <w:szCs w:val="20"/>
            </w:rPr>
            <w:t>Bijlage A: Vragenlijsten zoals voorgelegd aan respondenten</w:t>
          </w:r>
        </w:p>
        <w:p w:rsidR="005E6EFC" w:rsidRDefault="005E6EFC" w:rsidP="005E6EFC">
          <w:pPr>
            <w:pStyle w:val="Geenafstand"/>
            <w:rPr>
              <w:sz w:val="20"/>
              <w:szCs w:val="20"/>
            </w:rPr>
          </w:pPr>
        </w:p>
        <w:p w:rsidR="005E6EFC" w:rsidRPr="005E6EFC" w:rsidRDefault="00FC0DA1" w:rsidP="005E6EFC">
          <w:pPr>
            <w:pStyle w:val="Geenafstand"/>
            <w:rPr>
              <w:sz w:val="20"/>
              <w:szCs w:val="20"/>
            </w:rPr>
          </w:pPr>
          <w:r w:rsidRPr="005E6EFC">
            <w:rPr>
              <w:sz w:val="20"/>
              <w:szCs w:val="20"/>
            </w:rPr>
            <w:t xml:space="preserve">Bijlage B: </w:t>
          </w:r>
          <w:r w:rsidR="005D6FF7">
            <w:rPr>
              <w:sz w:val="20"/>
              <w:szCs w:val="20"/>
            </w:rPr>
            <w:t>Video’s</w:t>
          </w:r>
          <w:r w:rsidRPr="005E6EFC">
            <w:rPr>
              <w:sz w:val="20"/>
              <w:szCs w:val="20"/>
            </w:rPr>
            <w:t xml:space="preserve"> zoals voorgelegd aan respondenten</w:t>
          </w:r>
        </w:p>
        <w:p w:rsidR="005E6EFC" w:rsidRDefault="005E6EFC" w:rsidP="005E6EFC">
          <w:pPr>
            <w:pStyle w:val="Geenafstand"/>
            <w:rPr>
              <w:sz w:val="20"/>
              <w:szCs w:val="20"/>
            </w:rPr>
          </w:pPr>
        </w:p>
        <w:p w:rsidR="00131224" w:rsidRPr="007E5CDA" w:rsidRDefault="00FC0DA1" w:rsidP="005E6EFC">
          <w:pPr>
            <w:pStyle w:val="Geenafstand"/>
          </w:pPr>
          <w:r w:rsidRPr="005E6EFC">
            <w:rPr>
              <w:sz w:val="20"/>
              <w:szCs w:val="20"/>
            </w:rPr>
            <w:t>Bijlage C: Alle ingevulde vragenlijsten</w:t>
          </w:r>
        </w:p>
      </w:sdtContent>
    </w:sdt>
    <w:p w:rsidR="00D154E0" w:rsidRDefault="00D154E0" w:rsidP="00D154E0">
      <w:pPr>
        <w:jc w:val="center"/>
        <w:rPr>
          <w:i/>
          <w:sz w:val="20"/>
          <w:szCs w:val="20"/>
        </w:rPr>
      </w:pPr>
    </w:p>
    <w:p w:rsidR="001E14A1" w:rsidRDefault="001E14A1" w:rsidP="00D154E0">
      <w:pPr>
        <w:jc w:val="center"/>
        <w:rPr>
          <w:i/>
          <w:sz w:val="20"/>
          <w:szCs w:val="20"/>
        </w:rPr>
      </w:pPr>
    </w:p>
    <w:p w:rsidR="00784DE1" w:rsidRDefault="00784DE1" w:rsidP="00784DE1">
      <w:pPr>
        <w:pStyle w:val="Kop1"/>
      </w:pPr>
      <w:bookmarkStart w:id="2" w:name="_Toc346802169"/>
      <w:r>
        <w:lastRenderedPageBreak/>
        <w:t xml:space="preserve">1. </w:t>
      </w:r>
      <w:r w:rsidR="005216DA">
        <w:tab/>
      </w:r>
      <w:r>
        <w:t>Inleiding</w:t>
      </w:r>
      <w:bookmarkEnd w:id="2"/>
    </w:p>
    <w:p w:rsidR="002902C5" w:rsidRPr="003505B6" w:rsidRDefault="00836C71" w:rsidP="002902C5">
      <w:pPr>
        <w:jc w:val="center"/>
        <w:rPr>
          <w:sz w:val="20"/>
          <w:szCs w:val="20"/>
        </w:rPr>
      </w:pPr>
      <w:r w:rsidRPr="00836C71">
        <w:rPr>
          <w:rFonts w:asciiTheme="majorHAnsi" w:hAnsiTheme="majorHAnsi"/>
          <w:noProof/>
          <w:sz w:val="20"/>
          <w:szCs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7" type="#_x0000_t186" style="position:absolute;left:0;text-align:left;margin-left:215.4pt;margin-top:-182.55pt;width:65.75pt;height:500.25pt;rotation:-90;z-index:251669504;mso-position-horizontal-relative:margin;mso-position-vertical-relative:margin" o:allowincell="f" filled="t" strokecolor="#82acd0" strokeweight="1.25pt">
            <v:shadow on="t" opacity=".5"/>
            <v:textbox style="mso-next-textbox:#_x0000_s1047" inset="21.6pt,,21.6pt">
              <w:txbxContent>
                <w:p w:rsidR="00B31BC1" w:rsidRPr="000F44F9" w:rsidRDefault="001B26FC" w:rsidP="002902C5">
                  <w:pPr>
                    <w:jc w:val="center"/>
                    <w:rPr>
                      <w:szCs w:val="28"/>
                    </w:rPr>
                  </w:pPr>
                  <w:r>
                    <w:rPr>
                      <w:rFonts w:asciiTheme="majorHAnsi" w:eastAsiaTheme="majorEastAsia" w:hAnsiTheme="majorHAnsi" w:cstheme="majorBidi"/>
                      <w:sz w:val="28"/>
                      <w:szCs w:val="28"/>
                    </w:rPr>
                    <w:t>“</w:t>
                  </w:r>
                  <w:r w:rsidR="00B31BC1" w:rsidRPr="000F44F9">
                    <w:rPr>
                      <w:rFonts w:asciiTheme="majorHAnsi" w:eastAsiaTheme="majorEastAsia" w:hAnsiTheme="majorHAnsi" w:cstheme="majorBidi"/>
                      <w:sz w:val="28"/>
                      <w:szCs w:val="28"/>
                    </w:rPr>
                    <w:t>De hartstochten zijn de enige redenaars die altijd overtuigen</w:t>
                  </w:r>
                  <w:r>
                    <w:rPr>
                      <w:rFonts w:asciiTheme="majorHAnsi" w:eastAsiaTheme="majorEastAsia" w:hAnsiTheme="majorHAnsi" w:cstheme="majorBidi"/>
                      <w:sz w:val="28"/>
                      <w:szCs w:val="28"/>
                    </w:rPr>
                    <w:t>”</w:t>
                  </w:r>
                </w:p>
              </w:txbxContent>
            </v:textbox>
            <w10:wrap type="square" anchorx="margin" anchory="margin"/>
          </v:shape>
        </w:pict>
      </w:r>
      <w:r w:rsidR="002902C5" w:rsidRPr="003505B6">
        <w:rPr>
          <w:rFonts w:asciiTheme="majorHAnsi" w:hAnsiTheme="majorHAnsi"/>
          <w:sz w:val="20"/>
          <w:szCs w:val="20"/>
        </w:rPr>
        <w:t>-</w:t>
      </w:r>
      <w:r w:rsidR="002165C1">
        <w:rPr>
          <w:rFonts w:asciiTheme="majorHAnsi" w:hAnsiTheme="majorHAnsi"/>
          <w:sz w:val="20"/>
          <w:szCs w:val="20"/>
        </w:rPr>
        <w:t xml:space="preserve"> </w:t>
      </w:r>
      <w:hyperlink r:id="rId9" w:history="1">
        <w:r w:rsidR="002902C5" w:rsidRPr="003505B6">
          <w:rPr>
            <w:rStyle w:val="Hyperlink"/>
            <w:rFonts w:asciiTheme="majorHAnsi" w:hAnsiTheme="majorHAnsi"/>
            <w:bCs/>
            <w:color w:val="auto"/>
            <w:sz w:val="20"/>
            <w:szCs w:val="20"/>
            <w:u w:val="none"/>
          </w:rPr>
          <w:t xml:space="preserve">François de la </w:t>
        </w:r>
        <w:proofErr w:type="spellStart"/>
        <w:r w:rsidR="002902C5" w:rsidRPr="003505B6">
          <w:rPr>
            <w:rStyle w:val="Hyperlink"/>
            <w:rFonts w:asciiTheme="majorHAnsi" w:hAnsiTheme="majorHAnsi"/>
            <w:bCs/>
            <w:color w:val="auto"/>
            <w:sz w:val="20"/>
            <w:szCs w:val="20"/>
            <w:u w:val="none"/>
          </w:rPr>
          <w:t>Rochefoucauld</w:t>
        </w:r>
        <w:proofErr w:type="spellEnd"/>
      </w:hyperlink>
      <w:r w:rsidR="002902C5" w:rsidRPr="003505B6">
        <w:rPr>
          <w:rFonts w:asciiTheme="majorHAnsi" w:hAnsiTheme="majorHAnsi"/>
          <w:sz w:val="20"/>
          <w:szCs w:val="20"/>
        </w:rPr>
        <w:t>, Frans schrijver 1613-1680</w:t>
      </w:r>
      <w:r w:rsidR="002165C1">
        <w:rPr>
          <w:rFonts w:asciiTheme="majorHAnsi" w:hAnsiTheme="majorHAnsi"/>
          <w:sz w:val="20"/>
          <w:szCs w:val="20"/>
        </w:rPr>
        <w:t xml:space="preserve"> </w:t>
      </w:r>
      <w:r w:rsidR="002902C5" w:rsidRPr="003505B6">
        <w:rPr>
          <w:rFonts w:asciiTheme="majorHAnsi" w:hAnsiTheme="majorHAnsi"/>
          <w:sz w:val="20"/>
          <w:szCs w:val="20"/>
        </w:rPr>
        <w:t>-</w:t>
      </w:r>
    </w:p>
    <w:p w:rsidR="002902C5" w:rsidRDefault="002902C5" w:rsidP="002902C5">
      <w:pPr>
        <w:rPr>
          <w:sz w:val="20"/>
          <w:szCs w:val="20"/>
        </w:rPr>
      </w:pPr>
      <w:r>
        <w:rPr>
          <w:sz w:val="20"/>
          <w:szCs w:val="20"/>
        </w:rPr>
        <w:t xml:space="preserve">François de la </w:t>
      </w:r>
      <w:proofErr w:type="spellStart"/>
      <w:r>
        <w:rPr>
          <w:sz w:val="20"/>
          <w:szCs w:val="20"/>
        </w:rPr>
        <w:t>Rochefoucauld</w:t>
      </w:r>
      <w:proofErr w:type="spellEnd"/>
      <w:r>
        <w:rPr>
          <w:sz w:val="20"/>
          <w:szCs w:val="20"/>
        </w:rPr>
        <w:t xml:space="preserve"> is niet</w:t>
      </w:r>
      <w:r w:rsidR="005A1D78">
        <w:rPr>
          <w:sz w:val="20"/>
          <w:szCs w:val="20"/>
        </w:rPr>
        <w:t xml:space="preserve"> de enige</w:t>
      </w:r>
      <w:r>
        <w:rPr>
          <w:sz w:val="20"/>
          <w:szCs w:val="20"/>
        </w:rPr>
        <w:t xml:space="preserve"> die dergelijke uitspraken heeft gedaan over overtuigen. Zo heb je </w:t>
      </w:r>
      <w:r w:rsidR="005A1D78">
        <w:rPr>
          <w:sz w:val="20"/>
          <w:szCs w:val="20"/>
        </w:rPr>
        <w:t xml:space="preserve">bijvoorbeeld </w:t>
      </w:r>
      <w:r>
        <w:rPr>
          <w:sz w:val="20"/>
          <w:szCs w:val="20"/>
        </w:rPr>
        <w:t xml:space="preserve">nog de uitspraak: </w:t>
      </w:r>
      <w:r w:rsidR="001B26FC">
        <w:rPr>
          <w:sz w:val="20"/>
          <w:szCs w:val="20"/>
        </w:rPr>
        <w:t>“</w:t>
      </w:r>
      <w:r w:rsidRPr="00660022">
        <w:rPr>
          <w:i/>
          <w:sz w:val="20"/>
          <w:szCs w:val="20"/>
        </w:rPr>
        <w:t>Men wordt alleen door zelf denken overtuigd: daarom laten zo weinig mensen zich overtuigen</w:t>
      </w:r>
      <w:r w:rsidR="001B26FC">
        <w:rPr>
          <w:i/>
          <w:sz w:val="20"/>
          <w:szCs w:val="20"/>
        </w:rPr>
        <w:t>”</w:t>
      </w:r>
      <w:r>
        <w:rPr>
          <w:i/>
          <w:sz w:val="20"/>
          <w:szCs w:val="20"/>
        </w:rPr>
        <w:t xml:space="preserve"> </w:t>
      </w:r>
      <w:r>
        <w:rPr>
          <w:sz w:val="20"/>
          <w:szCs w:val="20"/>
        </w:rPr>
        <w:t xml:space="preserve">(Ernst </w:t>
      </w:r>
      <w:proofErr w:type="spellStart"/>
      <w:r>
        <w:rPr>
          <w:sz w:val="20"/>
          <w:szCs w:val="20"/>
        </w:rPr>
        <w:t>Hohenemser</w:t>
      </w:r>
      <w:proofErr w:type="spellEnd"/>
      <w:r>
        <w:rPr>
          <w:sz w:val="20"/>
          <w:szCs w:val="20"/>
        </w:rPr>
        <w:t xml:space="preserve">) en de uitspraak: </w:t>
      </w:r>
      <w:r w:rsidR="001B26FC">
        <w:rPr>
          <w:sz w:val="20"/>
          <w:szCs w:val="20"/>
        </w:rPr>
        <w:t>“</w:t>
      </w:r>
      <w:r w:rsidRPr="00660022">
        <w:rPr>
          <w:i/>
          <w:sz w:val="20"/>
          <w:szCs w:val="20"/>
        </w:rPr>
        <w:t>Het voorbeeld is niet het beste middel om te overtuigen, het is het enige middel</w:t>
      </w:r>
      <w:r w:rsidR="001B26FC">
        <w:rPr>
          <w:sz w:val="20"/>
          <w:szCs w:val="20"/>
        </w:rPr>
        <w:t xml:space="preserve">” </w:t>
      </w:r>
      <w:r>
        <w:rPr>
          <w:sz w:val="20"/>
          <w:szCs w:val="20"/>
        </w:rPr>
        <w:t xml:space="preserve">(Albert </w:t>
      </w:r>
      <w:proofErr w:type="spellStart"/>
      <w:r>
        <w:rPr>
          <w:sz w:val="20"/>
          <w:szCs w:val="20"/>
        </w:rPr>
        <w:t>Schweitzer</w:t>
      </w:r>
      <w:proofErr w:type="spellEnd"/>
      <w:r>
        <w:rPr>
          <w:sz w:val="20"/>
          <w:szCs w:val="20"/>
        </w:rPr>
        <w:t xml:space="preserve">). Deze laatste uitspraak, gedaan door Albert Schweitzer, sluit aan op dit onderzoek. Want zou dit waar zijn? Is een voorbeeld daadwerkelijk het enige middel om iemand te overtuigen? Of </w:t>
      </w:r>
      <w:r w:rsidR="00245BA9">
        <w:rPr>
          <w:sz w:val="20"/>
          <w:szCs w:val="20"/>
        </w:rPr>
        <w:t>is het net zo effectief</w:t>
      </w:r>
      <w:r>
        <w:rPr>
          <w:sz w:val="20"/>
          <w:szCs w:val="20"/>
        </w:rPr>
        <w:t xml:space="preserve"> om iemand te overtuigen door feiten </w:t>
      </w:r>
      <w:r w:rsidRPr="001D7A82">
        <w:rPr>
          <w:sz w:val="20"/>
          <w:szCs w:val="20"/>
        </w:rPr>
        <w:t xml:space="preserve">en gegevens die uit onderzoeken naar voren zijn gekomen </w:t>
      </w:r>
      <w:r>
        <w:rPr>
          <w:sz w:val="20"/>
          <w:szCs w:val="20"/>
        </w:rPr>
        <w:t xml:space="preserve">te gebruiken? Of moeten we meer in de richting van François de la </w:t>
      </w:r>
      <w:proofErr w:type="spellStart"/>
      <w:r>
        <w:rPr>
          <w:sz w:val="20"/>
          <w:szCs w:val="20"/>
        </w:rPr>
        <w:t>Rochefoucauld</w:t>
      </w:r>
      <w:proofErr w:type="spellEnd"/>
      <w:r>
        <w:rPr>
          <w:sz w:val="20"/>
          <w:szCs w:val="20"/>
        </w:rPr>
        <w:t xml:space="preserve"> denken en gaat het er helemaal niet om of je voorbeelden of feiten noemt, </w:t>
      </w:r>
      <w:r w:rsidR="00245BA9">
        <w:rPr>
          <w:sz w:val="20"/>
          <w:szCs w:val="20"/>
        </w:rPr>
        <w:t>als</w:t>
      </w:r>
      <w:r w:rsidR="005A1D78">
        <w:rPr>
          <w:sz w:val="20"/>
          <w:szCs w:val="20"/>
        </w:rPr>
        <w:t xml:space="preserve"> je maar geloofwaardig en</w:t>
      </w:r>
      <w:r>
        <w:rPr>
          <w:sz w:val="20"/>
          <w:szCs w:val="20"/>
        </w:rPr>
        <w:t xml:space="preserve"> aardig overkomt? </w:t>
      </w:r>
    </w:p>
    <w:p w:rsidR="002902C5" w:rsidRPr="00AB0E32" w:rsidRDefault="002902C5" w:rsidP="002902C5">
      <w:pPr>
        <w:jc w:val="both"/>
        <w:rPr>
          <w:i/>
          <w:sz w:val="20"/>
          <w:szCs w:val="20"/>
        </w:rPr>
      </w:pPr>
      <w:r>
        <w:rPr>
          <w:sz w:val="20"/>
          <w:szCs w:val="20"/>
        </w:rPr>
        <w:t>In de tijd van Schweitzer, 1875-1965, was er wellicht nog niet zoveel invloed van het wetenschappelijke onderzoek. Destijds was het misschien daadwerke</w:t>
      </w:r>
      <w:r w:rsidR="005A1D78">
        <w:rPr>
          <w:sz w:val="20"/>
          <w:szCs w:val="20"/>
        </w:rPr>
        <w:t xml:space="preserve">lijk het meest effectief om </w:t>
      </w:r>
      <w:r>
        <w:rPr>
          <w:sz w:val="20"/>
          <w:szCs w:val="20"/>
        </w:rPr>
        <w:t xml:space="preserve">een voorbeeld aan te </w:t>
      </w:r>
      <w:r w:rsidR="005A1D78">
        <w:rPr>
          <w:sz w:val="20"/>
          <w:szCs w:val="20"/>
        </w:rPr>
        <w:t>noemen</w:t>
      </w:r>
      <w:r>
        <w:rPr>
          <w:sz w:val="20"/>
          <w:szCs w:val="20"/>
        </w:rPr>
        <w:t xml:space="preserve"> als men iemand wilde overtuigen. Maar tegenwoordig wordt vrijwel alles onderzocht, van kleine alledaagse dingen tot belangrijke wetenschappelijke vraagstukken. Betekent dit dat mensen kritischer zijn geworden en de voorkeur geven aan feiten? Met dit onderzoek zal getracht worden om antwoord te geven op soortgelijke vragen. Maar allereerst moeten we onszelf afvragen: wat is nu eigenlijk </w:t>
      </w:r>
      <w:r w:rsidRPr="00AB0E32">
        <w:rPr>
          <w:sz w:val="20"/>
          <w:szCs w:val="20"/>
        </w:rPr>
        <w:t>precies iemand</w:t>
      </w:r>
      <w:r>
        <w:rPr>
          <w:sz w:val="20"/>
          <w:szCs w:val="20"/>
        </w:rPr>
        <w:t xml:space="preserve"> ergens van</w:t>
      </w:r>
      <w:r w:rsidRPr="00AB0E32">
        <w:rPr>
          <w:sz w:val="20"/>
          <w:szCs w:val="20"/>
        </w:rPr>
        <w:t xml:space="preserve"> ‘overtuigen’?</w:t>
      </w:r>
    </w:p>
    <w:p w:rsidR="002902C5" w:rsidRPr="003C062E" w:rsidRDefault="002902C5" w:rsidP="002902C5">
      <w:pPr>
        <w:pStyle w:val="Geenafstand"/>
        <w:jc w:val="center"/>
        <w:rPr>
          <w:i/>
          <w:sz w:val="20"/>
          <w:szCs w:val="20"/>
        </w:rPr>
      </w:pPr>
      <w:r w:rsidRPr="003C062E">
        <w:rPr>
          <w:i/>
          <w:sz w:val="20"/>
          <w:szCs w:val="20"/>
        </w:rPr>
        <w:t>“ ‘Overtuigen’</w:t>
      </w:r>
      <w:r>
        <w:rPr>
          <w:i/>
          <w:sz w:val="20"/>
          <w:szCs w:val="20"/>
        </w:rPr>
        <w:t xml:space="preserve"> </w:t>
      </w:r>
      <w:r w:rsidRPr="003C062E">
        <w:rPr>
          <w:i/>
          <w:sz w:val="20"/>
          <w:szCs w:val="20"/>
        </w:rPr>
        <w:t>is een succesvolle, intentionele poging om de mentale toestand van iemand anders te veranderen door middel van communicatie in een situatie waarin de ander een bepaalde mate van vrijheid heeft</w:t>
      </w:r>
      <w:r>
        <w:rPr>
          <w:i/>
          <w:sz w:val="20"/>
          <w:szCs w:val="20"/>
        </w:rPr>
        <w:t>.</w:t>
      </w:r>
    </w:p>
    <w:p w:rsidR="002902C5" w:rsidRPr="003C062E" w:rsidRDefault="002902C5" w:rsidP="002902C5">
      <w:pPr>
        <w:pStyle w:val="Geenafstand"/>
        <w:jc w:val="center"/>
        <w:rPr>
          <w:i/>
          <w:sz w:val="20"/>
          <w:szCs w:val="20"/>
        </w:rPr>
      </w:pPr>
      <w:r w:rsidRPr="003C062E">
        <w:rPr>
          <w:i/>
          <w:sz w:val="20"/>
          <w:szCs w:val="20"/>
        </w:rPr>
        <w:t>(</w:t>
      </w:r>
      <w:proofErr w:type="spellStart"/>
      <w:r w:rsidRPr="003C062E">
        <w:rPr>
          <w:i/>
          <w:sz w:val="20"/>
          <w:szCs w:val="20"/>
        </w:rPr>
        <w:t>O’Keefe</w:t>
      </w:r>
      <w:proofErr w:type="spellEnd"/>
      <w:r w:rsidRPr="003C062E">
        <w:rPr>
          <w:i/>
          <w:sz w:val="20"/>
          <w:szCs w:val="20"/>
        </w:rPr>
        <w:t>, 2002)</w:t>
      </w:r>
      <w:r>
        <w:rPr>
          <w:i/>
          <w:sz w:val="20"/>
          <w:szCs w:val="20"/>
        </w:rPr>
        <w:t xml:space="preserve"> </w:t>
      </w:r>
      <w:r w:rsidRPr="003C062E">
        <w:rPr>
          <w:i/>
          <w:sz w:val="20"/>
          <w:szCs w:val="20"/>
        </w:rPr>
        <w:t>“</w:t>
      </w:r>
    </w:p>
    <w:p w:rsidR="00120260" w:rsidRDefault="00120260" w:rsidP="002902C5">
      <w:pPr>
        <w:jc w:val="both"/>
        <w:rPr>
          <w:sz w:val="20"/>
          <w:szCs w:val="20"/>
        </w:rPr>
      </w:pPr>
    </w:p>
    <w:p w:rsidR="002902C5" w:rsidRDefault="002902C5" w:rsidP="002902C5">
      <w:pPr>
        <w:jc w:val="both"/>
        <w:rPr>
          <w:sz w:val="20"/>
          <w:szCs w:val="20"/>
        </w:rPr>
      </w:pPr>
      <w:r>
        <w:rPr>
          <w:sz w:val="20"/>
          <w:szCs w:val="20"/>
        </w:rPr>
        <w:t>Uit de defi</w:t>
      </w:r>
      <w:r w:rsidR="00120260">
        <w:rPr>
          <w:sz w:val="20"/>
          <w:szCs w:val="20"/>
        </w:rPr>
        <w:t xml:space="preserve">nitie van </w:t>
      </w:r>
      <w:proofErr w:type="spellStart"/>
      <w:r w:rsidR="00120260">
        <w:rPr>
          <w:sz w:val="20"/>
          <w:szCs w:val="20"/>
        </w:rPr>
        <w:t>O’Keefe</w:t>
      </w:r>
      <w:proofErr w:type="spellEnd"/>
      <w:r w:rsidR="00120260">
        <w:rPr>
          <w:sz w:val="20"/>
          <w:szCs w:val="20"/>
        </w:rPr>
        <w:t xml:space="preserve"> (2002) blijkt dat iemand overtuigd is </w:t>
      </w:r>
      <w:r>
        <w:rPr>
          <w:sz w:val="20"/>
          <w:szCs w:val="20"/>
        </w:rPr>
        <w:t xml:space="preserve">als de mentale toestand van desbetreffend persoon veranderd is, dus als hij daadwerkelijk anders is gaan denken over het onderwerp. Deze mentale toestand, oftewel de attitude, verandert niet zomaar. Om dit te bewerkstelligen moet je iemand overtuigen, doorgaans met goede argumenten. Maar </w:t>
      </w:r>
      <w:r w:rsidR="005A1D78">
        <w:rPr>
          <w:sz w:val="20"/>
          <w:szCs w:val="20"/>
        </w:rPr>
        <w:t>wat zijn dan goede argumenten? Zijn dat v</w:t>
      </w:r>
      <w:r>
        <w:rPr>
          <w:sz w:val="20"/>
          <w:szCs w:val="20"/>
        </w:rPr>
        <w:t xml:space="preserve">oorbeelden of </w:t>
      </w:r>
      <w:r w:rsidR="00BA33F9">
        <w:rPr>
          <w:sz w:val="20"/>
          <w:szCs w:val="20"/>
        </w:rPr>
        <w:t xml:space="preserve">zijn dat </w:t>
      </w:r>
      <w:r>
        <w:rPr>
          <w:sz w:val="20"/>
          <w:szCs w:val="20"/>
        </w:rPr>
        <w:t xml:space="preserve">feiten? </w:t>
      </w:r>
    </w:p>
    <w:p w:rsidR="002902C5" w:rsidRDefault="002902C5" w:rsidP="002902C5">
      <w:pPr>
        <w:jc w:val="both"/>
        <w:rPr>
          <w:sz w:val="20"/>
          <w:szCs w:val="20"/>
        </w:rPr>
      </w:pPr>
      <w:r>
        <w:rPr>
          <w:sz w:val="20"/>
          <w:szCs w:val="20"/>
        </w:rPr>
        <w:t xml:space="preserve">In dit onderzoek zal, zoals </w:t>
      </w:r>
      <w:r w:rsidR="00BA33F9">
        <w:rPr>
          <w:sz w:val="20"/>
          <w:szCs w:val="20"/>
        </w:rPr>
        <w:t xml:space="preserve">eerder </w:t>
      </w:r>
      <w:r>
        <w:rPr>
          <w:sz w:val="20"/>
          <w:szCs w:val="20"/>
        </w:rPr>
        <w:t>al genoemd, gep</w:t>
      </w:r>
      <w:r w:rsidR="00442AAF">
        <w:rPr>
          <w:sz w:val="20"/>
          <w:szCs w:val="20"/>
        </w:rPr>
        <w:t>robeerd</w:t>
      </w:r>
      <w:r>
        <w:rPr>
          <w:sz w:val="20"/>
          <w:szCs w:val="20"/>
        </w:rPr>
        <w:t xml:space="preserve"> worden om deze vraag te beantwoorden. Dit zal gedaan worden door de overtuigingskracht van twee verschillende </w:t>
      </w:r>
      <w:r w:rsidR="008B53DD">
        <w:rPr>
          <w:sz w:val="20"/>
          <w:szCs w:val="20"/>
        </w:rPr>
        <w:t>typ</w:t>
      </w:r>
      <w:r>
        <w:rPr>
          <w:sz w:val="20"/>
          <w:szCs w:val="20"/>
        </w:rPr>
        <w:t xml:space="preserve">en evidentie </w:t>
      </w:r>
      <w:r w:rsidR="00D4729C">
        <w:rPr>
          <w:sz w:val="20"/>
          <w:szCs w:val="20"/>
        </w:rPr>
        <w:t>met elkaar te vergelijken</w:t>
      </w:r>
      <w:r>
        <w:rPr>
          <w:sz w:val="20"/>
          <w:szCs w:val="20"/>
        </w:rPr>
        <w:t>, namelijk</w:t>
      </w:r>
      <w:r w:rsidR="00D4729C">
        <w:rPr>
          <w:sz w:val="20"/>
          <w:szCs w:val="20"/>
        </w:rPr>
        <w:t>:</w:t>
      </w:r>
      <w:r>
        <w:rPr>
          <w:sz w:val="20"/>
          <w:szCs w:val="20"/>
        </w:rPr>
        <w:t xml:space="preserve"> statistische evidentie en anekdotische evidentie. De definitie van evidentie</w:t>
      </w:r>
      <w:r w:rsidRPr="00933A8C">
        <w:rPr>
          <w:b/>
          <w:sz w:val="20"/>
          <w:szCs w:val="20"/>
        </w:rPr>
        <w:t xml:space="preserve"> </w:t>
      </w:r>
      <w:r w:rsidR="00D4729C">
        <w:rPr>
          <w:sz w:val="20"/>
          <w:szCs w:val="20"/>
        </w:rPr>
        <w:t>die</w:t>
      </w:r>
      <w:r>
        <w:rPr>
          <w:sz w:val="20"/>
          <w:szCs w:val="20"/>
        </w:rPr>
        <w:t xml:space="preserve"> wordt gehanteerd, is: ‘gegevens (feiten of meningen) gepresenteerd als bewijs voor een bewering’ (</w:t>
      </w:r>
      <w:proofErr w:type="spellStart"/>
      <w:r>
        <w:rPr>
          <w:sz w:val="20"/>
          <w:szCs w:val="20"/>
        </w:rPr>
        <w:t>Hornix</w:t>
      </w:r>
      <w:proofErr w:type="spellEnd"/>
      <w:r>
        <w:rPr>
          <w:sz w:val="20"/>
          <w:szCs w:val="20"/>
        </w:rPr>
        <w:t xml:space="preserve">, 2005). Er zijn verschillende </w:t>
      </w:r>
      <w:r w:rsidR="008B53DD">
        <w:rPr>
          <w:sz w:val="20"/>
          <w:szCs w:val="20"/>
        </w:rPr>
        <w:t>typ</w:t>
      </w:r>
      <w:r>
        <w:rPr>
          <w:sz w:val="20"/>
          <w:szCs w:val="20"/>
        </w:rPr>
        <w:t xml:space="preserve">en evidentie, waaronder statistische evidentie en anekdotische evidentie. Iemand overtuigen door een voorbeeld te noemen, valt hierbij onder anekdotische evidentie. Onder statistische evidentie vallen de resultaten van  </w:t>
      </w:r>
      <w:r w:rsidRPr="00AA2CCD">
        <w:rPr>
          <w:sz w:val="20"/>
          <w:szCs w:val="20"/>
        </w:rPr>
        <w:t>onderzoeken of steekproeven</w:t>
      </w:r>
      <w:r>
        <w:rPr>
          <w:sz w:val="20"/>
          <w:szCs w:val="20"/>
        </w:rPr>
        <w:t xml:space="preserve">. </w:t>
      </w:r>
      <w:proofErr w:type="spellStart"/>
      <w:r>
        <w:rPr>
          <w:sz w:val="20"/>
          <w:szCs w:val="20"/>
        </w:rPr>
        <w:t>Schweitzer</w:t>
      </w:r>
      <w:proofErr w:type="spellEnd"/>
      <w:r w:rsidR="007F3FC4">
        <w:rPr>
          <w:sz w:val="20"/>
          <w:szCs w:val="20"/>
        </w:rPr>
        <w:t xml:space="preserve"> zou dus van mening zijn dat anekdotische evidentie </w:t>
      </w:r>
      <w:r>
        <w:rPr>
          <w:sz w:val="20"/>
          <w:szCs w:val="20"/>
        </w:rPr>
        <w:t>het beste middel</w:t>
      </w:r>
      <w:r w:rsidR="007F3FC4">
        <w:rPr>
          <w:sz w:val="20"/>
          <w:szCs w:val="20"/>
        </w:rPr>
        <w:t xml:space="preserve"> is</w:t>
      </w:r>
      <w:r>
        <w:rPr>
          <w:sz w:val="20"/>
          <w:szCs w:val="20"/>
        </w:rPr>
        <w:t xml:space="preserve"> om iemand te overtuigen. Is dat ook zo, of is statistische evidentie overtuigend</w:t>
      </w:r>
      <w:r w:rsidR="007F3FC4">
        <w:rPr>
          <w:sz w:val="20"/>
          <w:szCs w:val="20"/>
        </w:rPr>
        <w:t>er</w:t>
      </w:r>
      <w:r>
        <w:rPr>
          <w:sz w:val="20"/>
          <w:szCs w:val="20"/>
        </w:rPr>
        <w:t xml:space="preserve">? Of speelt </w:t>
      </w:r>
      <w:r w:rsidRPr="00AA2CCD">
        <w:rPr>
          <w:sz w:val="20"/>
          <w:szCs w:val="20"/>
        </w:rPr>
        <w:t xml:space="preserve">de geloofwaardigheid van de bron </w:t>
      </w:r>
      <w:r>
        <w:rPr>
          <w:sz w:val="20"/>
          <w:szCs w:val="20"/>
        </w:rPr>
        <w:t xml:space="preserve">een essentiële rol </w:t>
      </w:r>
      <w:r w:rsidRPr="00AA2CCD">
        <w:rPr>
          <w:sz w:val="20"/>
          <w:szCs w:val="20"/>
        </w:rPr>
        <w:t>en is de gebruikte evidentie van ondergeschikt</w:t>
      </w:r>
      <w:r>
        <w:rPr>
          <w:sz w:val="20"/>
          <w:szCs w:val="20"/>
        </w:rPr>
        <w:t xml:space="preserve"> belang? Dit zal in dit onderzoek onderzocht worden aan de hand van de volgende onderzoeksvraag:</w:t>
      </w:r>
    </w:p>
    <w:p w:rsidR="002902C5" w:rsidRDefault="002902C5" w:rsidP="002902C5">
      <w:pPr>
        <w:jc w:val="both"/>
        <w:rPr>
          <w:i/>
          <w:sz w:val="20"/>
          <w:szCs w:val="20"/>
        </w:rPr>
      </w:pPr>
      <w:r w:rsidRPr="00CE3FCD">
        <w:rPr>
          <w:i/>
          <w:sz w:val="20"/>
          <w:szCs w:val="20"/>
        </w:rPr>
        <w:t>Wat is het effect van de bron op de overtuigin</w:t>
      </w:r>
      <w:r>
        <w:rPr>
          <w:i/>
          <w:sz w:val="20"/>
          <w:szCs w:val="20"/>
        </w:rPr>
        <w:t>gskracht van statistische evidentie en van anekdotische evidentie</w:t>
      </w:r>
      <w:r w:rsidRPr="00CE3FCD">
        <w:rPr>
          <w:i/>
          <w:sz w:val="20"/>
          <w:szCs w:val="20"/>
        </w:rPr>
        <w:t>?</w:t>
      </w:r>
    </w:p>
    <w:p w:rsidR="002902C5" w:rsidRDefault="002902C5" w:rsidP="002902C5">
      <w:pPr>
        <w:jc w:val="both"/>
        <w:rPr>
          <w:rFonts w:cs="Tahoma"/>
          <w:i/>
          <w:sz w:val="20"/>
          <w:szCs w:val="20"/>
        </w:rPr>
      </w:pPr>
      <w:r>
        <w:rPr>
          <w:sz w:val="20"/>
          <w:szCs w:val="20"/>
        </w:rPr>
        <w:t xml:space="preserve">In dit onderzoek </w:t>
      </w:r>
      <w:r w:rsidR="002C2E62">
        <w:rPr>
          <w:sz w:val="20"/>
          <w:szCs w:val="20"/>
        </w:rPr>
        <w:t>zal de focus liggen</w:t>
      </w:r>
      <w:r>
        <w:rPr>
          <w:sz w:val="20"/>
          <w:szCs w:val="20"/>
        </w:rPr>
        <w:t xml:space="preserve"> op de overtuigingskracht van statistische evidentie en van anekdotische evidentie en daarbij zal rekening worden gehouden met het eventuele effect dat de bron v</w:t>
      </w:r>
      <w:r w:rsidR="0033695A">
        <w:rPr>
          <w:sz w:val="20"/>
          <w:szCs w:val="20"/>
        </w:rPr>
        <w:t xml:space="preserve">an de boodschap </w:t>
      </w:r>
      <w:r w:rsidR="0033695A" w:rsidRPr="006F33C9">
        <w:rPr>
          <w:sz w:val="20"/>
          <w:szCs w:val="20"/>
        </w:rPr>
        <w:t>hier op</w:t>
      </w:r>
      <w:r w:rsidR="0033695A">
        <w:rPr>
          <w:sz w:val="20"/>
          <w:szCs w:val="20"/>
        </w:rPr>
        <w:t xml:space="preserve"> heeft.</w:t>
      </w:r>
    </w:p>
    <w:p w:rsidR="002902C5" w:rsidRDefault="002902C5" w:rsidP="002902C5">
      <w:pPr>
        <w:jc w:val="both"/>
      </w:pPr>
      <w:r>
        <w:rPr>
          <w:rFonts w:cs="Tahoma"/>
          <w:sz w:val="20"/>
          <w:szCs w:val="20"/>
        </w:rPr>
        <w:lastRenderedPageBreak/>
        <w:t xml:space="preserve">In hoofdstuk 2, het theoretisch kader, zal aanvankelijk nog dieper worden ingegaan op voorafgaand onderzoek naar statistische en anekdotische evidentie. In hoofdstuk 3 zal vervolgens de onderzoeksmethode worden toegelicht. In hoofdstuk 4 worden de resultaten besproken en in hoofdstuk 5 worden daar conclusies aan verbonden. Tot slot is er nog een discussie en zijn er aanbevelingen, welke beschreven zijn in hoofdstuk 6. </w:t>
      </w:r>
    </w:p>
    <w:p w:rsidR="00D46FAA" w:rsidRDefault="00D46FAA" w:rsidP="009D7C6A">
      <w:pPr>
        <w:jc w:val="both"/>
        <w:rPr>
          <w:rFonts w:cs="Tahoma"/>
          <w:sz w:val="20"/>
          <w:szCs w:val="20"/>
        </w:rPr>
      </w:pPr>
    </w:p>
    <w:p w:rsidR="00D46FAA" w:rsidRDefault="00D46FAA" w:rsidP="005767BB">
      <w:pPr>
        <w:rPr>
          <w:rFonts w:cs="Tahoma"/>
          <w:sz w:val="20"/>
          <w:szCs w:val="20"/>
        </w:rPr>
      </w:pPr>
    </w:p>
    <w:p w:rsidR="00D46FAA" w:rsidRDefault="00D46FAA" w:rsidP="005767BB">
      <w:pPr>
        <w:rPr>
          <w:rFonts w:cs="Tahoma"/>
          <w:sz w:val="20"/>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pStyle w:val="Kop1"/>
        <w:rPr>
          <w:szCs w:val="20"/>
        </w:rPr>
      </w:pPr>
    </w:p>
    <w:p w:rsidR="002902C5" w:rsidRDefault="002902C5" w:rsidP="002902C5">
      <w:pPr>
        <w:jc w:val="both"/>
        <w:rPr>
          <w:sz w:val="20"/>
          <w:szCs w:val="20"/>
        </w:rPr>
      </w:pPr>
    </w:p>
    <w:p w:rsidR="002902C5" w:rsidRDefault="002902C5" w:rsidP="002902C5">
      <w:pPr>
        <w:jc w:val="both"/>
        <w:rPr>
          <w:sz w:val="20"/>
          <w:szCs w:val="20"/>
        </w:rPr>
      </w:pPr>
    </w:p>
    <w:p w:rsidR="002902C5" w:rsidRDefault="002902C5" w:rsidP="002902C5">
      <w:pPr>
        <w:jc w:val="both"/>
        <w:rPr>
          <w:sz w:val="20"/>
          <w:szCs w:val="20"/>
        </w:rPr>
      </w:pPr>
    </w:p>
    <w:p w:rsidR="002902C5" w:rsidRDefault="002902C5" w:rsidP="002902C5">
      <w:pPr>
        <w:jc w:val="both"/>
        <w:rPr>
          <w:sz w:val="20"/>
          <w:szCs w:val="20"/>
        </w:rPr>
      </w:pPr>
    </w:p>
    <w:p w:rsidR="002902C5" w:rsidRDefault="00AB0952" w:rsidP="002902C5">
      <w:pPr>
        <w:pStyle w:val="Kop1"/>
      </w:pPr>
      <w:bookmarkStart w:id="3" w:name="_Toc346802170"/>
      <w:r>
        <w:lastRenderedPageBreak/>
        <w:t>2.</w:t>
      </w:r>
      <w:r>
        <w:tab/>
        <w:t>Th</w:t>
      </w:r>
      <w:r w:rsidR="00DB7961">
        <w:t>eo</w:t>
      </w:r>
      <w:r w:rsidR="002902C5">
        <w:t>retisch kader</w:t>
      </w:r>
      <w:bookmarkEnd w:id="3"/>
    </w:p>
    <w:p w:rsidR="002902C5" w:rsidRPr="002902C5" w:rsidRDefault="002902C5" w:rsidP="002902C5"/>
    <w:p w:rsidR="002902C5" w:rsidRDefault="002902C5" w:rsidP="002902C5">
      <w:pPr>
        <w:jc w:val="both"/>
        <w:rPr>
          <w:sz w:val="20"/>
          <w:szCs w:val="20"/>
        </w:rPr>
      </w:pPr>
      <w:r>
        <w:rPr>
          <w:sz w:val="20"/>
          <w:szCs w:val="20"/>
        </w:rPr>
        <w:t>In dit hoofdstuk zal besproken worden wat er in dit onderzoek precies aan bod komt, waarom dit onderzoek relevant is en wat we al van soortgelijke onderzoeken weten.</w:t>
      </w:r>
    </w:p>
    <w:p w:rsidR="002902C5" w:rsidRDefault="002902C5" w:rsidP="002902C5">
      <w:pPr>
        <w:pStyle w:val="Kop3"/>
      </w:pPr>
      <w:bookmarkStart w:id="4" w:name="_Toc346802171"/>
      <w:r>
        <w:t xml:space="preserve">2.1 </w:t>
      </w:r>
      <w:r>
        <w:tab/>
        <w:t>Effect evidentie op overtuigingskracht</w:t>
      </w:r>
      <w:bookmarkEnd w:id="4"/>
    </w:p>
    <w:p w:rsidR="002902C5" w:rsidRDefault="00AB4C69" w:rsidP="002902C5">
      <w:pPr>
        <w:jc w:val="both"/>
        <w:rPr>
          <w:sz w:val="20"/>
          <w:szCs w:val="20"/>
        </w:rPr>
      </w:pPr>
      <w:r>
        <w:rPr>
          <w:sz w:val="20"/>
          <w:szCs w:val="20"/>
        </w:rPr>
        <w:t>Dit</w:t>
      </w:r>
      <w:r w:rsidR="002902C5">
        <w:rPr>
          <w:sz w:val="20"/>
          <w:szCs w:val="20"/>
        </w:rPr>
        <w:t xml:space="preserve"> onderzoeksverslag </w:t>
      </w:r>
      <w:r>
        <w:rPr>
          <w:sz w:val="20"/>
          <w:szCs w:val="20"/>
        </w:rPr>
        <w:t xml:space="preserve">beschrijft </w:t>
      </w:r>
      <w:r w:rsidR="002902C5">
        <w:rPr>
          <w:sz w:val="20"/>
          <w:szCs w:val="20"/>
        </w:rPr>
        <w:t xml:space="preserve">een experiment naar twee verschillende typen evidentie, namelijk naar statistische evidentie en naar anekdotische evidentie. Er zal onderzocht gaan worden welk type evidentie als meest overtuigend wordt ervaren en hoe groot de eventuele invloed van </w:t>
      </w:r>
      <w:r w:rsidR="00F177C9">
        <w:rPr>
          <w:sz w:val="20"/>
          <w:szCs w:val="20"/>
        </w:rPr>
        <w:t xml:space="preserve">de </w:t>
      </w:r>
      <w:r w:rsidR="002902C5">
        <w:rPr>
          <w:sz w:val="20"/>
          <w:szCs w:val="20"/>
        </w:rPr>
        <w:t xml:space="preserve">bron daarop is. </w:t>
      </w:r>
    </w:p>
    <w:p w:rsidR="002902C5" w:rsidRDefault="002902C5" w:rsidP="002902C5">
      <w:pPr>
        <w:jc w:val="both"/>
        <w:rPr>
          <w:rFonts w:cs="AGaramond-Regular"/>
          <w:sz w:val="20"/>
          <w:szCs w:val="20"/>
        </w:rPr>
      </w:pPr>
      <w:r>
        <w:rPr>
          <w:sz w:val="20"/>
          <w:szCs w:val="20"/>
        </w:rPr>
        <w:t xml:space="preserve">Op de vraag welk type evidentie het meest overtuigend is, heeft men al </w:t>
      </w:r>
      <w:r w:rsidR="00772985">
        <w:rPr>
          <w:sz w:val="20"/>
          <w:szCs w:val="20"/>
        </w:rPr>
        <w:t>meerdere keren</w:t>
      </w:r>
      <w:r>
        <w:rPr>
          <w:sz w:val="20"/>
          <w:szCs w:val="20"/>
        </w:rPr>
        <w:t xml:space="preserve"> </w:t>
      </w:r>
      <w:r w:rsidR="00772985">
        <w:rPr>
          <w:sz w:val="20"/>
          <w:szCs w:val="20"/>
        </w:rPr>
        <w:t>een antwoord proberen te geven.</w:t>
      </w:r>
      <w:r>
        <w:rPr>
          <w:sz w:val="20"/>
          <w:szCs w:val="20"/>
        </w:rPr>
        <w:t xml:space="preserve"> Zo heeft </w:t>
      </w:r>
      <w:proofErr w:type="spellStart"/>
      <w:r>
        <w:rPr>
          <w:sz w:val="20"/>
          <w:szCs w:val="20"/>
        </w:rPr>
        <w:t>Hornix</w:t>
      </w:r>
      <w:proofErr w:type="spellEnd"/>
      <w:r>
        <w:rPr>
          <w:sz w:val="20"/>
          <w:szCs w:val="20"/>
        </w:rPr>
        <w:t xml:space="preserve"> (2005) </w:t>
      </w:r>
      <w:r w:rsidRPr="00447311">
        <w:rPr>
          <w:sz w:val="20"/>
          <w:szCs w:val="20"/>
        </w:rPr>
        <w:t>een poging gedaan door verschillende onderzoeken naar statistische</w:t>
      </w:r>
      <w:r>
        <w:rPr>
          <w:sz w:val="20"/>
          <w:szCs w:val="20"/>
        </w:rPr>
        <w:t xml:space="preserve"> evidentie</w:t>
      </w:r>
      <w:r w:rsidRPr="00447311">
        <w:rPr>
          <w:sz w:val="20"/>
          <w:szCs w:val="20"/>
        </w:rPr>
        <w:t>, causale</w:t>
      </w:r>
      <w:r>
        <w:rPr>
          <w:sz w:val="20"/>
          <w:szCs w:val="20"/>
        </w:rPr>
        <w:t xml:space="preserve"> evidentie</w:t>
      </w:r>
      <w:r w:rsidRPr="00447311">
        <w:rPr>
          <w:sz w:val="20"/>
          <w:szCs w:val="20"/>
        </w:rPr>
        <w:t>, anekdotische</w:t>
      </w:r>
      <w:r>
        <w:rPr>
          <w:sz w:val="20"/>
          <w:szCs w:val="20"/>
        </w:rPr>
        <w:t xml:space="preserve"> evidentie</w:t>
      </w:r>
      <w:r w:rsidRPr="00447311">
        <w:rPr>
          <w:sz w:val="20"/>
          <w:szCs w:val="20"/>
        </w:rPr>
        <w:t xml:space="preserve"> en expert evidentie met elkaar t</w:t>
      </w:r>
      <w:r>
        <w:rPr>
          <w:sz w:val="20"/>
          <w:szCs w:val="20"/>
        </w:rPr>
        <w:t xml:space="preserve">e </w:t>
      </w:r>
      <w:r w:rsidRPr="00EF506C">
        <w:rPr>
          <w:sz w:val="20"/>
          <w:szCs w:val="20"/>
        </w:rPr>
        <w:t>vergelijken. De definitie van de vier typen evidentie die bij deze onderzoeken is aangehouden, is</w:t>
      </w:r>
      <w:r>
        <w:rPr>
          <w:sz w:val="20"/>
          <w:szCs w:val="20"/>
        </w:rPr>
        <w:t xml:space="preserve"> van </w:t>
      </w:r>
      <w:proofErr w:type="spellStart"/>
      <w:r>
        <w:rPr>
          <w:sz w:val="20"/>
          <w:szCs w:val="20"/>
        </w:rPr>
        <w:t>Rieke</w:t>
      </w:r>
      <w:proofErr w:type="spellEnd"/>
      <w:r>
        <w:rPr>
          <w:sz w:val="20"/>
          <w:szCs w:val="20"/>
        </w:rPr>
        <w:t xml:space="preserve"> &amp; </w:t>
      </w:r>
      <w:proofErr w:type="spellStart"/>
      <w:r>
        <w:rPr>
          <w:sz w:val="20"/>
          <w:szCs w:val="20"/>
        </w:rPr>
        <w:t>Sillars</w:t>
      </w:r>
      <w:proofErr w:type="spellEnd"/>
      <w:r>
        <w:rPr>
          <w:sz w:val="20"/>
          <w:szCs w:val="20"/>
        </w:rPr>
        <w:t xml:space="preserve"> (1984): ‘Statistische evidentie is getalsmatig en bij deze vorm van evidentie wordt gebruik gemaakt van cijfers van bepaalde situaties. Deze cijfers zijn verkregen op basis van onderzoeken of steekproeven. Causale evidentie bestaat uit een oorzaak-gevolg relatie, anekdotische evidentie bestaat uit een voorbeeld van een specifiek geval en bij expert evidentie wordt de mening van een deskundige aangehaald’. In zijn meta-analyse heeft </w:t>
      </w:r>
      <w:proofErr w:type="spellStart"/>
      <w:r>
        <w:rPr>
          <w:sz w:val="20"/>
          <w:szCs w:val="20"/>
        </w:rPr>
        <w:t>Hornix</w:t>
      </w:r>
      <w:proofErr w:type="spellEnd"/>
      <w:r>
        <w:rPr>
          <w:sz w:val="20"/>
          <w:szCs w:val="20"/>
        </w:rPr>
        <w:t xml:space="preserve"> (2005) </w:t>
      </w:r>
      <w:r w:rsidRPr="00447311">
        <w:rPr>
          <w:sz w:val="20"/>
          <w:szCs w:val="20"/>
        </w:rPr>
        <w:t>twaalf onderzoeken gebruikt om statistische en anekdotische evidentie met elkaar te vergelijken. Uit zes van deze onderzoeken is gebleken dat statisti</w:t>
      </w:r>
      <w:r>
        <w:rPr>
          <w:sz w:val="20"/>
          <w:szCs w:val="20"/>
        </w:rPr>
        <w:t>sche evidentie overtuigender is dan anekdotische evidentie</w:t>
      </w:r>
      <w:r w:rsidRPr="00447311">
        <w:rPr>
          <w:sz w:val="20"/>
          <w:szCs w:val="20"/>
        </w:rPr>
        <w:t>. Zo hebben Allen et al. (2000) aan de hand van vijftien verschillende tek</w:t>
      </w:r>
      <w:r>
        <w:rPr>
          <w:sz w:val="20"/>
          <w:szCs w:val="20"/>
        </w:rPr>
        <w:t>sten ge</w:t>
      </w:r>
      <w:r w:rsidR="001043EC">
        <w:rPr>
          <w:sz w:val="20"/>
          <w:szCs w:val="20"/>
        </w:rPr>
        <w:t>concludeerd</w:t>
      </w:r>
      <w:r>
        <w:rPr>
          <w:sz w:val="20"/>
          <w:szCs w:val="20"/>
        </w:rPr>
        <w:t xml:space="preserve"> dat statistische evidentie overtuigender is dan</w:t>
      </w:r>
      <w:r w:rsidRPr="00447311">
        <w:rPr>
          <w:sz w:val="20"/>
          <w:szCs w:val="20"/>
        </w:rPr>
        <w:t xml:space="preserve"> anekdotische </w:t>
      </w:r>
      <w:r>
        <w:rPr>
          <w:sz w:val="20"/>
          <w:szCs w:val="20"/>
        </w:rPr>
        <w:t>evidentie</w:t>
      </w:r>
      <w:r w:rsidRPr="00447311">
        <w:rPr>
          <w:sz w:val="20"/>
          <w:szCs w:val="20"/>
        </w:rPr>
        <w:t xml:space="preserve">. Uit de onderzoeken van </w:t>
      </w:r>
      <w:proofErr w:type="spellStart"/>
      <w:r w:rsidRPr="00447311">
        <w:rPr>
          <w:sz w:val="20"/>
          <w:szCs w:val="20"/>
        </w:rPr>
        <w:t>Baesler</w:t>
      </w:r>
      <w:proofErr w:type="spellEnd"/>
      <w:r w:rsidRPr="00447311">
        <w:rPr>
          <w:sz w:val="20"/>
          <w:szCs w:val="20"/>
        </w:rPr>
        <w:t xml:space="preserve"> en </w:t>
      </w:r>
      <w:proofErr w:type="spellStart"/>
      <w:r w:rsidRPr="00447311">
        <w:rPr>
          <w:sz w:val="20"/>
          <w:szCs w:val="20"/>
        </w:rPr>
        <w:t>Burgoon</w:t>
      </w:r>
      <w:proofErr w:type="spellEnd"/>
      <w:r w:rsidRPr="00447311">
        <w:rPr>
          <w:sz w:val="20"/>
          <w:szCs w:val="20"/>
        </w:rPr>
        <w:t xml:space="preserve"> (1994),  </w:t>
      </w:r>
      <w:proofErr w:type="spellStart"/>
      <w:r w:rsidRPr="00447311">
        <w:rPr>
          <w:rFonts w:cs="AGaramond-Regular"/>
          <w:sz w:val="20"/>
          <w:szCs w:val="20"/>
        </w:rPr>
        <w:t>Dickson</w:t>
      </w:r>
      <w:proofErr w:type="spellEnd"/>
      <w:r w:rsidRPr="00447311">
        <w:rPr>
          <w:rFonts w:cs="AGaramond-Regular"/>
          <w:sz w:val="20"/>
          <w:szCs w:val="20"/>
        </w:rPr>
        <w:t xml:space="preserve"> (1982), Hoeken (2001), Hoeken &amp; </w:t>
      </w:r>
      <w:proofErr w:type="spellStart"/>
      <w:r w:rsidRPr="00447311">
        <w:rPr>
          <w:rFonts w:cs="AGaramond-Regular"/>
          <w:sz w:val="20"/>
          <w:szCs w:val="20"/>
        </w:rPr>
        <w:t>Hustinx</w:t>
      </w:r>
      <w:proofErr w:type="spellEnd"/>
      <w:r w:rsidRPr="00447311">
        <w:rPr>
          <w:rFonts w:cs="AGaramond-Regular"/>
          <w:sz w:val="20"/>
          <w:szCs w:val="20"/>
        </w:rPr>
        <w:t xml:space="preserve"> (2003) en </w:t>
      </w:r>
      <w:proofErr w:type="spellStart"/>
      <w:r w:rsidRPr="00447311">
        <w:rPr>
          <w:rFonts w:cs="AGaramond-Regular"/>
          <w:sz w:val="20"/>
          <w:szCs w:val="20"/>
        </w:rPr>
        <w:t>Slater</w:t>
      </w:r>
      <w:proofErr w:type="spellEnd"/>
      <w:r w:rsidRPr="00447311">
        <w:rPr>
          <w:rFonts w:cs="AGaramond-Regular"/>
          <w:sz w:val="20"/>
          <w:szCs w:val="20"/>
        </w:rPr>
        <w:t xml:space="preserve"> &amp; </w:t>
      </w:r>
      <w:proofErr w:type="spellStart"/>
      <w:r w:rsidRPr="00447311">
        <w:rPr>
          <w:rFonts w:cs="AGaramond-Regular"/>
          <w:sz w:val="20"/>
          <w:szCs w:val="20"/>
        </w:rPr>
        <w:t>Rouner</w:t>
      </w:r>
      <w:proofErr w:type="spellEnd"/>
      <w:r w:rsidRPr="00447311">
        <w:rPr>
          <w:rFonts w:cs="AGaramond-Regular"/>
          <w:sz w:val="20"/>
          <w:szCs w:val="20"/>
        </w:rPr>
        <w:t xml:space="preserve"> (1996) is hetzelfde gebleken. </w:t>
      </w:r>
      <w:r>
        <w:rPr>
          <w:rFonts w:cs="AGaramond-Regular"/>
          <w:sz w:val="20"/>
          <w:szCs w:val="20"/>
        </w:rPr>
        <w:t xml:space="preserve">Er wordt in al deze onderzoeken bevestigd dat statistische evidentie overtuigender is dan anekdotische evidentie. </w:t>
      </w:r>
      <w:r w:rsidRPr="00447311">
        <w:rPr>
          <w:rFonts w:cs="AGaramond-Regular"/>
          <w:sz w:val="20"/>
          <w:szCs w:val="20"/>
        </w:rPr>
        <w:t xml:space="preserve">Toch blijkt dit niet voor iedere situatie te gelden, want </w:t>
      </w:r>
      <w:proofErr w:type="spellStart"/>
      <w:r w:rsidRPr="00447311">
        <w:rPr>
          <w:rFonts w:cs="AGaramond-Regular"/>
          <w:sz w:val="20"/>
          <w:szCs w:val="20"/>
        </w:rPr>
        <w:t>Hornix</w:t>
      </w:r>
      <w:proofErr w:type="spellEnd"/>
      <w:r w:rsidRPr="00447311">
        <w:rPr>
          <w:rFonts w:cs="AGaramond-Regular"/>
          <w:sz w:val="20"/>
          <w:szCs w:val="20"/>
        </w:rPr>
        <w:t xml:space="preserve"> (2005) noemt ook een onderzoek van </w:t>
      </w:r>
      <w:proofErr w:type="spellStart"/>
      <w:r w:rsidRPr="00447311">
        <w:rPr>
          <w:rFonts w:cs="AGaramond-Regular"/>
          <w:sz w:val="20"/>
          <w:szCs w:val="20"/>
        </w:rPr>
        <w:t>Koballo</w:t>
      </w:r>
      <w:proofErr w:type="spellEnd"/>
      <w:r w:rsidRPr="00447311">
        <w:rPr>
          <w:rFonts w:cs="AGaramond-Regular"/>
          <w:sz w:val="20"/>
          <w:szCs w:val="20"/>
        </w:rPr>
        <w:t xml:space="preserve"> (1986). In dit onderzoek is gebruik gemaakt van twee algemene stellingen over de introductie van een nieuw wetenschappelijk programma. Dit nieuwe programma zou tot betere resultaten gaan leiden. De respondenten kregen twee boodschappen, iedere keer van een ander wetenschappelijk programma en </w:t>
      </w:r>
      <w:r>
        <w:rPr>
          <w:rFonts w:cs="AGaramond-Regular"/>
          <w:sz w:val="20"/>
          <w:szCs w:val="20"/>
        </w:rPr>
        <w:t xml:space="preserve">eveneens met een </w:t>
      </w:r>
      <w:r w:rsidRPr="00447311">
        <w:rPr>
          <w:rFonts w:cs="AGaramond-Regular"/>
          <w:sz w:val="20"/>
          <w:szCs w:val="20"/>
        </w:rPr>
        <w:t>ander type evidentie. Beide typen evidentie ondersteunen de</w:t>
      </w:r>
      <w:r>
        <w:rPr>
          <w:rFonts w:cs="AGaramond-Regular"/>
          <w:sz w:val="20"/>
          <w:szCs w:val="20"/>
        </w:rPr>
        <w:t xml:space="preserve"> twee</w:t>
      </w:r>
      <w:r w:rsidRPr="00447311">
        <w:rPr>
          <w:rFonts w:cs="AGaramond-Regular"/>
          <w:sz w:val="20"/>
          <w:szCs w:val="20"/>
        </w:rPr>
        <w:t xml:space="preserve"> boodschap</w:t>
      </w:r>
      <w:r>
        <w:rPr>
          <w:rFonts w:cs="AGaramond-Regular"/>
          <w:sz w:val="20"/>
          <w:szCs w:val="20"/>
        </w:rPr>
        <w:t>pen</w:t>
      </w:r>
      <w:r w:rsidRPr="00447311">
        <w:rPr>
          <w:rFonts w:cs="AGaramond-Regular"/>
          <w:sz w:val="20"/>
          <w:szCs w:val="20"/>
        </w:rPr>
        <w:t xml:space="preserve">. </w:t>
      </w:r>
      <w:proofErr w:type="spellStart"/>
      <w:r w:rsidRPr="00447311">
        <w:rPr>
          <w:rFonts w:cs="AGaramond-Regular"/>
          <w:sz w:val="20"/>
          <w:szCs w:val="20"/>
        </w:rPr>
        <w:t>Koballo</w:t>
      </w:r>
      <w:proofErr w:type="spellEnd"/>
      <w:r w:rsidRPr="00447311">
        <w:rPr>
          <w:rFonts w:cs="AGaramond-Regular"/>
          <w:sz w:val="20"/>
          <w:szCs w:val="20"/>
        </w:rPr>
        <w:t xml:space="preserve"> (1986) vond als resultaat dat mensen meer werden overtuigd door iemand die het wetenschappelijke programma zelf had doorlopen. Anekdotische </w:t>
      </w:r>
      <w:r>
        <w:rPr>
          <w:rFonts w:cs="AGaramond-Regular"/>
          <w:sz w:val="20"/>
          <w:szCs w:val="20"/>
        </w:rPr>
        <w:t>evidentie</w:t>
      </w:r>
      <w:r w:rsidR="001043EC">
        <w:rPr>
          <w:rFonts w:cs="AGaramond-Regular"/>
          <w:sz w:val="20"/>
          <w:szCs w:val="20"/>
        </w:rPr>
        <w:t xml:space="preserve"> bleek dus overtuigender te zijn </w:t>
      </w:r>
      <w:r w:rsidRPr="00447311">
        <w:rPr>
          <w:rFonts w:cs="AGaramond-Regular"/>
          <w:sz w:val="20"/>
          <w:szCs w:val="20"/>
        </w:rPr>
        <w:t xml:space="preserve">dan statistische </w:t>
      </w:r>
      <w:r>
        <w:rPr>
          <w:rFonts w:cs="AGaramond-Regular"/>
          <w:sz w:val="20"/>
          <w:szCs w:val="20"/>
        </w:rPr>
        <w:t>evidentie</w:t>
      </w:r>
      <w:r w:rsidRPr="00447311">
        <w:rPr>
          <w:rFonts w:cs="AGaramond-Regular"/>
          <w:sz w:val="20"/>
          <w:szCs w:val="20"/>
        </w:rPr>
        <w:t>. In de overige vijf onderzoeken naar statistische en anekdotische</w:t>
      </w:r>
      <w:r>
        <w:rPr>
          <w:rFonts w:cs="AGaramond-Regular"/>
          <w:sz w:val="20"/>
          <w:szCs w:val="20"/>
        </w:rPr>
        <w:t xml:space="preserve"> evidentie</w:t>
      </w:r>
      <w:r w:rsidRPr="00447311">
        <w:rPr>
          <w:rFonts w:cs="AGaramond-Regular"/>
          <w:sz w:val="20"/>
          <w:szCs w:val="20"/>
        </w:rPr>
        <w:t xml:space="preserve"> die </w:t>
      </w:r>
      <w:proofErr w:type="spellStart"/>
      <w:r w:rsidRPr="00447311">
        <w:rPr>
          <w:rFonts w:cs="AGaramond-Regular"/>
          <w:sz w:val="20"/>
          <w:szCs w:val="20"/>
        </w:rPr>
        <w:t>Hornix</w:t>
      </w:r>
      <w:proofErr w:type="spellEnd"/>
      <w:r w:rsidRPr="00447311">
        <w:rPr>
          <w:rFonts w:cs="AGaramond-Regular"/>
          <w:sz w:val="20"/>
          <w:szCs w:val="20"/>
        </w:rPr>
        <w:t xml:space="preserve"> (2005) noemt, </w:t>
      </w:r>
      <w:r>
        <w:rPr>
          <w:rFonts w:cs="AGaramond-Regular"/>
          <w:sz w:val="20"/>
          <w:szCs w:val="20"/>
        </w:rPr>
        <w:t>bleken beide typen evidentie gelijkwaardige resultaten op te leveren.</w:t>
      </w:r>
      <w:r w:rsidRPr="00447311">
        <w:rPr>
          <w:rFonts w:cs="AGaramond-Regular"/>
          <w:sz w:val="20"/>
          <w:szCs w:val="20"/>
        </w:rPr>
        <w:t xml:space="preserve"> </w:t>
      </w:r>
      <w:r>
        <w:rPr>
          <w:rFonts w:cs="AGaramond-Regular"/>
          <w:sz w:val="20"/>
          <w:szCs w:val="20"/>
        </w:rPr>
        <w:t>Concluderend kunnen we dus stellen dat s</w:t>
      </w:r>
      <w:r w:rsidRPr="00447311">
        <w:rPr>
          <w:rFonts w:cs="AGaramond-Regular"/>
          <w:sz w:val="20"/>
          <w:szCs w:val="20"/>
        </w:rPr>
        <w:t xml:space="preserve">tatistische </w:t>
      </w:r>
      <w:r>
        <w:rPr>
          <w:rFonts w:cs="AGaramond-Regular"/>
          <w:sz w:val="20"/>
          <w:szCs w:val="20"/>
        </w:rPr>
        <w:t>evidentie</w:t>
      </w:r>
      <w:r w:rsidRPr="00447311">
        <w:rPr>
          <w:rFonts w:cs="AGaramond-Regular"/>
          <w:sz w:val="20"/>
          <w:szCs w:val="20"/>
        </w:rPr>
        <w:t xml:space="preserve"> </w:t>
      </w:r>
      <w:r>
        <w:rPr>
          <w:rFonts w:cs="AGaramond-Regular"/>
          <w:sz w:val="20"/>
          <w:szCs w:val="20"/>
        </w:rPr>
        <w:t>in de meeste gevallen</w:t>
      </w:r>
      <w:r w:rsidRPr="00447311">
        <w:rPr>
          <w:rFonts w:cs="AGaramond-Regular"/>
          <w:sz w:val="20"/>
          <w:szCs w:val="20"/>
        </w:rPr>
        <w:t xml:space="preserve"> overtuigender </w:t>
      </w:r>
      <w:r>
        <w:rPr>
          <w:rFonts w:cs="AGaramond-Regular"/>
          <w:sz w:val="20"/>
          <w:szCs w:val="20"/>
        </w:rPr>
        <w:t xml:space="preserve">is </w:t>
      </w:r>
      <w:r w:rsidRPr="00447311">
        <w:rPr>
          <w:rFonts w:cs="AGaramond-Regular"/>
          <w:sz w:val="20"/>
          <w:szCs w:val="20"/>
        </w:rPr>
        <w:t xml:space="preserve">dan anekdotische </w:t>
      </w:r>
      <w:r>
        <w:rPr>
          <w:rFonts w:cs="AGaramond-Regular"/>
          <w:sz w:val="20"/>
          <w:szCs w:val="20"/>
        </w:rPr>
        <w:t>evidentie</w:t>
      </w:r>
      <w:r w:rsidRPr="00447311">
        <w:rPr>
          <w:rFonts w:cs="AGaramond-Regular"/>
          <w:sz w:val="20"/>
          <w:szCs w:val="20"/>
        </w:rPr>
        <w:t xml:space="preserve">. Dit komt overeen met de resultaten van een meta-analyse die Allen en </w:t>
      </w:r>
      <w:proofErr w:type="spellStart"/>
      <w:r w:rsidRPr="00447311">
        <w:rPr>
          <w:rFonts w:cs="AGaramond-Regular"/>
          <w:sz w:val="20"/>
          <w:szCs w:val="20"/>
        </w:rPr>
        <w:t>Preiss</w:t>
      </w:r>
      <w:proofErr w:type="spellEnd"/>
      <w:r w:rsidRPr="00447311">
        <w:rPr>
          <w:rFonts w:cs="AGaramond-Regular"/>
          <w:sz w:val="20"/>
          <w:szCs w:val="20"/>
        </w:rPr>
        <w:t xml:space="preserve"> (1997) hebben gedaan. </w:t>
      </w:r>
    </w:p>
    <w:p w:rsidR="002902C5" w:rsidRDefault="002902C5" w:rsidP="002902C5">
      <w:pPr>
        <w:jc w:val="both"/>
        <w:rPr>
          <w:sz w:val="20"/>
          <w:szCs w:val="20"/>
        </w:rPr>
      </w:pPr>
      <w:r>
        <w:rPr>
          <w:rFonts w:cs="AGaramond-Regular"/>
          <w:sz w:val="20"/>
          <w:szCs w:val="20"/>
        </w:rPr>
        <w:t xml:space="preserve">Naast de meta-analyse van </w:t>
      </w:r>
      <w:proofErr w:type="spellStart"/>
      <w:r>
        <w:rPr>
          <w:rFonts w:cs="AGaramond-Regular"/>
          <w:sz w:val="20"/>
          <w:szCs w:val="20"/>
        </w:rPr>
        <w:t>Hornix</w:t>
      </w:r>
      <w:proofErr w:type="spellEnd"/>
      <w:r>
        <w:rPr>
          <w:rFonts w:cs="AGaramond-Regular"/>
          <w:sz w:val="20"/>
          <w:szCs w:val="20"/>
        </w:rPr>
        <w:t xml:space="preserve"> (2005) heeft ook </w:t>
      </w:r>
      <w:r>
        <w:rPr>
          <w:sz w:val="20"/>
          <w:szCs w:val="20"/>
        </w:rPr>
        <w:t xml:space="preserve">Hoeken (2001) onderzoek gedaan naar statistische, causale en anekdotische evidentie. Dit heeft hij gedaan door respondenten een nieuwsbericht te laten lezen dat verschillende </w:t>
      </w:r>
      <w:r w:rsidR="00481475">
        <w:rPr>
          <w:sz w:val="20"/>
          <w:szCs w:val="20"/>
        </w:rPr>
        <w:t>typen</w:t>
      </w:r>
      <w:r>
        <w:rPr>
          <w:sz w:val="20"/>
          <w:szCs w:val="20"/>
        </w:rPr>
        <w:t xml:space="preserve"> argumenten bevatte, namelijk: analoge argumenten, generaliserende argumenten en oorzakelijke argumenten. Een aanname van Hoeken (2001) is dat een goed argument moet worden beoordeeld als zijnde ‘gewenst’ en als ‘waarschijnlijk’. De claim die in de nieuwsberichten werd gebruikt, is bij alle typen evidenties aangenomen door de respondenten. Hoeken (2001) concludeert dat statistische evidentie overtuigender is dan anekdotische evidentie en causale evidentie. De conditie met de anekdotische evidentie werd daarnaast zelfs </w:t>
      </w:r>
      <w:r w:rsidR="002F300D">
        <w:rPr>
          <w:sz w:val="20"/>
          <w:szCs w:val="20"/>
        </w:rPr>
        <w:t>als nog</w:t>
      </w:r>
      <w:r>
        <w:rPr>
          <w:sz w:val="20"/>
          <w:szCs w:val="20"/>
        </w:rPr>
        <w:t xml:space="preserve"> minder persuasief ervaren dan de conditie met de causale evidentie.</w:t>
      </w:r>
    </w:p>
    <w:p w:rsidR="002902C5" w:rsidRPr="00ED183D" w:rsidRDefault="002902C5" w:rsidP="002902C5">
      <w:pPr>
        <w:jc w:val="both"/>
        <w:rPr>
          <w:rFonts w:cs="AGaramond-Regular"/>
          <w:sz w:val="20"/>
          <w:szCs w:val="20"/>
        </w:rPr>
      </w:pPr>
      <w:r>
        <w:rPr>
          <w:sz w:val="20"/>
          <w:szCs w:val="20"/>
        </w:rPr>
        <w:t xml:space="preserve">Een ander voorbeeld van een onderzoek dat de overtuigingskracht van statistische evidentie vergelijkt met de overtuigingskracht van anekdotische evidentie, is een onderzoek van Hoeken &amp; </w:t>
      </w:r>
      <w:proofErr w:type="spellStart"/>
      <w:r>
        <w:rPr>
          <w:sz w:val="20"/>
          <w:szCs w:val="20"/>
        </w:rPr>
        <w:t>Hustinx</w:t>
      </w:r>
      <w:proofErr w:type="spellEnd"/>
      <w:r>
        <w:rPr>
          <w:sz w:val="20"/>
          <w:szCs w:val="20"/>
        </w:rPr>
        <w:t xml:space="preserve"> (2009). Uit dit onderzoek blijkt dat het type argument belangrijk is als gekeken wordt naar de vraag of statistische evidentie overtuigender is dan anekdotische evidentie. Ook in dit onderzoek werden verschillende argumenten gebruikt. Bij</w:t>
      </w:r>
      <w:r w:rsidR="008D5B0C">
        <w:rPr>
          <w:sz w:val="20"/>
          <w:szCs w:val="20"/>
        </w:rPr>
        <w:t xml:space="preserve"> de analoge argumenten bleek</w:t>
      </w:r>
      <w:r>
        <w:rPr>
          <w:sz w:val="20"/>
          <w:szCs w:val="20"/>
        </w:rPr>
        <w:t xml:space="preserve"> statistische evidentie in dezelfde mate overtuigend </w:t>
      </w:r>
      <w:r w:rsidR="008D5B0C">
        <w:rPr>
          <w:sz w:val="20"/>
          <w:szCs w:val="20"/>
        </w:rPr>
        <w:t>te zijn</w:t>
      </w:r>
      <w:r>
        <w:rPr>
          <w:sz w:val="20"/>
          <w:szCs w:val="20"/>
        </w:rPr>
        <w:t xml:space="preserve"> als anekdotische </w:t>
      </w:r>
      <w:r>
        <w:rPr>
          <w:sz w:val="20"/>
          <w:szCs w:val="20"/>
        </w:rPr>
        <w:lastRenderedPageBreak/>
        <w:t xml:space="preserve">evidentie. In het geval van de generaliserende argumenten bleek dat statistische evidentie overtuigender is dan anekdotische evidentie. </w:t>
      </w:r>
    </w:p>
    <w:p w:rsidR="002902C5" w:rsidRDefault="002902C5" w:rsidP="002902C5">
      <w:pPr>
        <w:pStyle w:val="Kop3"/>
      </w:pPr>
      <w:bookmarkStart w:id="5" w:name="_Toc346802172"/>
      <w:r>
        <w:t xml:space="preserve">2.2 </w:t>
      </w:r>
      <w:r>
        <w:tab/>
        <w:t>Effect bron op overtuigingskracht</w:t>
      </w:r>
      <w:bookmarkEnd w:id="5"/>
    </w:p>
    <w:p w:rsidR="002902C5" w:rsidRDefault="002902C5" w:rsidP="002902C5">
      <w:pPr>
        <w:jc w:val="both"/>
        <w:rPr>
          <w:sz w:val="20"/>
          <w:szCs w:val="20"/>
        </w:rPr>
      </w:pPr>
      <w:r>
        <w:rPr>
          <w:sz w:val="20"/>
          <w:szCs w:val="20"/>
        </w:rPr>
        <w:t>In voorgaand</w:t>
      </w:r>
      <w:r w:rsidR="00C636F2">
        <w:rPr>
          <w:sz w:val="20"/>
          <w:szCs w:val="20"/>
        </w:rPr>
        <w:t>e</w:t>
      </w:r>
      <w:r>
        <w:rPr>
          <w:sz w:val="20"/>
          <w:szCs w:val="20"/>
        </w:rPr>
        <w:t xml:space="preserve"> onderzoek</w:t>
      </w:r>
      <w:r w:rsidR="00C636F2">
        <w:rPr>
          <w:sz w:val="20"/>
          <w:szCs w:val="20"/>
        </w:rPr>
        <w:t>en</w:t>
      </w:r>
      <w:r>
        <w:rPr>
          <w:sz w:val="20"/>
          <w:szCs w:val="20"/>
        </w:rPr>
        <w:t xml:space="preserve"> naar overtuigingskracht is de bron soms meegenomen als variabele. Dat de bron een variabele kan zijn die daadwerkelijk invloed heeft op de overtuigingskracht, blijkt onder andere uit onderzoek van </w:t>
      </w:r>
      <w:proofErr w:type="spellStart"/>
      <w:r>
        <w:rPr>
          <w:sz w:val="20"/>
          <w:szCs w:val="20"/>
        </w:rPr>
        <w:t>Petty</w:t>
      </w:r>
      <w:proofErr w:type="spellEnd"/>
      <w:r>
        <w:rPr>
          <w:sz w:val="20"/>
          <w:szCs w:val="20"/>
        </w:rPr>
        <w:t xml:space="preserve">, </w:t>
      </w:r>
      <w:proofErr w:type="spellStart"/>
      <w:r>
        <w:rPr>
          <w:sz w:val="20"/>
          <w:szCs w:val="20"/>
        </w:rPr>
        <w:t>Cacioppo</w:t>
      </w:r>
      <w:proofErr w:type="spellEnd"/>
      <w:r>
        <w:rPr>
          <w:sz w:val="20"/>
          <w:szCs w:val="20"/>
        </w:rPr>
        <w:t xml:space="preserve"> &amp;</w:t>
      </w:r>
      <w:r w:rsidR="0033695A">
        <w:rPr>
          <w:sz w:val="20"/>
          <w:szCs w:val="20"/>
        </w:rPr>
        <w:t xml:space="preserve"> Goldman (1981). </w:t>
      </w:r>
      <w:r>
        <w:rPr>
          <w:sz w:val="20"/>
          <w:szCs w:val="20"/>
        </w:rPr>
        <w:t xml:space="preserve">Als mensen argumenten goed willen begrijpen (en dus hoog elaboreren), heeft de geloofwaardigheid van de bron een grote invloed op de uitkomst van het overtuigingsproces. De geloofwaardigheid van de bron is in het onderzoek van </w:t>
      </w:r>
      <w:proofErr w:type="spellStart"/>
      <w:r>
        <w:rPr>
          <w:sz w:val="20"/>
          <w:szCs w:val="20"/>
        </w:rPr>
        <w:t>Petty</w:t>
      </w:r>
      <w:proofErr w:type="spellEnd"/>
      <w:r>
        <w:rPr>
          <w:sz w:val="20"/>
          <w:szCs w:val="20"/>
        </w:rPr>
        <w:t xml:space="preserve">, </w:t>
      </w:r>
      <w:proofErr w:type="spellStart"/>
      <w:r>
        <w:rPr>
          <w:sz w:val="20"/>
          <w:szCs w:val="20"/>
        </w:rPr>
        <w:t>Cacioppo</w:t>
      </w:r>
      <w:proofErr w:type="spellEnd"/>
      <w:r>
        <w:rPr>
          <w:sz w:val="20"/>
          <w:szCs w:val="20"/>
        </w:rPr>
        <w:t xml:space="preserve"> &amp; Goldman (1981) gemanipuleerd door de deskundigheid van de bron te veranderen. Dat de geloofwaardigheid van de bron invloed uitoefent op het overtuigingsproces, blijkt ook uit onderzoek van onder andere </w:t>
      </w:r>
      <w:proofErr w:type="spellStart"/>
      <w:r>
        <w:rPr>
          <w:sz w:val="20"/>
          <w:szCs w:val="20"/>
        </w:rPr>
        <w:t>Chaiken</w:t>
      </w:r>
      <w:proofErr w:type="spellEnd"/>
      <w:r>
        <w:rPr>
          <w:sz w:val="20"/>
          <w:szCs w:val="20"/>
        </w:rPr>
        <w:t xml:space="preserve"> (1980), </w:t>
      </w:r>
      <w:proofErr w:type="spellStart"/>
      <w:r>
        <w:rPr>
          <w:sz w:val="20"/>
          <w:szCs w:val="20"/>
        </w:rPr>
        <w:t>Chaiken</w:t>
      </w:r>
      <w:proofErr w:type="spellEnd"/>
      <w:r>
        <w:rPr>
          <w:sz w:val="20"/>
          <w:szCs w:val="20"/>
        </w:rPr>
        <w:t xml:space="preserve"> &amp; </w:t>
      </w:r>
      <w:proofErr w:type="spellStart"/>
      <w:r>
        <w:rPr>
          <w:sz w:val="20"/>
          <w:szCs w:val="20"/>
        </w:rPr>
        <w:t>Maheswaran</w:t>
      </w:r>
      <w:proofErr w:type="spellEnd"/>
      <w:r>
        <w:rPr>
          <w:sz w:val="20"/>
          <w:szCs w:val="20"/>
        </w:rPr>
        <w:t xml:space="preserve"> (1994), </w:t>
      </w:r>
      <w:proofErr w:type="spellStart"/>
      <w:r>
        <w:rPr>
          <w:sz w:val="20"/>
          <w:szCs w:val="20"/>
        </w:rPr>
        <w:t>Grewal</w:t>
      </w:r>
      <w:proofErr w:type="spellEnd"/>
      <w:r>
        <w:rPr>
          <w:sz w:val="20"/>
          <w:szCs w:val="20"/>
        </w:rPr>
        <w:t xml:space="preserve">, </w:t>
      </w:r>
      <w:proofErr w:type="spellStart"/>
      <w:r>
        <w:rPr>
          <w:sz w:val="20"/>
          <w:szCs w:val="20"/>
        </w:rPr>
        <w:t>Gotlieb</w:t>
      </w:r>
      <w:proofErr w:type="spellEnd"/>
      <w:r>
        <w:rPr>
          <w:sz w:val="20"/>
          <w:szCs w:val="20"/>
        </w:rPr>
        <w:t xml:space="preserve"> &amp; </w:t>
      </w:r>
      <w:proofErr w:type="spellStart"/>
      <w:r>
        <w:rPr>
          <w:sz w:val="20"/>
          <w:szCs w:val="20"/>
        </w:rPr>
        <w:t>Marmorstein</w:t>
      </w:r>
      <w:proofErr w:type="spellEnd"/>
      <w:r>
        <w:rPr>
          <w:sz w:val="20"/>
          <w:szCs w:val="20"/>
        </w:rPr>
        <w:t xml:space="preserve"> (1994) en </w:t>
      </w:r>
      <w:proofErr w:type="spellStart"/>
      <w:r>
        <w:rPr>
          <w:sz w:val="20"/>
          <w:szCs w:val="20"/>
        </w:rPr>
        <w:t>Mazursky</w:t>
      </w:r>
      <w:proofErr w:type="spellEnd"/>
      <w:r>
        <w:rPr>
          <w:sz w:val="20"/>
          <w:szCs w:val="20"/>
        </w:rPr>
        <w:t xml:space="preserve"> &amp; </w:t>
      </w:r>
      <w:proofErr w:type="spellStart"/>
      <w:r>
        <w:rPr>
          <w:sz w:val="20"/>
          <w:szCs w:val="20"/>
        </w:rPr>
        <w:t>Schul</w:t>
      </w:r>
      <w:proofErr w:type="spellEnd"/>
      <w:r>
        <w:rPr>
          <w:sz w:val="20"/>
          <w:szCs w:val="20"/>
        </w:rPr>
        <w:t xml:space="preserve"> (1992). Echter, geloofwaardigheid wordt niet alleen door deskundigheid bepaald, maar ook door betrouwbaarheid (</w:t>
      </w:r>
      <w:proofErr w:type="spellStart"/>
      <w:r>
        <w:rPr>
          <w:sz w:val="20"/>
          <w:szCs w:val="20"/>
        </w:rPr>
        <w:t>Hovland</w:t>
      </w:r>
      <w:proofErr w:type="spellEnd"/>
      <w:r>
        <w:rPr>
          <w:sz w:val="20"/>
          <w:szCs w:val="20"/>
        </w:rPr>
        <w:t xml:space="preserve">, </w:t>
      </w:r>
      <w:proofErr w:type="spellStart"/>
      <w:r>
        <w:rPr>
          <w:sz w:val="20"/>
          <w:szCs w:val="20"/>
        </w:rPr>
        <w:t>Janis</w:t>
      </w:r>
      <w:proofErr w:type="spellEnd"/>
      <w:r>
        <w:rPr>
          <w:sz w:val="20"/>
          <w:szCs w:val="20"/>
        </w:rPr>
        <w:t xml:space="preserve"> &amp; </w:t>
      </w:r>
      <w:proofErr w:type="spellStart"/>
      <w:r>
        <w:rPr>
          <w:sz w:val="20"/>
          <w:szCs w:val="20"/>
        </w:rPr>
        <w:t>Kelley</w:t>
      </w:r>
      <w:proofErr w:type="spellEnd"/>
      <w:r>
        <w:rPr>
          <w:sz w:val="20"/>
          <w:szCs w:val="20"/>
        </w:rPr>
        <w:t xml:space="preserve">, 1953). Betrouwbaarheid wordt vervolgens weer bepaald door belangeloosheid en oprechtheid van de bron. Naast de geloofwaardigheid van de bron is er nog een andere factor die een rol speelt in het overtuigingsproces, namelijk de aantrekkelijkheid van de bron. Zo concluderen </w:t>
      </w:r>
      <w:proofErr w:type="spellStart"/>
      <w:r>
        <w:rPr>
          <w:sz w:val="20"/>
          <w:szCs w:val="20"/>
        </w:rPr>
        <w:t>Eagly</w:t>
      </w:r>
      <w:proofErr w:type="spellEnd"/>
      <w:r>
        <w:rPr>
          <w:sz w:val="20"/>
          <w:szCs w:val="20"/>
        </w:rPr>
        <w:t xml:space="preserve"> et al. (1991) op basis van een meta-analyse dat mensen fysiek aantrekkelijke bronnen als socialer, intelligenter en zelfs als meer integer </w:t>
      </w:r>
      <w:r w:rsidR="000D51BE">
        <w:rPr>
          <w:sz w:val="20"/>
          <w:szCs w:val="20"/>
        </w:rPr>
        <w:t>in</w:t>
      </w:r>
      <w:r w:rsidR="005B6E9A">
        <w:rPr>
          <w:sz w:val="20"/>
          <w:szCs w:val="20"/>
        </w:rPr>
        <w:t>schatten</w:t>
      </w:r>
      <w:r>
        <w:rPr>
          <w:sz w:val="20"/>
          <w:szCs w:val="20"/>
        </w:rPr>
        <w:t>.</w:t>
      </w:r>
    </w:p>
    <w:p w:rsidR="002902C5" w:rsidRDefault="002902C5" w:rsidP="002902C5">
      <w:pPr>
        <w:jc w:val="both"/>
        <w:rPr>
          <w:sz w:val="20"/>
          <w:szCs w:val="20"/>
        </w:rPr>
      </w:pPr>
      <w:r>
        <w:rPr>
          <w:sz w:val="20"/>
          <w:szCs w:val="20"/>
        </w:rPr>
        <w:t>Als een bron als geloofwaardig wordt beschouwd, komt deze ook meer overtuigend over (Pornpitakpan, 2004). Pornpitakpan (2004) heeft dit aangetoond door eerdere onderzoeken op het gebied van brongeloofwaardigheid met elkaar te vergelijken. We kunnen dus stellen dat</w:t>
      </w:r>
      <w:r w:rsidR="006907F8">
        <w:rPr>
          <w:sz w:val="20"/>
          <w:szCs w:val="20"/>
        </w:rPr>
        <w:t xml:space="preserve"> de</w:t>
      </w:r>
      <w:r>
        <w:rPr>
          <w:sz w:val="20"/>
          <w:szCs w:val="20"/>
        </w:rPr>
        <w:t xml:space="preserve"> bron een rol speelt bij het overtuigingsproces. </w:t>
      </w:r>
    </w:p>
    <w:p w:rsidR="002902C5" w:rsidRDefault="002902C5" w:rsidP="002902C5">
      <w:pPr>
        <w:pStyle w:val="Kop3"/>
      </w:pPr>
      <w:bookmarkStart w:id="6" w:name="_Toc346802173"/>
      <w:r>
        <w:t xml:space="preserve">2.3 </w:t>
      </w:r>
      <w:r>
        <w:tab/>
        <w:t>Effect van communicatieve modaliteit</w:t>
      </w:r>
      <w:bookmarkEnd w:id="6"/>
    </w:p>
    <w:p w:rsidR="002902C5" w:rsidRDefault="002902C5" w:rsidP="002902C5">
      <w:pPr>
        <w:jc w:val="both"/>
        <w:rPr>
          <w:sz w:val="20"/>
          <w:szCs w:val="20"/>
        </w:rPr>
      </w:pPr>
      <w:r>
        <w:rPr>
          <w:sz w:val="20"/>
          <w:szCs w:val="20"/>
        </w:rPr>
        <w:t>Bij de</w:t>
      </w:r>
      <w:r w:rsidR="000D51BE">
        <w:rPr>
          <w:sz w:val="20"/>
          <w:szCs w:val="20"/>
        </w:rPr>
        <w:t xml:space="preserve"> </w:t>
      </w:r>
      <w:r>
        <w:rPr>
          <w:sz w:val="20"/>
          <w:szCs w:val="20"/>
        </w:rPr>
        <w:t>reeds besproken onderzoeken is er voor gekozen om de respondenten teksten voor te leggen waarin het type evide</w:t>
      </w:r>
      <w:r w:rsidR="006373BF">
        <w:rPr>
          <w:sz w:val="20"/>
          <w:szCs w:val="20"/>
        </w:rPr>
        <w:t>ntie of de bron gemanipuleerd i</w:t>
      </w:r>
      <w:r>
        <w:rPr>
          <w:sz w:val="20"/>
          <w:szCs w:val="20"/>
        </w:rPr>
        <w:t xml:space="preserve">s. Echter, bij het lezen van een tekst ziet men de bron wellicht eerder over het hoofd dan wanneer er een ander medium wordt gekozen, bijvoorbeeld video. Dat de bron inderdaad een essentiële rol speelt als de boodschap via beelden </w:t>
      </w:r>
      <w:r w:rsidRPr="005767BB">
        <w:rPr>
          <w:sz w:val="20"/>
          <w:szCs w:val="20"/>
        </w:rPr>
        <w:t xml:space="preserve">wordt overgebracht, blijkt wel uit onderzoek van </w:t>
      </w:r>
      <w:proofErr w:type="spellStart"/>
      <w:r w:rsidRPr="005767BB">
        <w:rPr>
          <w:sz w:val="20"/>
          <w:szCs w:val="20"/>
        </w:rPr>
        <w:t>Wiegeman</w:t>
      </w:r>
      <w:proofErr w:type="spellEnd"/>
      <w:r w:rsidRPr="005767BB">
        <w:rPr>
          <w:sz w:val="20"/>
          <w:szCs w:val="20"/>
        </w:rPr>
        <w:t xml:space="preserve"> (1985). In dit onderzoek is het verschil tussen twee Nederlandse politici onderzocht. De leider van de sociali</w:t>
      </w:r>
      <w:r>
        <w:rPr>
          <w:sz w:val="20"/>
          <w:szCs w:val="20"/>
        </w:rPr>
        <w:t>stische partij en de leider van de liberale partij</w:t>
      </w:r>
      <w:r w:rsidRPr="005767BB">
        <w:rPr>
          <w:sz w:val="20"/>
          <w:szCs w:val="20"/>
        </w:rPr>
        <w:t xml:space="preserve"> hebben beide een interview opgenomen voor de televisie. </w:t>
      </w:r>
      <w:r>
        <w:rPr>
          <w:sz w:val="20"/>
          <w:szCs w:val="20"/>
        </w:rPr>
        <w:t xml:space="preserve">Deze interviews zijn later uitgezonden. </w:t>
      </w:r>
      <w:r w:rsidRPr="005767BB">
        <w:rPr>
          <w:sz w:val="20"/>
          <w:szCs w:val="20"/>
        </w:rPr>
        <w:t>Deze interviews waren</w:t>
      </w:r>
      <w:r w:rsidR="00797805">
        <w:rPr>
          <w:sz w:val="20"/>
          <w:szCs w:val="20"/>
        </w:rPr>
        <w:t xml:space="preserve"> identiek, afgezien van de bron</w:t>
      </w:r>
      <w:r w:rsidRPr="005767BB">
        <w:rPr>
          <w:sz w:val="20"/>
          <w:szCs w:val="20"/>
        </w:rPr>
        <w:t xml:space="preserve">. Uit de resultaten van </w:t>
      </w:r>
      <w:proofErr w:type="spellStart"/>
      <w:r w:rsidRPr="005767BB">
        <w:rPr>
          <w:sz w:val="20"/>
          <w:szCs w:val="20"/>
        </w:rPr>
        <w:t>Wiegeman</w:t>
      </w:r>
      <w:proofErr w:type="spellEnd"/>
      <w:r w:rsidRPr="005767BB">
        <w:rPr>
          <w:sz w:val="20"/>
          <w:szCs w:val="20"/>
        </w:rPr>
        <w:t xml:space="preserve"> (1985) bleek dat de </w:t>
      </w:r>
      <w:r>
        <w:rPr>
          <w:sz w:val="20"/>
          <w:szCs w:val="20"/>
        </w:rPr>
        <w:t>afzender van de boodschap invloed</w:t>
      </w:r>
      <w:r w:rsidRPr="005767BB">
        <w:rPr>
          <w:sz w:val="20"/>
          <w:szCs w:val="20"/>
        </w:rPr>
        <w:t xml:space="preserve"> had op de attitude van de </w:t>
      </w:r>
      <w:r w:rsidR="00797805">
        <w:rPr>
          <w:sz w:val="20"/>
          <w:szCs w:val="20"/>
        </w:rPr>
        <w:t>respondenten</w:t>
      </w:r>
      <w:r w:rsidRPr="005767BB">
        <w:rPr>
          <w:sz w:val="20"/>
          <w:szCs w:val="20"/>
        </w:rPr>
        <w:t>. D</w:t>
      </w:r>
      <w:r>
        <w:rPr>
          <w:sz w:val="20"/>
          <w:szCs w:val="20"/>
        </w:rPr>
        <w:t>e attitudeverandering was duidelijker</w:t>
      </w:r>
      <w:r w:rsidRPr="005767BB">
        <w:rPr>
          <w:sz w:val="20"/>
          <w:szCs w:val="20"/>
        </w:rPr>
        <w:t xml:space="preserve"> voor de aantrekkelijke boodschap van dezelfde partij, dan voor de minder aantrekkelijke boodschap van de andere partij. De rol die de bron speelt in de mate waarin men overtuigd wordt, mag dus niet buiten beschouwing worden gelaten als men</w:t>
      </w:r>
      <w:r w:rsidR="00B822D6">
        <w:rPr>
          <w:sz w:val="20"/>
          <w:szCs w:val="20"/>
        </w:rPr>
        <w:t xml:space="preserve"> </w:t>
      </w:r>
      <w:r w:rsidR="000D51BE" w:rsidRPr="00B822D6">
        <w:rPr>
          <w:sz w:val="20"/>
          <w:szCs w:val="20"/>
        </w:rPr>
        <w:t>wilt</w:t>
      </w:r>
      <w:r w:rsidR="00481475">
        <w:rPr>
          <w:sz w:val="20"/>
          <w:szCs w:val="20"/>
        </w:rPr>
        <w:t xml:space="preserve"> weten welk</w:t>
      </w:r>
      <w:r w:rsidRPr="005767BB">
        <w:rPr>
          <w:sz w:val="20"/>
          <w:szCs w:val="20"/>
        </w:rPr>
        <w:t xml:space="preserve"> </w:t>
      </w:r>
      <w:r w:rsidR="00481475">
        <w:rPr>
          <w:sz w:val="20"/>
          <w:szCs w:val="20"/>
        </w:rPr>
        <w:t>type</w:t>
      </w:r>
      <w:r w:rsidRPr="005767BB">
        <w:rPr>
          <w:sz w:val="20"/>
          <w:szCs w:val="20"/>
        </w:rPr>
        <w:t xml:space="preserve"> evidentie het meest overtuigend is.</w:t>
      </w:r>
    </w:p>
    <w:p w:rsidR="002902C5" w:rsidRDefault="002902C5" w:rsidP="002902C5">
      <w:pPr>
        <w:jc w:val="both"/>
        <w:rPr>
          <w:sz w:val="20"/>
          <w:szCs w:val="20"/>
        </w:rPr>
      </w:pPr>
      <w:proofErr w:type="spellStart"/>
      <w:r>
        <w:rPr>
          <w:sz w:val="20"/>
          <w:szCs w:val="20"/>
        </w:rPr>
        <w:t>Borgida</w:t>
      </w:r>
      <w:proofErr w:type="spellEnd"/>
      <w:r>
        <w:rPr>
          <w:sz w:val="20"/>
          <w:szCs w:val="20"/>
        </w:rPr>
        <w:t xml:space="preserve"> &amp; </w:t>
      </w:r>
      <w:proofErr w:type="spellStart"/>
      <w:r>
        <w:rPr>
          <w:sz w:val="20"/>
          <w:szCs w:val="20"/>
        </w:rPr>
        <w:t>Nisbett</w:t>
      </w:r>
      <w:proofErr w:type="spellEnd"/>
      <w:r>
        <w:rPr>
          <w:sz w:val="20"/>
          <w:szCs w:val="20"/>
        </w:rPr>
        <w:t xml:space="preserve"> (1977) ondersteunen deze conclusie. Dat is dan ook de reden dat</w:t>
      </w:r>
      <w:r w:rsidR="000656C0">
        <w:rPr>
          <w:sz w:val="20"/>
          <w:szCs w:val="20"/>
        </w:rPr>
        <w:t xml:space="preserve"> ze</w:t>
      </w:r>
      <w:r>
        <w:rPr>
          <w:sz w:val="20"/>
          <w:szCs w:val="20"/>
        </w:rPr>
        <w:t xml:space="preserve"> in hun onderzoek naar de overtuigingskracht van verschillende </w:t>
      </w:r>
      <w:r w:rsidR="00481475">
        <w:rPr>
          <w:sz w:val="20"/>
          <w:szCs w:val="20"/>
        </w:rPr>
        <w:t>typen</w:t>
      </w:r>
      <w:r>
        <w:rPr>
          <w:sz w:val="20"/>
          <w:szCs w:val="20"/>
        </w:rPr>
        <w:t xml:space="preserve"> evidentie ook het eventuele effect van communicatieve modaliteit hebben meegenomen. Echter, </w:t>
      </w:r>
      <w:r w:rsidRPr="005767BB">
        <w:rPr>
          <w:sz w:val="20"/>
          <w:szCs w:val="20"/>
        </w:rPr>
        <w:t xml:space="preserve">het probleem van dit onderzoek is </w:t>
      </w:r>
      <w:r>
        <w:rPr>
          <w:sz w:val="20"/>
          <w:szCs w:val="20"/>
        </w:rPr>
        <w:t xml:space="preserve">dat de vergelijking niet geheel betrouwbaar is. </w:t>
      </w:r>
      <w:r w:rsidRPr="005767BB">
        <w:rPr>
          <w:sz w:val="20"/>
          <w:szCs w:val="20"/>
        </w:rPr>
        <w:t xml:space="preserve">De statistische evidentie is </w:t>
      </w:r>
      <w:r>
        <w:rPr>
          <w:sz w:val="20"/>
          <w:szCs w:val="20"/>
        </w:rPr>
        <w:t xml:space="preserve">namelijk </w:t>
      </w:r>
      <w:r w:rsidRPr="005767BB">
        <w:rPr>
          <w:sz w:val="20"/>
          <w:szCs w:val="20"/>
        </w:rPr>
        <w:t xml:space="preserve">als een tekst gepresenteerd, terwijl de anekdotische evidentie als video is gepresenteerd. </w:t>
      </w:r>
    </w:p>
    <w:p w:rsidR="002902C5" w:rsidRDefault="002902C5" w:rsidP="002902C5">
      <w:pPr>
        <w:pStyle w:val="Kop3"/>
      </w:pPr>
      <w:bookmarkStart w:id="7" w:name="_Toc346802174"/>
      <w:r>
        <w:t xml:space="preserve">2.4 </w:t>
      </w:r>
      <w:r>
        <w:tab/>
        <w:t>Relevantie onderzoek</w:t>
      </w:r>
      <w:bookmarkEnd w:id="7"/>
    </w:p>
    <w:p w:rsidR="002902C5" w:rsidRDefault="002902C5" w:rsidP="002902C5">
      <w:pPr>
        <w:autoSpaceDE w:val="0"/>
        <w:autoSpaceDN w:val="0"/>
        <w:adjustRightInd w:val="0"/>
        <w:spacing w:after="0"/>
        <w:jc w:val="both"/>
        <w:rPr>
          <w:sz w:val="20"/>
          <w:szCs w:val="20"/>
        </w:rPr>
      </w:pPr>
      <w:r>
        <w:rPr>
          <w:sz w:val="20"/>
          <w:szCs w:val="20"/>
        </w:rPr>
        <w:t xml:space="preserve">Uit reeds besproken onderzoeken blijkt dus dat statistische evidentie in de meeste gevallen overtuigender is dan anekdotische evidentie en dat de bron van de boodschap een effect heeft op de overtuigingskracht. Waarom is dit onderzoek dan nog relevant? </w:t>
      </w:r>
    </w:p>
    <w:p w:rsidR="002902C5" w:rsidRDefault="002902C5" w:rsidP="002902C5">
      <w:pPr>
        <w:autoSpaceDE w:val="0"/>
        <w:autoSpaceDN w:val="0"/>
        <w:adjustRightInd w:val="0"/>
        <w:spacing w:after="0"/>
        <w:jc w:val="both"/>
        <w:rPr>
          <w:sz w:val="20"/>
          <w:szCs w:val="20"/>
        </w:rPr>
      </w:pPr>
    </w:p>
    <w:p w:rsidR="002902C5" w:rsidRDefault="002902C5" w:rsidP="002902C5">
      <w:pPr>
        <w:autoSpaceDE w:val="0"/>
        <w:autoSpaceDN w:val="0"/>
        <w:adjustRightInd w:val="0"/>
        <w:spacing w:after="0"/>
        <w:jc w:val="both"/>
        <w:rPr>
          <w:sz w:val="20"/>
          <w:szCs w:val="20"/>
        </w:rPr>
      </w:pPr>
      <w:r>
        <w:rPr>
          <w:sz w:val="20"/>
          <w:szCs w:val="20"/>
        </w:rPr>
        <w:t xml:space="preserve">Dit onderzoek is in eerste instantie relevant omdat de resultaten uit voorafgaande onderzoeken niet eenduidig zijn. Er is nog steeds geen duidelijk antwoord op de vraag welk type evidentie het meest overtuigend is: statistische evidentie of anekdotische evidentie. Dit onderzoek kan daar meer inzicht in verschaffen. Maar, wat nog belangrijker is, is dat een vergelijkbaar onderzoek nog nooit is gedaan. Er is onderzoek gedaan naar het </w:t>
      </w:r>
      <w:r>
        <w:rPr>
          <w:sz w:val="20"/>
          <w:szCs w:val="20"/>
        </w:rPr>
        <w:lastRenderedPageBreak/>
        <w:t>effect van de bron door middel van beelden en er is onderzoek gedaan naar overtuigingskracht van verschillende typen evidenties, maar er is nooit door middel van beelden (en dus een bron) onderzoek gedaan naar de overtuigingskracht van statistische evidentie en van anekdotische evidentie. In dit onder</w:t>
      </w:r>
      <w:r w:rsidR="00E726B8">
        <w:rPr>
          <w:sz w:val="20"/>
          <w:szCs w:val="20"/>
        </w:rPr>
        <w:t>zoek wordt dit wel gedaan. De</w:t>
      </w:r>
      <w:r>
        <w:rPr>
          <w:sz w:val="20"/>
          <w:szCs w:val="20"/>
        </w:rPr>
        <w:t xml:space="preserve"> geloofwaardigheid </w:t>
      </w:r>
      <w:r w:rsidR="00E726B8">
        <w:rPr>
          <w:sz w:val="20"/>
          <w:szCs w:val="20"/>
        </w:rPr>
        <w:t>van de bron zal in</w:t>
      </w:r>
      <w:r>
        <w:rPr>
          <w:sz w:val="20"/>
          <w:szCs w:val="20"/>
        </w:rPr>
        <w:t xml:space="preserve"> dit onderzoek meegenomen worden als variabele. De geloofwaardigheid van de bron zal gemanipuleerd worden door de objectiviteit, en daarmee dus de betrouwbaarheid, van de bron</w:t>
      </w:r>
      <w:r w:rsidR="00B92186">
        <w:rPr>
          <w:sz w:val="20"/>
          <w:szCs w:val="20"/>
        </w:rPr>
        <w:t xml:space="preserve"> te veranderen</w:t>
      </w:r>
      <w:r>
        <w:rPr>
          <w:sz w:val="20"/>
          <w:szCs w:val="20"/>
        </w:rPr>
        <w:t xml:space="preserve">. Dit zal worden </w:t>
      </w:r>
      <w:r w:rsidRPr="005767BB">
        <w:rPr>
          <w:sz w:val="20"/>
          <w:szCs w:val="20"/>
        </w:rPr>
        <w:t>geoperationaliseerd door de functie die iemand heeft binnen een organisatie.</w:t>
      </w:r>
      <w:r>
        <w:rPr>
          <w:sz w:val="20"/>
          <w:szCs w:val="20"/>
        </w:rPr>
        <w:t xml:space="preserve"> Effectief </w:t>
      </w:r>
      <w:r w:rsidRPr="005767BB">
        <w:rPr>
          <w:sz w:val="20"/>
          <w:szCs w:val="20"/>
        </w:rPr>
        <w:t>comm</w:t>
      </w:r>
      <w:r>
        <w:rPr>
          <w:sz w:val="20"/>
          <w:szCs w:val="20"/>
        </w:rPr>
        <w:t xml:space="preserve">uniceren binnen een organisatie is moeilijker </w:t>
      </w:r>
      <w:r w:rsidRPr="005767BB">
        <w:rPr>
          <w:sz w:val="20"/>
          <w:szCs w:val="20"/>
        </w:rPr>
        <w:t xml:space="preserve">dan men in eerste instantie zou denken. </w:t>
      </w:r>
      <w:r>
        <w:rPr>
          <w:sz w:val="20"/>
          <w:szCs w:val="20"/>
        </w:rPr>
        <w:t xml:space="preserve">Uit verschillende onderzoeken binnen organisaties is gebleken dat de hiërarchische structuur vaak zorgt voor communicatieproblemen. Zo blijkt uit een onderzoek van Dayton &amp; Hendriksen (2007) dat verpleegsters hun mening vaak niet aan de artsen kenbaar willen maken, enkel omdat ze een lagere functie hebben. Ook uit het artikel van Murphy (2001) blijkt dat er lang niet altijd sprake is van een gelijkwaardige werknemersverhouding. Dat werknemers vaak niet positief staan tegenover het management, blijkt wel uit het onderzoek van Laurence (2005). Hij heeft onderzoek gedaan naar veiligheidsvoorschriften in de mijnen. Uit dit </w:t>
      </w:r>
      <w:r w:rsidRPr="00F656AD">
        <w:rPr>
          <w:sz w:val="20"/>
          <w:szCs w:val="20"/>
        </w:rPr>
        <w:t xml:space="preserve">onderzoek is gebleken dat deze veiligheidsvoorschriften vaak niet goed aankomen bij de werknemers. Dit vindt onder andere zijn oorzaak in het feit dat het aantal werknemers erg groot is, omdat de woordkeuze te hoog gegrepen is en omdat de regels moeilijk terug te vinden </w:t>
      </w:r>
      <w:r>
        <w:rPr>
          <w:sz w:val="20"/>
          <w:szCs w:val="20"/>
        </w:rPr>
        <w:t xml:space="preserve">zijn. Verder stipt Laurence (2005) in zijn artikel het fenomeen aan dat de mijnwerkers zich niet betrokken voelen bij het opstellen van de regels. Ze vinden dat ze zelf beter weten hoe ze moeten werken, omdat ze jarenlange praktijkervaring hebben opgedaan. De mensen van het management hebben deze praktijkervaring niet en hebben geen recht van spreken, aldus de mijnwerkers. Kortom: er is dus sprake van weinig interactie tussen het management en de werknemers. Het management wordt als minder objectief gezien, omdat ze alleen denken aan hun eigen belang. Door de functie van de bron in dit onderzoek te manipuleren, wordt de objectiviteit van de bron dus gemanipuleerd (en daarmee dus de geloofwaardigheid). </w:t>
      </w:r>
    </w:p>
    <w:p w:rsidR="002902C5" w:rsidRDefault="002902C5" w:rsidP="002902C5">
      <w:pPr>
        <w:autoSpaceDE w:val="0"/>
        <w:autoSpaceDN w:val="0"/>
        <w:adjustRightInd w:val="0"/>
        <w:spacing w:after="0"/>
        <w:jc w:val="both"/>
        <w:rPr>
          <w:rFonts w:cs="AGaramond-Regular"/>
          <w:sz w:val="20"/>
          <w:szCs w:val="20"/>
        </w:rPr>
      </w:pPr>
    </w:p>
    <w:p w:rsidR="002902C5" w:rsidRDefault="002902C5" w:rsidP="002902C5">
      <w:pPr>
        <w:pStyle w:val="Kop3"/>
      </w:pPr>
      <w:bookmarkStart w:id="8" w:name="_Toc346802175"/>
      <w:r>
        <w:t>2.5</w:t>
      </w:r>
      <w:r>
        <w:tab/>
        <w:t xml:space="preserve"> Onderzoeksvraag en hypothese</w:t>
      </w:r>
      <w:bookmarkEnd w:id="8"/>
      <w:r w:rsidR="00DF2452">
        <w:t>s</w:t>
      </w:r>
    </w:p>
    <w:p w:rsidR="002902C5" w:rsidRPr="000B2040" w:rsidRDefault="002902C5" w:rsidP="002902C5">
      <w:pPr>
        <w:jc w:val="both"/>
        <w:rPr>
          <w:sz w:val="20"/>
          <w:szCs w:val="20"/>
        </w:rPr>
      </w:pPr>
      <w:r>
        <w:rPr>
          <w:sz w:val="20"/>
          <w:szCs w:val="20"/>
        </w:rPr>
        <w:t xml:space="preserve">Dit onderzoek </w:t>
      </w:r>
      <w:r w:rsidR="0033695A">
        <w:rPr>
          <w:sz w:val="20"/>
          <w:szCs w:val="20"/>
        </w:rPr>
        <w:t>tracht</w:t>
      </w:r>
      <w:r>
        <w:rPr>
          <w:sz w:val="20"/>
          <w:szCs w:val="20"/>
        </w:rPr>
        <w:t xml:space="preserve"> te achterhalen wat overtuigender is, statistische evidentie of anekdotische evidentie. Daarnaast wordt in dit onderzoek geprobeerd om een beeld te krijgen van het mogelijke effect dat </w:t>
      </w:r>
      <w:r w:rsidR="008A734D">
        <w:rPr>
          <w:sz w:val="20"/>
          <w:szCs w:val="20"/>
        </w:rPr>
        <w:t xml:space="preserve">de </w:t>
      </w:r>
      <w:r>
        <w:rPr>
          <w:sz w:val="20"/>
          <w:szCs w:val="20"/>
        </w:rPr>
        <w:t>bron hier op heeft. De onderzoeksvraag van dit experiment is dan ook, zoals in de inleiding al genoemd:</w:t>
      </w:r>
    </w:p>
    <w:p w:rsidR="002902C5" w:rsidRDefault="002902C5" w:rsidP="002902C5">
      <w:pPr>
        <w:jc w:val="both"/>
        <w:rPr>
          <w:i/>
          <w:sz w:val="20"/>
          <w:szCs w:val="20"/>
        </w:rPr>
      </w:pPr>
      <w:r w:rsidRPr="00CE3FCD">
        <w:rPr>
          <w:i/>
          <w:sz w:val="20"/>
          <w:szCs w:val="20"/>
        </w:rPr>
        <w:t>Wat is het effect van de bron op de overtuigin</w:t>
      </w:r>
      <w:r>
        <w:rPr>
          <w:i/>
          <w:sz w:val="20"/>
          <w:szCs w:val="20"/>
        </w:rPr>
        <w:t>gskracht van statistische evidentie en van anekdotische evidentie</w:t>
      </w:r>
      <w:r w:rsidRPr="00CE3FCD">
        <w:rPr>
          <w:i/>
          <w:sz w:val="20"/>
          <w:szCs w:val="20"/>
        </w:rPr>
        <w:t>?</w:t>
      </w:r>
    </w:p>
    <w:p w:rsidR="002902C5" w:rsidRDefault="002902C5" w:rsidP="002902C5">
      <w:pPr>
        <w:jc w:val="both"/>
        <w:rPr>
          <w:sz w:val="20"/>
          <w:szCs w:val="20"/>
        </w:rPr>
      </w:pPr>
      <w:r w:rsidRPr="00CE3FCD">
        <w:rPr>
          <w:sz w:val="20"/>
          <w:szCs w:val="20"/>
        </w:rPr>
        <w:t xml:space="preserve">Hierin </w:t>
      </w:r>
      <w:r>
        <w:rPr>
          <w:sz w:val="20"/>
          <w:szCs w:val="20"/>
        </w:rPr>
        <w:t xml:space="preserve">is de bron een manager of een werknemer en zijn de </w:t>
      </w:r>
      <w:r w:rsidR="00481475">
        <w:rPr>
          <w:sz w:val="20"/>
          <w:szCs w:val="20"/>
        </w:rPr>
        <w:t>typen</w:t>
      </w:r>
      <w:r>
        <w:rPr>
          <w:sz w:val="20"/>
          <w:szCs w:val="20"/>
        </w:rPr>
        <w:t xml:space="preserve"> evidentie: statistische evidentie en anekdotische evident</w:t>
      </w:r>
      <w:r w:rsidR="002A26C4">
        <w:rPr>
          <w:sz w:val="20"/>
          <w:szCs w:val="20"/>
        </w:rPr>
        <w:t xml:space="preserve">ie. Met de functie van de bron wordt </w:t>
      </w:r>
      <w:r>
        <w:rPr>
          <w:sz w:val="20"/>
          <w:szCs w:val="20"/>
        </w:rPr>
        <w:t>de objectiviteit van de bron beïnvloed en daarmee de betrouwbaarheid. De betrouwbaarheid is op zijn beurt, samen met deskundigheid, een bepalende factor voor de geloofwaardigheid van de bron.</w:t>
      </w:r>
    </w:p>
    <w:p w:rsidR="002902C5" w:rsidRDefault="002902C5" w:rsidP="002902C5">
      <w:pPr>
        <w:jc w:val="both"/>
        <w:rPr>
          <w:sz w:val="20"/>
          <w:szCs w:val="20"/>
        </w:rPr>
      </w:pPr>
      <w:r>
        <w:rPr>
          <w:sz w:val="20"/>
          <w:szCs w:val="20"/>
        </w:rPr>
        <w:t>Op deze onderzoeksvraag zal een antwoord worden gegeven aan de hand</w:t>
      </w:r>
      <w:r w:rsidR="00DF2452">
        <w:rPr>
          <w:sz w:val="20"/>
          <w:szCs w:val="20"/>
        </w:rPr>
        <w:t xml:space="preserve"> van de volgende twee hypotheses</w:t>
      </w:r>
      <w:r>
        <w:rPr>
          <w:sz w:val="20"/>
          <w:szCs w:val="20"/>
        </w:rPr>
        <w:t>, die gebaseerd zijn op de voorafgaande onderzoeken die zijn besproken in dit hoofdstuk:</w:t>
      </w:r>
    </w:p>
    <w:p w:rsidR="002902C5" w:rsidRPr="00225C87" w:rsidRDefault="002902C5" w:rsidP="002902C5">
      <w:pPr>
        <w:pStyle w:val="Geenafstand"/>
        <w:rPr>
          <w:i/>
          <w:sz w:val="20"/>
          <w:szCs w:val="20"/>
        </w:rPr>
      </w:pPr>
      <w:r w:rsidRPr="00225C87">
        <w:rPr>
          <w:i/>
          <w:sz w:val="20"/>
          <w:szCs w:val="20"/>
        </w:rPr>
        <w:t>H1: Statistische evidentie is overtuigender dan anekdotische evidentie.</w:t>
      </w:r>
    </w:p>
    <w:p w:rsidR="002902C5" w:rsidRPr="00225C87" w:rsidRDefault="002902C5" w:rsidP="002902C5">
      <w:pPr>
        <w:pStyle w:val="Geenafstand"/>
        <w:rPr>
          <w:i/>
          <w:sz w:val="20"/>
          <w:szCs w:val="20"/>
        </w:rPr>
      </w:pPr>
      <w:r w:rsidRPr="00225C87">
        <w:rPr>
          <w:i/>
          <w:sz w:val="20"/>
          <w:szCs w:val="20"/>
        </w:rPr>
        <w:t>H2: Geloofwaardigheid van de bron is een voorspeller voor overtuigingskracht.</w:t>
      </w:r>
    </w:p>
    <w:p w:rsidR="00DF5D1D" w:rsidRDefault="00DF5D1D" w:rsidP="00CF1E5D">
      <w:pPr>
        <w:pStyle w:val="Kop1"/>
      </w:pPr>
    </w:p>
    <w:p w:rsidR="00DF5D1D" w:rsidRDefault="00DF5D1D" w:rsidP="00CF1E5D">
      <w:pPr>
        <w:pStyle w:val="Kop1"/>
      </w:pPr>
    </w:p>
    <w:p w:rsidR="00DF5D1D" w:rsidRDefault="00DF5D1D" w:rsidP="00CF1E5D">
      <w:pPr>
        <w:pStyle w:val="Kop1"/>
      </w:pPr>
    </w:p>
    <w:p w:rsidR="000A2AB1" w:rsidRDefault="000A2AB1" w:rsidP="005767BB">
      <w:pPr>
        <w:rPr>
          <w:sz w:val="20"/>
          <w:szCs w:val="20"/>
        </w:rPr>
      </w:pPr>
    </w:p>
    <w:p w:rsidR="0033695A" w:rsidRDefault="0033695A" w:rsidP="0033695A">
      <w:pPr>
        <w:pStyle w:val="Kop1"/>
      </w:pPr>
      <w:bookmarkStart w:id="9" w:name="_Toc346802176"/>
      <w:r>
        <w:lastRenderedPageBreak/>
        <w:t>3.</w:t>
      </w:r>
      <w:r>
        <w:tab/>
        <w:t>Onderzoeksmethode</w:t>
      </w:r>
      <w:bookmarkEnd w:id="9"/>
    </w:p>
    <w:p w:rsidR="0033695A" w:rsidRDefault="0033695A" w:rsidP="0033695A">
      <w:pPr>
        <w:rPr>
          <w:sz w:val="20"/>
          <w:szCs w:val="20"/>
        </w:rPr>
      </w:pPr>
    </w:p>
    <w:p w:rsidR="0033695A" w:rsidRDefault="0033695A" w:rsidP="0033695A">
      <w:pPr>
        <w:jc w:val="both"/>
        <w:rPr>
          <w:b/>
          <w:sz w:val="20"/>
          <w:szCs w:val="20"/>
        </w:rPr>
      </w:pPr>
      <w:r>
        <w:rPr>
          <w:sz w:val="20"/>
          <w:szCs w:val="20"/>
        </w:rPr>
        <w:t xml:space="preserve">Om de hypotheses te kunnen toetsen en een antwoord te vinden op de onderzoeksvraag, is data van 104 respondenten verzameld. De vragenlijst die gebruikt is om data te genereren, is door docent Dr. D.M.L. Janssen opgesteld. </w:t>
      </w:r>
    </w:p>
    <w:p w:rsidR="0033695A" w:rsidRDefault="0033695A" w:rsidP="0033695A">
      <w:pPr>
        <w:pStyle w:val="Kop3"/>
      </w:pPr>
      <w:bookmarkStart w:id="10" w:name="_Toc346802177"/>
      <w:r>
        <w:t xml:space="preserve">3.1 </w:t>
      </w:r>
      <w:r>
        <w:tab/>
        <w:t>Opzet van het onderzoek</w:t>
      </w:r>
      <w:bookmarkEnd w:id="10"/>
    </w:p>
    <w:p w:rsidR="0033695A" w:rsidRDefault="0033695A" w:rsidP="0033695A">
      <w:pPr>
        <w:jc w:val="both"/>
        <w:rPr>
          <w:sz w:val="20"/>
          <w:szCs w:val="20"/>
        </w:rPr>
      </w:pPr>
      <w:r>
        <w:rPr>
          <w:sz w:val="20"/>
          <w:szCs w:val="20"/>
        </w:rPr>
        <w:t>Zoals al eerder is vermeld, wordt in dit onderzoek gekeken naar een mogelijk effect van evidentie (en</w:t>
      </w:r>
      <w:r w:rsidR="008A734D">
        <w:rPr>
          <w:sz w:val="20"/>
          <w:szCs w:val="20"/>
        </w:rPr>
        <w:t xml:space="preserve"> van de</w:t>
      </w:r>
      <w:r>
        <w:rPr>
          <w:sz w:val="20"/>
          <w:szCs w:val="20"/>
        </w:rPr>
        <w:t xml:space="preserve"> bron) op de overtuigingskracht. De afhankelijke variabelen die uit de vragenlijst gehaald kunnen worden, zijn: het standpunt van de respondent, de waardering van het argument, de waardering van de evidentie, de waardering van de geloofwaardigheid van de spreker en de waardering van de aantrekkelijkheid van de spreker. Het construct geloofwaardigheid wordt onder andere gemeten door te kijken naar de mate waarin de respondenten de bron als verstandig, eerlijk, capabel, betrouwbaar en geloofwaardig beschouwen. Het construct aantrekkelijkheid wordt gemeten door te kijken naar de mate waarin de bron wordt beschouwd als sympathiek, aardig, vriendelijk en aantrekkelijk. </w:t>
      </w:r>
    </w:p>
    <w:p w:rsidR="0033695A" w:rsidRDefault="0033695A" w:rsidP="0033695A">
      <w:pPr>
        <w:jc w:val="both"/>
        <w:rPr>
          <w:sz w:val="20"/>
          <w:szCs w:val="20"/>
        </w:rPr>
      </w:pPr>
      <w:r>
        <w:rPr>
          <w:sz w:val="20"/>
          <w:szCs w:val="20"/>
        </w:rPr>
        <w:t>De vragenlijsten die voorgelegd zijn aan de respondenten, zijn te zien in bijlage A.</w:t>
      </w:r>
    </w:p>
    <w:p w:rsidR="0033695A" w:rsidRDefault="0033695A" w:rsidP="0033695A">
      <w:pPr>
        <w:pStyle w:val="Kop3"/>
      </w:pPr>
      <w:bookmarkStart w:id="11" w:name="_Toc346802178"/>
      <w:r>
        <w:t>3.2</w:t>
      </w:r>
      <w:r>
        <w:tab/>
        <w:t>Operationalisering</w:t>
      </w:r>
      <w:bookmarkEnd w:id="11"/>
    </w:p>
    <w:p w:rsidR="0033695A" w:rsidRDefault="0033695A" w:rsidP="0033695A">
      <w:pPr>
        <w:jc w:val="both"/>
        <w:rPr>
          <w:sz w:val="20"/>
          <w:szCs w:val="20"/>
        </w:rPr>
      </w:pPr>
      <w:r>
        <w:rPr>
          <w:sz w:val="20"/>
          <w:szCs w:val="20"/>
        </w:rPr>
        <w:t xml:space="preserve">De </w:t>
      </w:r>
      <w:r w:rsidR="005D6FF7">
        <w:rPr>
          <w:sz w:val="20"/>
          <w:szCs w:val="20"/>
        </w:rPr>
        <w:t>video’s</w:t>
      </w:r>
      <w:r>
        <w:rPr>
          <w:sz w:val="20"/>
          <w:szCs w:val="20"/>
        </w:rPr>
        <w:t xml:space="preserve"> die gebruikt zijn in dit onderzoek, zijn fictief. Er is voor gekozen om twee verschillende onderwerpen te nemen, zodat het eventuele effect niet </w:t>
      </w:r>
      <w:r w:rsidRPr="005D6FF7">
        <w:rPr>
          <w:sz w:val="20"/>
          <w:szCs w:val="20"/>
        </w:rPr>
        <w:t xml:space="preserve">verklaard </w:t>
      </w:r>
      <w:r>
        <w:rPr>
          <w:sz w:val="20"/>
          <w:szCs w:val="20"/>
        </w:rPr>
        <w:t xml:space="preserve">kan worden door het onderwerp van de </w:t>
      </w:r>
      <w:r w:rsidR="005D6FF7">
        <w:rPr>
          <w:sz w:val="20"/>
          <w:szCs w:val="20"/>
        </w:rPr>
        <w:t>video’s</w:t>
      </w:r>
      <w:r>
        <w:rPr>
          <w:sz w:val="20"/>
          <w:szCs w:val="20"/>
        </w:rPr>
        <w:t xml:space="preserve">. Deze onderwerpen zijn ‘gezonde voeding in de kantine’ en ‘bedrijfsfitness’. Dit onderzoek hanteert een 2x2 design met een replica, namelijk het onderwerp. Onder de </w:t>
      </w:r>
      <w:r w:rsidR="005D6FF7">
        <w:rPr>
          <w:sz w:val="20"/>
          <w:szCs w:val="20"/>
        </w:rPr>
        <w:t>video’s</w:t>
      </w:r>
      <w:r>
        <w:rPr>
          <w:sz w:val="20"/>
          <w:szCs w:val="20"/>
        </w:rPr>
        <w:t xml:space="preserve"> is de naam van de spreker te zien (Richard </w:t>
      </w:r>
      <w:proofErr w:type="spellStart"/>
      <w:r>
        <w:rPr>
          <w:sz w:val="20"/>
          <w:szCs w:val="20"/>
        </w:rPr>
        <w:t>Wetsteijn</w:t>
      </w:r>
      <w:proofErr w:type="spellEnd"/>
      <w:r>
        <w:rPr>
          <w:sz w:val="20"/>
          <w:szCs w:val="20"/>
        </w:rPr>
        <w:t xml:space="preserve">), gevolgd door zijn functie (medewerker of manager van Ernst &amp; Young). De spreker is in ieder </w:t>
      </w:r>
      <w:r w:rsidR="005D6FF7">
        <w:rPr>
          <w:sz w:val="20"/>
          <w:szCs w:val="20"/>
        </w:rPr>
        <w:t>video</w:t>
      </w:r>
      <w:r>
        <w:rPr>
          <w:sz w:val="20"/>
          <w:szCs w:val="20"/>
        </w:rPr>
        <w:t xml:space="preserve"> dezelfde persoon, zodat uitgesloten kan worden dat er daar effecten op worden gevonden. Ook zijn de versie van de medewerker en de manager exact hetzelfde, afgezien van de functie in het onderschrift.</w:t>
      </w:r>
    </w:p>
    <w:p w:rsidR="0033695A" w:rsidRDefault="0033695A" w:rsidP="0033695A">
      <w:pPr>
        <w:jc w:val="both"/>
        <w:rPr>
          <w:b/>
          <w:sz w:val="20"/>
          <w:szCs w:val="20"/>
        </w:rPr>
      </w:pPr>
      <w:r>
        <w:rPr>
          <w:sz w:val="20"/>
          <w:szCs w:val="20"/>
        </w:rPr>
        <w:t xml:space="preserve">In totaal zijn er dus vier condities, met ieder twee varianten, die er als volgt uit zien: </w:t>
      </w:r>
    </w:p>
    <w:p w:rsidR="0033695A" w:rsidRDefault="0033695A" w:rsidP="0033695A">
      <w:pPr>
        <w:jc w:val="both"/>
        <w:rPr>
          <w:rFonts w:cs="Tahoma"/>
          <w:i/>
          <w:sz w:val="20"/>
          <w:szCs w:val="20"/>
        </w:rPr>
      </w:pPr>
      <w:r>
        <w:rPr>
          <w:rFonts w:cs="Tahoma"/>
          <w:sz w:val="20"/>
          <w:szCs w:val="20"/>
        </w:rPr>
        <w:t>Conditie 1a</w:t>
      </w:r>
      <w:r>
        <w:rPr>
          <w:rFonts w:cs="Tahoma"/>
          <w:sz w:val="20"/>
          <w:szCs w:val="20"/>
        </w:rPr>
        <w:tab/>
        <w:t xml:space="preserve">‘Bedrijfsfitness is goed voor ieder bedrijf. Uit onderzoek is gebleken dat er 9,7% minder arbeidsverzuim is bij bedrijven die fitnessmogelijkheden aanbieden. Dit levert een aanzienlijke besparing op in de personeelskosten’. </w:t>
      </w:r>
      <w:r>
        <w:rPr>
          <w:rFonts w:cs="Tahoma"/>
          <w:i/>
          <w:sz w:val="20"/>
          <w:szCs w:val="20"/>
        </w:rPr>
        <w:t xml:space="preserve">Richard </w:t>
      </w:r>
      <w:proofErr w:type="spellStart"/>
      <w:r>
        <w:rPr>
          <w:rFonts w:cs="Tahoma"/>
          <w:i/>
          <w:sz w:val="20"/>
          <w:szCs w:val="20"/>
        </w:rPr>
        <w:t>Wetsteijn</w:t>
      </w:r>
      <w:proofErr w:type="spellEnd"/>
      <w:r>
        <w:rPr>
          <w:rFonts w:cs="Tahoma"/>
          <w:i/>
          <w:sz w:val="20"/>
          <w:szCs w:val="20"/>
        </w:rPr>
        <w:t xml:space="preserve"> - Manager Ernst &amp; Young</w:t>
      </w:r>
    </w:p>
    <w:p w:rsidR="0033695A" w:rsidRDefault="0033695A" w:rsidP="0033695A">
      <w:pPr>
        <w:jc w:val="both"/>
        <w:rPr>
          <w:rFonts w:cs="Tahoma"/>
          <w:i/>
          <w:sz w:val="20"/>
          <w:szCs w:val="20"/>
        </w:rPr>
      </w:pPr>
      <w:r>
        <w:rPr>
          <w:rFonts w:cs="Tahoma"/>
          <w:sz w:val="20"/>
          <w:szCs w:val="20"/>
        </w:rPr>
        <w:t>Conditie 1b</w:t>
      </w:r>
      <w:r>
        <w:rPr>
          <w:rFonts w:cs="Tahoma"/>
          <w:sz w:val="20"/>
          <w:szCs w:val="20"/>
        </w:rPr>
        <w:tab/>
        <w:t xml:space="preserve">‘Gezonde voeding in de kantine is goed voor ieder bedrijf. Uit onderzoek is gebleken dat er 9,7% minder arbeidsverzuim is bij bedrijven die gezonde voeding aanbieden in de kantine. Dit levert een aanzienlijke besparing op in de personeelskosten’. </w:t>
      </w:r>
      <w:r>
        <w:rPr>
          <w:rFonts w:cs="Tahoma"/>
          <w:i/>
          <w:sz w:val="20"/>
          <w:szCs w:val="20"/>
        </w:rPr>
        <w:t xml:space="preserve">Richard </w:t>
      </w:r>
      <w:proofErr w:type="spellStart"/>
      <w:r>
        <w:rPr>
          <w:rFonts w:cs="Tahoma"/>
          <w:i/>
          <w:sz w:val="20"/>
          <w:szCs w:val="20"/>
        </w:rPr>
        <w:t>Wetsteijn</w:t>
      </w:r>
      <w:proofErr w:type="spellEnd"/>
      <w:r>
        <w:rPr>
          <w:rFonts w:cs="Tahoma"/>
          <w:i/>
          <w:sz w:val="20"/>
          <w:szCs w:val="20"/>
        </w:rPr>
        <w:t xml:space="preserve"> - Manager Ernst &amp; Young</w:t>
      </w:r>
    </w:p>
    <w:p w:rsidR="0033695A" w:rsidRDefault="0033695A" w:rsidP="0033695A">
      <w:pPr>
        <w:jc w:val="both"/>
        <w:rPr>
          <w:rFonts w:cs="Tahoma"/>
          <w:sz w:val="20"/>
          <w:szCs w:val="20"/>
        </w:rPr>
      </w:pPr>
      <w:r>
        <w:rPr>
          <w:rFonts w:cs="Tahoma"/>
          <w:sz w:val="20"/>
          <w:szCs w:val="20"/>
        </w:rPr>
        <w:t>Conditie 2a</w:t>
      </w:r>
      <w:r>
        <w:rPr>
          <w:rFonts w:cs="Tahoma"/>
          <w:sz w:val="20"/>
          <w:szCs w:val="20"/>
        </w:rPr>
        <w:tab/>
        <w:t xml:space="preserve">‘Bedrijfsfitness is goed voor ieder bedrijf. Uit onderzoek is gebleken dat er 9,7% minder arbeidsverzuim is bij bedrijven die fitnessmogelijkheden aanbieden. Dit levert een aanzienlijke besparing op in de personeelskosten’. </w:t>
      </w:r>
      <w:r>
        <w:rPr>
          <w:rFonts w:cs="Tahoma"/>
          <w:i/>
          <w:sz w:val="20"/>
          <w:szCs w:val="20"/>
        </w:rPr>
        <w:t xml:space="preserve">Richard </w:t>
      </w:r>
      <w:proofErr w:type="spellStart"/>
      <w:r>
        <w:rPr>
          <w:rFonts w:cs="Tahoma"/>
          <w:i/>
          <w:sz w:val="20"/>
          <w:szCs w:val="20"/>
        </w:rPr>
        <w:t>Wetsteijn</w:t>
      </w:r>
      <w:proofErr w:type="spellEnd"/>
      <w:r>
        <w:rPr>
          <w:rFonts w:cs="Tahoma"/>
          <w:i/>
          <w:sz w:val="20"/>
          <w:szCs w:val="20"/>
        </w:rPr>
        <w:t xml:space="preserve"> - Medewerker Ernst &amp; Young</w:t>
      </w:r>
    </w:p>
    <w:p w:rsidR="0033695A" w:rsidRDefault="0033695A" w:rsidP="0033695A">
      <w:pPr>
        <w:jc w:val="both"/>
        <w:rPr>
          <w:rFonts w:cs="Tahoma"/>
          <w:sz w:val="20"/>
          <w:szCs w:val="20"/>
        </w:rPr>
      </w:pPr>
      <w:r>
        <w:rPr>
          <w:rFonts w:cs="Tahoma"/>
          <w:sz w:val="20"/>
          <w:szCs w:val="20"/>
        </w:rPr>
        <w:t xml:space="preserve"> Conditie 2b</w:t>
      </w:r>
      <w:r>
        <w:rPr>
          <w:rFonts w:cs="Tahoma"/>
          <w:sz w:val="20"/>
          <w:szCs w:val="20"/>
        </w:rPr>
        <w:tab/>
        <w:t xml:space="preserve">‘Gezonde voeding in de kantine is goed voor ieder bedrijf. Uit onderzoek is gebleken dat er 9,7% minder arbeidsverzuim is bij bedrijven die gezonde voeding aanbieden in de kantine. Dit levert een aanzienlijke besparing op in de personeelskosten’. </w:t>
      </w:r>
      <w:r>
        <w:rPr>
          <w:rFonts w:cs="Tahoma"/>
          <w:i/>
          <w:sz w:val="20"/>
          <w:szCs w:val="20"/>
        </w:rPr>
        <w:t xml:space="preserve">Richard </w:t>
      </w:r>
      <w:proofErr w:type="spellStart"/>
      <w:r>
        <w:rPr>
          <w:rFonts w:cs="Tahoma"/>
          <w:i/>
          <w:sz w:val="20"/>
          <w:szCs w:val="20"/>
        </w:rPr>
        <w:t>Wetsteijn</w:t>
      </w:r>
      <w:proofErr w:type="spellEnd"/>
      <w:r>
        <w:rPr>
          <w:rFonts w:cs="Tahoma"/>
          <w:i/>
          <w:sz w:val="20"/>
          <w:szCs w:val="20"/>
        </w:rPr>
        <w:t xml:space="preserve"> - Medewerker Ernst &amp; Young</w:t>
      </w:r>
    </w:p>
    <w:p w:rsidR="0033695A" w:rsidRDefault="0033695A" w:rsidP="0033695A">
      <w:pPr>
        <w:jc w:val="both"/>
        <w:rPr>
          <w:rFonts w:cs="Tahoma"/>
          <w:sz w:val="20"/>
          <w:szCs w:val="20"/>
        </w:rPr>
      </w:pPr>
      <w:r>
        <w:rPr>
          <w:rFonts w:cs="Tahoma"/>
          <w:sz w:val="20"/>
          <w:szCs w:val="20"/>
        </w:rPr>
        <w:t>Conditie 3a</w:t>
      </w:r>
      <w:r>
        <w:rPr>
          <w:rFonts w:cs="Tahoma"/>
          <w:sz w:val="20"/>
          <w:szCs w:val="20"/>
        </w:rPr>
        <w:tab/>
        <w:t xml:space="preserve"> ‘Bedrijfsfitness is goed voor ieder bedrijf. Wij bij Ernst &amp; Young zijn een voorbeeld van een bedrijf dat veel minder arbeidsverzuim heeft na het invoeren van fitnessmogelijkheden Dit levert een aanzienlijke besparing op in de personeelskosten’. </w:t>
      </w:r>
      <w:r>
        <w:rPr>
          <w:rFonts w:cs="Tahoma"/>
          <w:i/>
          <w:sz w:val="20"/>
          <w:szCs w:val="20"/>
        </w:rPr>
        <w:t xml:space="preserve">Richard </w:t>
      </w:r>
      <w:proofErr w:type="spellStart"/>
      <w:r>
        <w:rPr>
          <w:rFonts w:cs="Tahoma"/>
          <w:i/>
          <w:sz w:val="20"/>
          <w:szCs w:val="20"/>
        </w:rPr>
        <w:t>Wetsteijn</w:t>
      </w:r>
      <w:proofErr w:type="spellEnd"/>
      <w:r>
        <w:rPr>
          <w:rFonts w:cs="Tahoma"/>
          <w:i/>
          <w:sz w:val="20"/>
          <w:szCs w:val="20"/>
        </w:rPr>
        <w:t xml:space="preserve"> - Manager Ernst &amp; Young</w:t>
      </w:r>
    </w:p>
    <w:p w:rsidR="0033695A" w:rsidRDefault="0033695A" w:rsidP="0033695A">
      <w:pPr>
        <w:jc w:val="both"/>
        <w:rPr>
          <w:rFonts w:cs="Tahoma"/>
          <w:sz w:val="20"/>
          <w:szCs w:val="20"/>
        </w:rPr>
      </w:pPr>
      <w:r>
        <w:rPr>
          <w:rFonts w:cs="Tahoma"/>
          <w:sz w:val="20"/>
          <w:szCs w:val="20"/>
        </w:rPr>
        <w:t>Conditie 3b</w:t>
      </w:r>
      <w:r>
        <w:rPr>
          <w:rFonts w:cs="Tahoma"/>
          <w:sz w:val="20"/>
          <w:szCs w:val="20"/>
        </w:rPr>
        <w:tab/>
        <w:t xml:space="preserve">‘Gezonde voeding in de kantine is goed voor ieder bedrijf. Wij bij Ernst &amp; Young zijn een voorbeeld van een bedrijf dat veel minder arbeidsverzuim heeft na het invoeren van gezonde voeding in de kantine. Dit levert een aanzienlijke besparing op in de personeelskosten’. </w:t>
      </w:r>
      <w:r>
        <w:rPr>
          <w:rFonts w:cs="Tahoma"/>
          <w:i/>
          <w:sz w:val="20"/>
          <w:szCs w:val="20"/>
        </w:rPr>
        <w:t xml:space="preserve">Richard </w:t>
      </w:r>
      <w:proofErr w:type="spellStart"/>
      <w:r>
        <w:rPr>
          <w:rFonts w:cs="Tahoma"/>
          <w:i/>
          <w:sz w:val="20"/>
          <w:szCs w:val="20"/>
        </w:rPr>
        <w:t>Wetsteijn</w:t>
      </w:r>
      <w:proofErr w:type="spellEnd"/>
      <w:r>
        <w:rPr>
          <w:rFonts w:cs="Tahoma"/>
          <w:i/>
          <w:sz w:val="20"/>
          <w:szCs w:val="20"/>
        </w:rPr>
        <w:t xml:space="preserve"> - Manager Ernst &amp; Young</w:t>
      </w:r>
    </w:p>
    <w:p w:rsidR="0033695A" w:rsidRDefault="0033695A" w:rsidP="0033695A">
      <w:pPr>
        <w:jc w:val="both"/>
        <w:rPr>
          <w:rFonts w:cs="Tahoma"/>
          <w:sz w:val="20"/>
          <w:szCs w:val="20"/>
        </w:rPr>
      </w:pPr>
      <w:r>
        <w:rPr>
          <w:rFonts w:cs="Tahoma"/>
          <w:sz w:val="20"/>
          <w:szCs w:val="20"/>
        </w:rPr>
        <w:lastRenderedPageBreak/>
        <w:t>Conditie 4a</w:t>
      </w:r>
      <w:r>
        <w:rPr>
          <w:rFonts w:cs="Tahoma"/>
          <w:sz w:val="20"/>
          <w:szCs w:val="20"/>
        </w:rPr>
        <w:tab/>
        <w:t xml:space="preserve">‘Bedrijfsfitness is goed voor ieder bedrijf. Wij bij Ernst &amp; Young zijn een voorbeeld van een bedrijf dat veel minder arbeidsverzuim heeft na het invoeren van fitnessmogelijkheden Dit levert een aanzienlijke besparing op in de personeelskosten’. </w:t>
      </w:r>
      <w:r>
        <w:rPr>
          <w:rFonts w:cs="Tahoma"/>
          <w:i/>
          <w:sz w:val="20"/>
          <w:szCs w:val="20"/>
        </w:rPr>
        <w:t xml:space="preserve">Richard </w:t>
      </w:r>
      <w:proofErr w:type="spellStart"/>
      <w:r>
        <w:rPr>
          <w:rFonts w:cs="Tahoma"/>
          <w:i/>
          <w:sz w:val="20"/>
          <w:szCs w:val="20"/>
        </w:rPr>
        <w:t>Wetsteijn</w:t>
      </w:r>
      <w:proofErr w:type="spellEnd"/>
      <w:r>
        <w:rPr>
          <w:rFonts w:cs="Tahoma"/>
          <w:i/>
          <w:sz w:val="20"/>
          <w:szCs w:val="20"/>
        </w:rPr>
        <w:t xml:space="preserve"> - Medewerker Ernst &amp; Young</w:t>
      </w:r>
    </w:p>
    <w:p w:rsidR="0033695A" w:rsidRDefault="0033695A" w:rsidP="0033695A">
      <w:pPr>
        <w:jc w:val="both"/>
        <w:rPr>
          <w:rFonts w:cs="Tahoma"/>
          <w:sz w:val="20"/>
          <w:szCs w:val="20"/>
        </w:rPr>
      </w:pPr>
      <w:r>
        <w:rPr>
          <w:rFonts w:cs="Tahoma"/>
          <w:sz w:val="20"/>
          <w:szCs w:val="20"/>
        </w:rPr>
        <w:t>Conditie 4b</w:t>
      </w:r>
      <w:r>
        <w:rPr>
          <w:rFonts w:cs="Tahoma"/>
          <w:sz w:val="20"/>
          <w:szCs w:val="20"/>
        </w:rPr>
        <w:tab/>
        <w:t xml:space="preserve"> ‘Gezonde voeding in de kantine is goed voor ieder bedrijf. Wij bij Ernst &amp; Young zijn een voorbeeld van een bedrijf dat veel minder arbeidsverzuim heeft na het invoeren van gezonde voeding in de kantine. Dit levert een aanzienlijke besparing op in de personeelskosten’. </w:t>
      </w:r>
      <w:r>
        <w:rPr>
          <w:rFonts w:cs="Tahoma"/>
          <w:i/>
          <w:sz w:val="20"/>
          <w:szCs w:val="20"/>
        </w:rPr>
        <w:t xml:space="preserve">Richard </w:t>
      </w:r>
      <w:proofErr w:type="spellStart"/>
      <w:r>
        <w:rPr>
          <w:rFonts w:cs="Tahoma"/>
          <w:i/>
          <w:sz w:val="20"/>
          <w:szCs w:val="20"/>
        </w:rPr>
        <w:t>Wetsteijn</w:t>
      </w:r>
      <w:proofErr w:type="spellEnd"/>
      <w:r>
        <w:rPr>
          <w:rFonts w:cs="Tahoma"/>
          <w:i/>
          <w:sz w:val="20"/>
          <w:szCs w:val="20"/>
        </w:rPr>
        <w:t xml:space="preserve"> - Medewerker Ernst &amp; Young</w:t>
      </w:r>
    </w:p>
    <w:p w:rsidR="0033695A" w:rsidRDefault="0033695A" w:rsidP="0033695A">
      <w:pPr>
        <w:jc w:val="both"/>
        <w:rPr>
          <w:sz w:val="20"/>
          <w:szCs w:val="20"/>
        </w:rPr>
      </w:pPr>
      <w:r>
        <w:rPr>
          <w:sz w:val="20"/>
          <w:szCs w:val="20"/>
        </w:rPr>
        <w:t xml:space="preserve">De video’s zoals ze ook aan de respondenten zijn voorgelegd, zijn te zien in bijlage B. Alle </w:t>
      </w:r>
      <w:r w:rsidR="005D6FF7">
        <w:rPr>
          <w:sz w:val="20"/>
          <w:szCs w:val="20"/>
        </w:rPr>
        <w:t>video’s</w:t>
      </w:r>
      <w:r>
        <w:rPr>
          <w:sz w:val="20"/>
          <w:szCs w:val="20"/>
        </w:rPr>
        <w:t xml:space="preserve"> bestaan uit drie zinnen, waarvan de middelste zin de evidentie bevat. Iedere respondent krijgt één </w:t>
      </w:r>
      <w:r w:rsidR="005D6FF7">
        <w:rPr>
          <w:sz w:val="20"/>
          <w:szCs w:val="20"/>
        </w:rPr>
        <w:t>video</w:t>
      </w:r>
      <w:r>
        <w:rPr>
          <w:sz w:val="20"/>
          <w:szCs w:val="20"/>
        </w:rPr>
        <w:t xml:space="preserve"> twee keer te zien. Hier is voor gekozen omdat het van belang is dat de argumenten goed gehoord </w:t>
      </w:r>
      <w:r w:rsidR="00D246DE">
        <w:rPr>
          <w:sz w:val="20"/>
          <w:szCs w:val="20"/>
        </w:rPr>
        <w:t xml:space="preserve">en begrepen </w:t>
      </w:r>
      <w:r>
        <w:rPr>
          <w:sz w:val="20"/>
          <w:szCs w:val="20"/>
        </w:rPr>
        <w:t xml:space="preserve">worden. </w:t>
      </w:r>
    </w:p>
    <w:p w:rsidR="0033695A" w:rsidRDefault="0033695A" w:rsidP="0033695A">
      <w:pPr>
        <w:jc w:val="both"/>
        <w:rPr>
          <w:sz w:val="20"/>
          <w:szCs w:val="20"/>
        </w:rPr>
      </w:pPr>
      <w:r>
        <w:rPr>
          <w:sz w:val="20"/>
          <w:szCs w:val="20"/>
        </w:rPr>
        <w:t xml:space="preserve">Er is in dit onderzoek voor de onderwerpen ‘bedrijfsfitness’ en ‘gezonde voeding’ gekozen, omdat de consequentiebetrokkenheid van de respondenten op deze manier op een redelijk niveau is. Het is de bedoeling dat </w:t>
      </w:r>
      <w:r w:rsidR="001139C2">
        <w:rPr>
          <w:sz w:val="20"/>
          <w:szCs w:val="20"/>
        </w:rPr>
        <w:t>de respondenten</w:t>
      </w:r>
      <w:r>
        <w:rPr>
          <w:sz w:val="20"/>
          <w:szCs w:val="20"/>
        </w:rPr>
        <w:t xml:space="preserve"> de argumenten systematisch gaan verwerken, zodat ze de argumenten ook zo goed mogelijk kunnen beoordelen. Daarnaast is er voor gekozen om een onderwerp te selecteren waar de respondenten waarschijnlijk nog geen uitgesproken mening over hebben, zodat voorkennis een zo min mogelijk grote rol speelt. Bovendien mag er geen plafondeffect optreden, in dit geval zullen er namelijk geen significante verschillen tussen de condities worden gevonden.</w:t>
      </w:r>
    </w:p>
    <w:p w:rsidR="0033695A" w:rsidRDefault="0033695A" w:rsidP="0033695A">
      <w:pPr>
        <w:jc w:val="both"/>
        <w:rPr>
          <w:sz w:val="20"/>
          <w:szCs w:val="20"/>
        </w:rPr>
      </w:pPr>
      <w:r>
        <w:rPr>
          <w:sz w:val="20"/>
          <w:szCs w:val="20"/>
        </w:rPr>
        <w:t xml:space="preserve">Met dit design is het aspect ‘bron’ van de onderzoeksvraag gemanipuleerd door de functie van de bron. Door de functie te veranderen, wordt de geloofwaardigheid van de bron gemanipuleerd. De geloofwaardigheid van de bron zal namelijk beïnvloed worden door de mate waarin de respondenten de bron als objectief beschouwen. Anekdotische en statistische evidentie zijn in dit onderzoek opgevat volgens de definitie van </w:t>
      </w:r>
      <w:proofErr w:type="spellStart"/>
      <w:r>
        <w:rPr>
          <w:sz w:val="20"/>
          <w:szCs w:val="20"/>
        </w:rPr>
        <w:t>Rieke</w:t>
      </w:r>
      <w:proofErr w:type="spellEnd"/>
      <w:r>
        <w:rPr>
          <w:sz w:val="20"/>
          <w:szCs w:val="20"/>
        </w:rPr>
        <w:t xml:space="preserve"> &amp; </w:t>
      </w:r>
      <w:proofErr w:type="spellStart"/>
      <w:r>
        <w:rPr>
          <w:sz w:val="20"/>
          <w:szCs w:val="20"/>
        </w:rPr>
        <w:t>Sillars</w:t>
      </w:r>
      <w:proofErr w:type="spellEnd"/>
      <w:r>
        <w:rPr>
          <w:sz w:val="20"/>
          <w:szCs w:val="20"/>
        </w:rPr>
        <w:t xml:space="preserve"> (1984), zoals </w:t>
      </w:r>
      <w:r w:rsidR="001139C2">
        <w:rPr>
          <w:sz w:val="20"/>
          <w:szCs w:val="20"/>
        </w:rPr>
        <w:t>al</w:t>
      </w:r>
      <w:r>
        <w:rPr>
          <w:sz w:val="20"/>
          <w:szCs w:val="20"/>
        </w:rPr>
        <w:t xml:space="preserve"> genoemd is in hoofdstuk 2. </w:t>
      </w:r>
    </w:p>
    <w:p w:rsidR="0033695A" w:rsidRDefault="0033695A" w:rsidP="0033695A">
      <w:pPr>
        <w:pStyle w:val="Kop3"/>
      </w:pPr>
      <w:bookmarkStart w:id="12" w:name="_Toc346802179"/>
      <w:r>
        <w:t>3.3</w:t>
      </w:r>
      <w:r>
        <w:tab/>
        <w:t>Afnameprocedure- en materiaal</w:t>
      </w:r>
      <w:bookmarkEnd w:id="12"/>
    </w:p>
    <w:p w:rsidR="0033695A" w:rsidRDefault="0033695A" w:rsidP="0033695A">
      <w:pPr>
        <w:jc w:val="both"/>
        <w:rPr>
          <w:sz w:val="20"/>
          <w:szCs w:val="20"/>
        </w:rPr>
      </w:pPr>
      <w:r>
        <w:rPr>
          <w:sz w:val="20"/>
          <w:szCs w:val="20"/>
        </w:rPr>
        <w:t xml:space="preserve">De respondenten die deelgenomen hebben aan dit onderzoek zijn op verschillende locaties benaderd. Voornamelijk in de trein tussen Utrecht Centraal en Rotterdam Centraal, maar ook op andere trajecten of op straat. De respondenten is verteld dat het om een onderzoek gaat van de Universiteit Utrecht en dat het ongeveer 5 minuten kost om één </w:t>
      </w:r>
      <w:r w:rsidR="005D6FF7">
        <w:rPr>
          <w:sz w:val="20"/>
          <w:szCs w:val="20"/>
        </w:rPr>
        <w:t>video</w:t>
      </w:r>
      <w:r>
        <w:rPr>
          <w:sz w:val="20"/>
          <w:szCs w:val="20"/>
        </w:rPr>
        <w:t xml:space="preserve"> twee keer te bekijken en vervolgens bijbehorende vragenlijst in te vullen. Verder is zo min mogelijk over het onderzoek verteld, behalve dat het een onderzoek is naar overtuigingskracht. Er is op gelet dat iedere respondent dezelfde instructie heeft gekregen. </w:t>
      </w:r>
    </w:p>
    <w:p w:rsidR="0033695A" w:rsidRDefault="0033695A" w:rsidP="0033695A">
      <w:pPr>
        <w:jc w:val="both"/>
        <w:rPr>
          <w:sz w:val="20"/>
          <w:szCs w:val="20"/>
        </w:rPr>
      </w:pPr>
      <w:r>
        <w:rPr>
          <w:sz w:val="20"/>
          <w:szCs w:val="20"/>
        </w:rPr>
        <w:t xml:space="preserve">In de introductie van de vragenlijst is duidelijk beschreven wat er van de respondenten wordt verwacht. Vooraf of tijdens het invullen van de vragenlijst is er geen mondelinge toelichting gegeven, tenzij de respondent totaal niet begreep wat de bedoeling was. Het is een aantal keer gebeurd dat de proefpersoon per </w:t>
      </w:r>
      <w:r w:rsidR="00EA1E70">
        <w:rPr>
          <w:sz w:val="20"/>
          <w:szCs w:val="20"/>
        </w:rPr>
        <w:t>vragencluster</w:t>
      </w:r>
      <w:r>
        <w:rPr>
          <w:sz w:val="20"/>
          <w:szCs w:val="20"/>
        </w:rPr>
        <w:t xml:space="preserve"> maar één rondje aankruiste. Hier is toen wel direct iets van gezegd, omdat de vragenlijst anders zo goed als onbruikbaar zou zijn. De respondenten gaven redelijk veel commentaar op de vragenlijst. </w:t>
      </w:r>
      <w:r w:rsidR="00EA1E70">
        <w:rPr>
          <w:sz w:val="20"/>
          <w:szCs w:val="20"/>
        </w:rPr>
        <w:t>Een aantal</w:t>
      </w:r>
      <w:r>
        <w:rPr>
          <w:sz w:val="20"/>
          <w:szCs w:val="20"/>
        </w:rPr>
        <w:t xml:space="preserve"> mensen vonden het heel verwarrend dat de ene keer het positieve antwoord aan de rechterkant stond en de andere keer weer aan de linkerkant. Daarnaast was er commentaar op de vragen zelf. Respondenten gaven aan dat ze vonden dat de vragen te veel op elkaar leken. Ze hadden het idee dubbel of zinloos werk te doen. </w:t>
      </w:r>
    </w:p>
    <w:p w:rsidR="0033695A" w:rsidRDefault="0033695A" w:rsidP="0033695A">
      <w:pPr>
        <w:pStyle w:val="Kop3"/>
      </w:pPr>
      <w:bookmarkStart w:id="13" w:name="_Toc346802180"/>
      <w:r>
        <w:t>3.4</w:t>
      </w:r>
      <w:r>
        <w:tab/>
        <w:t>Respondenten</w:t>
      </w:r>
      <w:bookmarkEnd w:id="13"/>
    </w:p>
    <w:p w:rsidR="0033695A" w:rsidRDefault="0033695A" w:rsidP="0033695A">
      <w:pPr>
        <w:jc w:val="both"/>
        <w:rPr>
          <w:sz w:val="20"/>
          <w:szCs w:val="20"/>
        </w:rPr>
      </w:pPr>
      <w:r>
        <w:rPr>
          <w:sz w:val="20"/>
          <w:szCs w:val="20"/>
        </w:rPr>
        <w:t xml:space="preserve">De acht gemaakte </w:t>
      </w:r>
      <w:r w:rsidR="005D6FF7">
        <w:rPr>
          <w:sz w:val="20"/>
          <w:szCs w:val="20"/>
        </w:rPr>
        <w:t>video’s</w:t>
      </w:r>
      <w:r>
        <w:rPr>
          <w:sz w:val="20"/>
          <w:szCs w:val="20"/>
        </w:rPr>
        <w:t xml:space="preserve"> zijn aan de respondenten voorgelegd. In totaal hebben er 104 respondenten meegedaan aan dit onderzoek. Van deze respondenten waren er 44 vrouwelijk (42,3%) en 60 mannelijk (57,7%). De leeftijd van deze respondenten varieerde van 19 tot 72 jaar, met een gemiddelde leeftijd van ongeveer 41 jaar. Wat betreft het opleidingsniveau van de respondenten, kan gezegd worden dat 2 respondenten basisonderwijs hadden (1,9%), 13 respondenten middelbaar onderwijs (12,5%), 28 respondenten middelbaar beroepsonderwijs (26,9%), 45 respondenten hoger beroepsonderwijs (43,3%) en 16 respondenten universitair onderwijs (15,4%).</w:t>
      </w:r>
    </w:p>
    <w:p w:rsidR="0033695A" w:rsidRDefault="0033695A" w:rsidP="0033695A">
      <w:pPr>
        <w:pStyle w:val="Kop3"/>
      </w:pPr>
      <w:bookmarkStart w:id="14" w:name="_Toc346802181"/>
      <w:r>
        <w:lastRenderedPageBreak/>
        <w:t>3.5</w:t>
      </w:r>
      <w:r>
        <w:tab/>
        <w:t>Randomisatiecontrole</w:t>
      </w:r>
      <w:bookmarkEnd w:id="14"/>
    </w:p>
    <w:p w:rsidR="0033695A" w:rsidRDefault="0033695A" w:rsidP="0033695A">
      <w:pPr>
        <w:jc w:val="both"/>
        <w:rPr>
          <w:sz w:val="20"/>
          <w:szCs w:val="20"/>
        </w:rPr>
      </w:pPr>
      <w:r>
        <w:rPr>
          <w:sz w:val="20"/>
          <w:szCs w:val="20"/>
        </w:rPr>
        <w:t>Om aan te tonen dat de vier verschillende versies gelijk verdeeld zijn over de condities, is een randomisatiecontrole uitgevoerd op de demografische gegevens van de respondenten. In tabel 1 is de verdeling van geslacht, leeftijd en opleidingsniveau van de respondenten over de versies weergegeven.</w:t>
      </w:r>
    </w:p>
    <w:tbl>
      <w:tblPr>
        <w:tblStyle w:val="Lichtelijst1"/>
        <w:tblW w:w="9360" w:type="dxa"/>
        <w:tblLayout w:type="fixed"/>
        <w:tblLook w:val="04A0"/>
      </w:tblPr>
      <w:tblGrid>
        <w:gridCol w:w="1240"/>
        <w:gridCol w:w="709"/>
        <w:gridCol w:w="284"/>
        <w:gridCol w:w="425"/>
        <w:gridCol w:w="1134"/>
        <w:gridCol w:w="992"/>
        <w:gridCol w:w="425"/>
        <w:gridCol w:w="709"/>
        <w:gridCol w:w="1275"/>
        <w:gridCol w:w="1164"/>
        <w:gridCol w:w="1003"/>
      </w:tblGrid>
      <w:tr w:rsidR="0033695A" w:rsidTr="008B53DD">
        <w:trPr>
          <w:cnfStyle w:val="100000000000"/>
        </w:trPr>
        <w:tc>
          <w:tcPr>
            <w:cnfStyle w:val="001000000000"/>
            <w:tcW w:w="1242" w:type="dxa"/>
            <w:tcBorders>
              <w:top w:val="single" w:sz="8" w:space="0" w:color="000000" w:themeColor="text1"/>
              <w:left w:val="single" w:sz="8" w:space="0" w:color="000000" w:themeColor="text1"/>
              <w:bottom w:val="nil"/>
              <w:right w:val="nil"/>
            </w:tcBorders>
            <w:hideMark/>
          </w:tcPr>
          <w:p w:rsidR="0033695A" w:rsidRDefault="0033695A" w:rsidP="008B53DD">
            <w:pPr>
              <w:rPr>
                <w:b w:val="0"/>
                <w:sz w:val="16"/>
                <w:szCs w:val="16"/>
              </w:rPr>
            </w:pPr>
            <w:r>
              <w:rPr>
                <w:b w:val="0"/>
                <w:sz w:val="16"/>
                <w:szCs w:val="16"/>
              </w:rPr>
              <w:t>Conditie (N=104)</w:t>
            </w:r>
          </w:p>
        </w:tc>
        <w:tc>
          <w:tcPr>
            <w:tcW w:w="993" w:type="dxa"/>
            <w:gridSpan w:val="2"/>
            <w:tcBorders>
              <w:top w:val="single" w:sz="8" w:space="0" w:color="000000" w:themeColor="text1"/>
              <w:left w:val="nil"/>
              <w:bottom w:val="nil"/>
              <w:right w:val="nil"/>
            </w:tcBorders>
            <w:hideMark/>
          </w:tcPr>
          <w:p w:rsidR="0033695A" w:rsidRDefault="0033695A" w:rsidP="008B53DD">
            <w:pPr>
              <w:cnfStyle w:val="100000000000"/>
              <w:rPr>
                <w:b w:val="0"/>
                <w:sz w:val="16"/>
                <w:szCs w:val="16"/>
              </w:rPr>
            </w:pPr>
            <w:r>
              <w:rPr>
                <w:b w:val="0"/>
                <w:sz w:val="16"/>
                <w:szCs w:val="16"/>
              </w:rPr>
              <w:t>Geslacht (N=104)</w:t>
            </w:r>
          </w:p>
        </w:tc>
        <w:tc>
          <w:tcPr>
            <w:tcW w:w="425" w:type="dxa"/>
            <w:tcBorders>
              <w:top w:val="single" w:sz="8" w:space="0" w:color="000000" w:themeColor="text1"/>
              <w:left w:val="nil"/>
              <w:bottom w:val="nil"/>
              <w:right w:val="nil"/>
            </w:tcBorders>
          </w:tcPr>
          <w:p w:rsidR="0033695A" w:rsidRDefault="0033695A" w:rsidP="008B53DD">
            <w:pPr>
              <w:cnfStyle w:val="100000000000"/>
              <w:rPr>
                <w:sz w:val="16"/>
                <w:szCs w:val="16"/>
              </w:rPr>
            </w:pPr>
          </w:p>
        </w:tc>
        <w:tc>
          <w:tcPr>
            <w:tcW w:w="1134" w:type="dxa"/>
            <w:tcBorders>
              <w:top w:val="single" w:sz="8" w:space="0" w:color="000000" w:themeColor="text1"/>
              <w:left w:val="nil"/>
              <w:bottom w:val="nil"/>
              <w:right w:val="nil"/>
            </w:tcBorders>
            <w:hideMark/>
          </w:tcPr>
          <w:p w:rsidR="0033695A" w:rsidRDefault="0033695A" w:rsidP="008B53DD">
            <w:pPr>
              <w:cnfStyle w:val="100000000000"/>
              <w:rPr>
                <w:b w:val="0"/>
                <w:sz w:val="16"/>
                <w:szCs w:val="16"/>
              </w:rPr>
            </w:pPr>
            <w:r>
              <w:rPr>
                <w:b w:val="0"/>
                <w:sz w:val="16"/>
                <w:szCs w:val="16"/>
              </w:rPr>
              <w:t>Leeftijd</w:t>
            </w:r>
          </w:p>
          <w:p w:rsidR="0033695A" w:rsidRDefault="0033695A" w:rsidP="008B53DD">
            <w:pPr>
              <w:cnfStyle w:val="100000000000"/>
              <w:rPr>
                <w:b w:val="0"/>
                <w:sz w:val="16"/>
                <w:szCs w:val="16"/>
              </w:rPr>
            </w:pPr>
            <w:r>
              <w:rPr>
                <w:b w:val="0"/>
                <w:sz w:val="16"/>
                <w:szCs w:val="16"/>
              </w:rPr>
              <w:t>(N=104)</w:t>
            </w:r>
          </w:p>
        </w:tc>
        <w:tc>
          <w:tcPr>
            <w:tcW w:w="1417" w:type="dxa"/>
            <w:gridSpan w:val="2"/>
            <w:tcBorders>
              <w:top w:val="single" w:sz="8" w:space="0" w:color="000000" w:themeColor="text1"/>
              <w:left w:val="nil"/>
              <w:bottom w:val="nil"/>
              <w:right w:val="nil"/>
            </w:tcBorders>
            <w:hideMark/>
          </w:tcPr>
          <w:p w:rsidR="0033695A" w:rsidRDefault="0033695A" w:rsidP="008B53DD">
            <w:pPr>
              <w:cnfStyle w:val="100000000000"/>
              <w:rPr>
                <w:b w:val="0"/>
                <w:sz w:val="16"/>
                <w:szCs w:val="16"/>
              </w:rPr>
            </w:pPr>
            <w:r>
              <w:rPr>
                <w:b w:val="0"/>
                <w:sz w:val="16"/>
                <w:szCs w:val="16"/>
              </w:rPr>
              <w:t>Opleidingsniveau</w:t>
            </w:r>
          </w:p>
          <w:p w:rsidR="0033695A" w:rsidRDefault="0033695A" w:rsidP="008B53DD">
            <w:pPr>
              <w:cnfStyle w:val="100000000000"/>
              <w:rPr>
                <w:b w:val="0"/>
                <w:sz w:val="16"/>
                <w:szCs w:val="16"/>
              </w:rPr>
            </w:pPr>
            <w:r>
              <w:rPr>
                <w:b w:val="0"/>
                <w:sz w:val="16"/>
                <w:szCs w:val="16"/>
              </w:rPr>
              <w:t>(N=104)</w:t>
            </w:r>
          </w:p>
        </w:tc>
        <w:tc>
          <w:tcPr>
            <w:tcW w:w="709" w:type="dxa"/>
            <w:tcBorders>
              <w:top w:val="single" w:sz="8" w:space="0" w:color="000000" w:themeColor="text1"/>
              <w:left w:val="nil"/>
              <w:bottom w:val="nil"/>
              <w:right w:val="nil"/>
            </w:tcBorders>
          </w:tcPr>
          <w:p w:rsidR="0033695A" w:rsidRDefault="0033695A" w:rsidP="008B53DD">
            <w:pPr>
              <w:cnfStyle w:val="100000000000"/>
              <w:rPr>
                <w:sz w:val="20"/>
                <w:szCs w:val="20"/>
              </w:rPr>
            </w:pPr>
          </w:p>
        </w:tc>
        <w:tc>
          <w:tcPr>
            <w:tcW w:w="1276" w:type="dxa"/>
            <w:tcBorders>
              <w:top w:val="single" w:sz="8" w:space="0" w:color="000000" w:themeColor="text1"/>
              <w:left w:val="nil"/>
              <w:bottom w:val="nil"/>
              <w:right w:val="nil"/>
            </w:tcBorders>
          </w:tcPr>
          <w:p w:rsidR="0033695A" w:rsidRDefault="0033695A" w:rsidP="008B53DD">
            <w:pPr>
              <w:cnfStyle w:val="100000000000"/>
              <w:rPr>
                <w:sz w:val="20"/>
                <w:szCs w:val="20"/>
              </w:rPr>
            </w:pPr>
          </w:p>
        </w:tc>
        <w:tc>
          <w:tcPr>
            <w:tcW w:w="1165" w:type="dxa"/>
            <w:tcBorders>
              <w:top w:val="single" w:sz="8" w:space="0" w:color="000000" w:themeColor="text1"/>
              <w:left w:val="nil"/>
              <w:bottom w:val="nil"/>
              <w:right w:val="nil"/>
            </w:tcBorders>
          </w:tcPr>
          <w:p w:rsidR="0033695A" w:rsidRDefault="0033695A" w:rsidP="008B53DD">
            <w:pPr>
              <w:cnfStyle w:val="100000000000"/>
              <w:rPr>
                <w:sz w:val="20"/>
                <w:szCs w:val="20"/>
              </w:rPr>
            </w:pPr>
          </w:p>
        </w:tc>
        <w:tc>
          <w:tcPr>
            <w:tcW w:w="1003" w:type="dxa"/>
            <w:tcBorders>
              <w:top w:val="single" w:sz="8" w:space="0" w:color="000000" w:themeColor="text1"/>
              <w:left w:val="nil"/>
              <w:bottom w:val="nil"/>
              <w:right w:val="single" w:sz="8" w:space="0" w:color="000000" w:themeColor="text1"/>
            </w:tcBorders>
          </w:tcPr>
          <w:p w:rsidR="0033695A" w:rsidRDefault="0033695A" w:rsidP="008B53DD">
            <w:pPr>
              <w:cnfStyle w:val="100000000000"/>
              <w:rPr>
                <w:sz w:val="20"/>
                <w:szCs w:val="20"/>
              </w:rPr>
            </w:pPr>
          </w:p>
        </w:tc>
      </w:tr>
      <w:tr w:rsidR="0033695A" w:rsidTr="008B53DD">
        <w:trPr>
          <w:cnfStyle w:val="000000100000"/>
        </w:trPr>
        <w:tc>
          <w:tcPr>
            <w:cnfStyle w:val="001000000000"/>
            <w:tcW w:w="1242" w:type="dxa"/>
            <w:tcBorders>
              <w:right w:val="nil"/>
            </w:tcBorders>
          </w:tcPr>
          <w:p w:rsidR="0033695A" w:rsidRDefault="0033695A" w:rsidP="008B53DD">
            <w:pPr>
              <w:rPr>
                <w:b w:val="0"/>
                <w:sz w:val="16"/>
                <w:szCs w:val="16"/>
              </w:rPr>
            </w:pPr>
          </w:p>
        </w:tc>
        <w:tc>
          <w:tcPr>
            <w:tcW w:w="709" w:type="dxa"/>
            <w:tcBorders>
              <w:left w:val="nil"/>
              <w:right w:val="nil"/>
            </w:tcBorders>
            <w:hideMark/>
          </w:tcPr>
          <w:p w:rsidR="0033695A" w:rsidRDefault="0033695A" w:rsidP="008B53DD">
            <w:pPr>
              <w:cnfStyle w:val="000000100000"/>
              <w:rPr>
                <w:sz w:val="16"/>
                <w:szCs w:val="16"/>
              </w:rPr>
            </w:pPr>
            <w:r>
              <w:rPr>
                <w:sz w:val="16"/>
                <w:szCs w:val="16"/>
              </w:rPr>
              <w:t xml:space="preserve">Vrouw </w:t>
            </w:r>
          </w:p>
          <w:p w:rsidR="0033695A" w:rsidRDefault="0033695A" w:rsidP="008B53DD">
            <w:pPr>
              <w:cnfStyle w:val="000000100000"/>
              <w:rPr>
                <w:sz w:val="16"/>
                <w:szCs w:val="16"/>
              </w:rPr>
            </w:pPr>
            <w:r>
              <w:rPr>
                <w:sz w:val="16"/>
                <w:szCs w:val="16"/>
              </w:rPr>
              <w:t>( %)</w:t>
            </w:r>
          </w:p>
          <w:p w:rsidR="0033695A" w:rsidRDefault="0033695A" w:rsidP="008B53DD">
            <w:pPr>
              <w:cnfStyle w:val="000000100000"/>
              <w:rPr>
                <w:sz w:val="16"/>
                <w:szCs w:val="16"/>
              </w:rPr>
            </w:pPr>
            <w:r>
              <w:rPr>
                <w:sz w:val="16"/>
                <w:szCs w:val="16"/>
              </w:rPr>
              <w:t>(N=44)</w:t>
            </w:r>
          </w:p>
        </w:tc>
        <w:tc>
          <w:tcPr>
            <w:tcW w:w="709" w:type="dxa"/>
            <w:gridSpan w:val="2"/>
            <w:tcBorders>
              <w:left w:val="nil"/>
              <w:right w:val="nil"/>
            </w:tcBorders>
            <w:hideMark/>
          </w:tcPr>
          <w:p w:rsidR="0033695A" w:rsidRDefault="0033695A" w:rsidP="008B53DD">
            <w:pPr>
              <w:cnfStyle w:val="000000100000"/>
              <w:rPr>
                <w:sz w:val="16"/>
                <w:szCs w:val="16"/>
              </w:rPr>
            </w:pPr>
            <w:r>
              <w:rPr>
                <w:sz w:val="16"/>
                <w:szCs w:val="16"/>
              </w:rPr>
              <w:t>Man (%)</w:t>
            </w:r>
          </w:p>
          <w:p w:rsidR="0033695A" w:rsidRDefault="0033695A" w:rsidP="008B53DD">
            <w:pPr>
              <w:cnfStyle w:val="000000100000"/>
              <w:rPr>
                <w:sz w:val="16"/>
                <w:szCs w:val="16"/>
              </w:rPr>
            </w:pPr>
            <w:r>
              <w:rPr>
                <w:sz w:val="16"/>
                <w:szCs w:val="16"/>
              </w:rPr>
              <w:t>(N=60)</w:t>
            </w:r>
          </w:p>
        </w:tc>
        <w:tc>
          <w:tcPr>
            <w:tcW w:w="1134" w:type="dxa"/>
            <w:tcBorders>
              <w:left w:val="nil"/>
              <w:right w:val="nil"/>
            </w:tcBorders>
            <w:hideMark/>
          </w:tcPr>
          <w:p w:rsidR="0033695A" w:rsidRDefault="0033695A" w:rsidP="008B53DD">
            <w:pPr>
              <w:cnfStyle w:val="000000100000"/>
              <w:rPr>
                <w:sz w:val="16"/>
                <w:szCs w:val="16"/>
              </w:rPr>
            </w:pPr>
            <w:r>
              <w:rPr>
                <w:sz w:val="16"/>
                <w:szCs w:val="16"/>
              </w:rPr>
              <w:t>Gemiddelde leeftijd (</w:t>
            </w:r>
            <w:proofErr w:type="spellStart"/>
            <w:r>
              <w:rPr>
                <w:sz w:val="16"/>
                <w:szCs w:val="16"/>
              </w:rPr>
              <w:t>sd</w:t>
            </w:r>
            <w:proofErr w:type="spellEnd"/>
            <w:r>
              <w:rPr>
                <w:sz w:val="16"/>
                <w:szCs w:val="16"/>
              </w:rPr>
              <w:t>)</w:t>
            </w:r>
          </w:p>
        </w:tc>
        <w:tc>
          <w:tcPr>
            <w:tcW w:w="992" w:type="dxa"/>
            <w:tcBorders>
              <w:left w:val="nil"/>
              <w:right w:val="nil"/>
            </w:tcBorders>
            <w:hideMark/>
          </w:tcPr>
          <w:p w:rsidR="0033695A" w:rsidRDefault="0033695A" w:rsidP="008B53DD">
            <w:pPr>
              <w:cnfStyle w:val="000000100000"/>
              <w:rPr>
                <w:sz w:val="16"/>
                <w:szCs w:val="16"/>
              </w:rPr>
            </w:pPr>
            <w:r>
              <w:rPr>
                <w:sz w:val="16"/>
                <w:szCs w:val="16"/>
              </w:rPr>
              <w:t>Basisonderwijs (N)</w:t>
            </w:r>
          </w:p>
        </w:tc>
        <w:tc>
          <w:tcPr>
            <w:tcW w:w="1134" w:type="dxa"/>
            <w:gridSpan w:val="2"/>
            <w:tcBorders>
              <w:left w:val="nil"/>
              <w:right w:val="nil"/>
            </w:tcBorders>
            <w:hideMark/>
          </w:tcPr>
          <w:p w:rsidR="0033695A" w:rsidRDefault="0033695A" w:rsidP="008B53DD">
            <w:pPr>
              <w:cnfStyle w:val="000000100000"/>
              <w:rPr>
                <w:sz w:val="16"/>
                <w:szCs w:val="16"/>
              </w:rPr>
            </w:pPr>
            <w:r>
              <w:rPr>
                <w:sz w:val="16"/>
                <w:szCs w:val="16"/>
              </w:rPr>
              <w:t>Middelbaar onderwijs (N)</w:t>
            </w:r>
          </w:p>
        </w:tc>
        <w:tc>
          <w:tcPr>
            <w:tcW w:w="1276" w:type="dxa"/>
            <w:tcBorders>
              <w:left w:val="nil"/>
              <w:right w:val="nil"/>
            </w:tcBorders>
            <w:hideMark/>
          </w:tcPr>
          <w:p w:rsidR="0033695A" w:rsidRDefault="0033695A" w:rsidP="008B53DD">
            <w:pPr>
              <w:cnfStyle w:val="000000100000"/>
              <w:rPr>
                <w:sz w:val="16"/>
                <w:szCs w:val="16"/>
              </w:rPr>
            </w:pPr>
            <w:r>
              <w:rPr>
                <w:sz w:val="16"/>
                <w:szCs w:val="16"/>
              </w:rPr>
              <w:t>Middelbaar beroepsonderwijs (N)</w:t>
            </w:r>
          </w:p>
        </w:tc>
        <w:tc>
          <w:tcPr>
            <w:tcW w:w="1165" w:type="dxa"/>
            <w:tcBorders>
              <w:left w:val="nil"/>
              <w:right w:val="nil"/>
            </w:tcBorders>
            <w:hideMark/>
          </w:tcPr>
          <w:p w:rsidR="0033695A" w:rsidRDefault="0033695A" w:rsidP="008B53DD">
            <w:pPr>
              <w:cnfStyle w:val="000000100000"/>
              <w:rPr>
                <w:sz w:val="16"/>
                <w:szCs w:val="16"/>
              </w:rPr>
            </w:pPr>
            <w:r>
              <w:rPr>
                <w:sz w:val="16"/>
                <w:szCs w:val="16"/>
              </w:rPr>
              <w:t>Hoger beroepsonderwijs (N)</w:t>
            </w:r>
          </w:p>
        </w:tc>
        <w:tc>
          <w:tcPr>
            <w:tcW w:w="1003" w:type="dxa"/>
            <w:tcBorders>
              <w:left w:val="nil"/>
            </w:tcBorders>
            <w:hideMark/>
          </w:tcPr>
          <w:p w:rsidR="0033695A" w:rsidRDefault="0033695A" w:rsidP="008B53DD">
            <w:pPr>
              <w:cnfStyle w:val="000000100000"/>
              <w:rPr>
                <w:sz w:val="16"/>
                <w:szCs w:val="16"/>
              </w:rPr>
            </w:pPr>
            <w:r>
              <w:rPr>
                <w:sz w:val="16"/>
                <w:szCs w:val="16"/>
              </w:rPr>
              <w:t>Universitair onderwijs (N)</w:t>
            </w:r>
          </w:p>
        </w:tc>
      </w:tr>
      <w:tr w:rsidR="0033695A" w:rsidTr="008B53DD">
        <w:tc>
          <w:tcPr>
            <w:cnfStyle w:val="001000000000"/>
            <w:tcW w:w="1242" w:type="dxa"/>
            <w:tcBorders>
              <w:top w:val="nil"/>
              <w:left w:val="single" w:sz="8" w:space="0" w:color="000000" w:themeColor="text1"/>
              <w:bottom w:val="nil"/>
              <w:right w:val="nil"/>
            </w:tcBorders>
            <w:hideMark/>
          </w:tcPr>
          <w:p w:rsidR="0033695A" w:rsidRDefault="0033695A" w:rsidP="008B53DD">
            <w:pPr>
              <w:rPr>
                <w:b w:val="0"/>
                <w:sz w:val="16"/>
                <w:szCs w:val="16"/>
              </w:rPr>
            </w:pPr>
            <w:r>
              <w:rPr>
                <w:b w:val="0"/>
                <w:sz w:val="16"/>
                <w:szCs w:val="16"/>
              </w:rPr>
              <w:t xml:space="preserve">1) Statistisch, manager </w:t>
            </w:r>
          </w:p>
        </w:tc>
        <w:tc>
          <w:tcPr>
            <w:tcW w:w="709" w:type="dxa"/>
            <w:tcBorders>
              <w:top w:val="nil"/>
              <w:left w:val="nil"/>
              <w:bottom w:val="nil"/>
              <w:right w:val="nil"/>
            </w:tcBorders>
            <w:hideMark/>
          </w:tcPr>
          <w:p w:rsidR="0033695A" w:rsidRDefault="0033695A" w:rsidP="008B53DD">
            <w:pPr>
              <w:cnfStyle w:val="000000000000"/>
              <w:rPr>
                <w:sz w:val="16"/>
                <w:szCs w:val="16"/>
              </w:rPr>
            </w:pPr>
            <w:r>
              <w:rPr>
                <w:sz w:val="16"/>
                <w:szCs w:val="16"/>
              </w:rPr>
              <w:t>14 (54%)</w:t>
            </w:r>
          </w:p>
        </w:tc>
        <w:tc>
          <w:tcPr>
            <w:tcW w:w="709" w:type="dxa"/>
            <w:gridSpan w:val="2"/>
            <w:tcBorders>
              <w:top w:val="nil"/>
              <w:left w:val="nil"/>
              <w:bottom w:val="nil"/>
              <w:right w:val="nil"/>
            </w:tcBorders>
            <w:hideMark/>
          </w:tcPr>
          <w:p w:rsidR="0033695A" w:rsidRDefault="0033695A" w:rsidP="008B53DD">
            <w:pPr>
              <w:cnfStyle w:val="000000000000"/>
              <w:rPr>
                <w:sz w:val="16"/>
                <w:szCs w:val="16"/>
              </w:rPr>
            </w:pPr>
            <w:r>
              <w:rPr>
                <w:sz w:val="16"/>
                <w:szCs w:val="16"/>
              </w:rPr>
              <w:t xml:space="preserve">12 </w:t>
            </w:r>
          </w:p>
          <w:p w:rsidR="0033695A" w:rsidRDefault="0033695A" w:rsidP="008B53DD">
            <w:pPr>
              <w:cnfStyle w:val="000000000000"/>
              <w:rPr>
                <w:sz w:val="16"/>
                <w:szCs w:val="16"/>
              </w:rPr>
            </w:pPr>
            <w:r>
              <w:rPr>
                <w:sz w:val="16"/>
                <w:szCs w:val="16"/>
              </w:rPr>
              <w:t>(46%)</w:t>
            </w:r>
          </w:p>
        </w:tc>
        <w:tc>
          <w:tcPr>
            <w:tcW w:w="1134" w:type="dxa"/>
            <w:tcBorders>
              <w:top w:val="nil"/>
              <w:left w:val="nil"/>
              <w:bottom w:val="nil"/>
              <w:right w:val="nil"/>
            </w:tcBorders>
            <w:hideMark/>
          </w:tcPr>
          <w:p w:rsidR="0033695A" w:rsidRDefault="0033695A" w:rsidP="008B53DD">
            <w:pPr>
              <w:cnfStyle w:val="000000000000"/>
              <w:rPr>
                <w:sz w:val="16"/>
                <w:szCs w:val="16"/>
              </w:rPr>
            </w:pPr>
            <w:r>
              <w:rPr>
                <w:sz w:val="16"/>
                <w:szCs w:val="16"/>
              </w:rPr>
              <w:t>43.38 (16.04)</w:t>
            </w:r>
          </w:p>
        </w:tc>
        <w:tc>
          <w:tcPr>
            <w:tcW w:w="992" w:type="dxa"/>
            <w:tcBorders>
              <w:top w:val="nil"/>
              <w:left w:val="nil"/>
              <w:bottom w:val="nil"/>
              <w:right w:val="nil"/>
            </w:tcBorders>
            <w:hideMark/>
          </w:tcPr>
          <w:p w:rsidR="0033695A" w:rsidRDefault="0033695A" w:rsidP="008B53DD">
            <w:pPr>
              <w:cnfStyle w:val="000000000000"/>
              <w:rPr>
                <w:sz w:val="16"/>
                <w:szCs w:val="16"/>
              </w:rPr>
            </w:pPr>
            <w:r>
              <w:rPr>
                <w:sz w:val="16"/>
                <w:szCs w:val="16"/>
              </w:rPr>
              <w:t>1</w:t>
            </w:r>
          </w:p>
        </w:tc>
        <w:tc>
          <w:tcPr>
            <w:tcW w:w="1134" w:type="dxa"/>
            <w:gridSpan w:val="2"/>
            <w:tcBorders>
              <w:top w:val="nil"/>
              <w:left w:val="nil"/>
              <w:bottom w:val="nil"/>
              <w:right w:val="nil"/>
            </w:tcBorders>
            <w:hideMark/>
          </w:tcPr>
          <w:p w:rsidR="0033695A" w:rsidRDefault="0033695A" w:rsidP="008B53DD">
            <w:pPr>
              <w:cnfStyle w:val="000000000000"/>
              <w:rPr>
                <w:sz w:val="16"/>
                <w:szCs w:val="16"/>
              </w:rPr>
            </w:pPr>
            <w:r>
              <w:rPr>
                <w:sz w:val="16"/>
                <w:szCs w:val="16"/>
              </w:rPr>
              <w:t>3</w:t>
            </w:r>
          </w:p>
        </w:tc>
        <w:tc>
          <w:tcPr>
            <w:tcW w:w="1276" w:type="dxa"/>
            <w:tcBorders>
              <w:top w:val="nil"/>
              <w:left w:val="nil"/>
              <w:bottom w:val="nil"/>
              <w:right w:val="nil"/>
            </w:tcBorders>
            <w:hideMark/>
          </w:tcPr>
          <w:p w:rsidR="0033695A" w:rsidRDefault="0033695A" w:rsidP="008B53DD">
            <w:pPr>
              <w:cnfStyle w:val="000000000000"/>
              <w:rPr>
                <w:sz w:val="16"/>
                <w:szCs w:val="16"/>
              </w:rPr>
            </w:pPr>
            <w:r>
              <w:rPr>
                <w:sz w:val="16"/>
                <w:szCs w:val="16"/>
              </w:rPr>
              <w:t>4</w:t>
            </w:r>
          </w:p>
        </w:tc>
        <w:tc>
          <w:tcPr>
            <w:tcW w:w="1165" w:type="dxa"/>
            <w:tcBorders>
              <w:top w:val="nil"/>
              <w:left w:val="nil"/>
              <w:bottom w:val="nil"/>
              <w:right w:val="nil"/>
            </w:tcBorders>
            <w:hideMark/>
          </w:tcPr>
          <w:p w:rsidR="0033695A" w:rsidRDefault="0033695A" w:rsidP="008B53DD">
            <w:pPr>
              <w:cnfStyle w:val="000000000000"/>
              <w:rPr>
                <w:sz w:val="16"/>
                <w:szCs w:val="16"/>
              </w:rPr>
            </w:pPr>
            <w:r>
              <w:rPr>
                <w:sz w:val="16"/>
                <w:szCs w:val="16"/>
              </w:rPr>
              <w:t>14</w:t>
            </w:r>
          </w:p>
        </w:tc>
        <w:tc>
          <w:tcPr>
            <w:tcW w:w="1003" w:type="dxa"/>
            <w:tcBorders>
              <w:top w:val="nil"/>
              <w:left w:val="nil"/>
              <w:bottom w:val="nil"/>
              <w:right w:val="single" w:sz="8" w:space="0" w:color="000000" w:themeColor="text1"/>
            </w:tcBorders>
            <w:hideMark/>
          </w:tcPr>
          <w:p w:rsidR="0033695A" w:rsidRDefault="0033695A" w:rsidP="008B53DD">
            <w:pPr>
              <w:cnfStyle w:val="000000000000"/>
              <w:rPr>
                <w:sz w:val="16"/>
                <w:szCs w:val="16"/>
              </w:rPr>
            </w:pPr>
            <w:r>
              <w:rPr>
                <w:sz w:val="16"/>
                <w:szCs w:val="16"/>
              </w:rPr>
              <w:t>4</w:t>
            </w:r>
          </w:p>
        </w:tc>
      </w:tr>
      <w:tr w:rsidR="0033695A" w:rsidTr="008B53DD">
        <w:trPr>
          <w:cnfStyle w:val="000000100000"/>
        </w:trPr>
        <w:tc>
          <w:tcPr>
            <w:cnfStyle w:val="001000000000"/>
            <w:tcW w:w="1242" w:type="dxa"/>
            <w:tcBorders>
              <w:right w:val="nil"/>
            </w:tcBorders>
            <w:hideMark/>
          </w:tcPr>
          <w:p w:rsidR="0033695A" w:rsidRDefault="0033695A" w:rsidP="008B53DD">
            <w:pPr>
              <w:rPr>
                <w:b w:val="0"/>
                <w:sz w:val="16"/>
                <w:szCs w:val="16"/>
              </w:rPr>
            </w:pPr>
            <w:r>
              <w:rPr>
                <w:b w:val="0"/>
                <w:sz w:val="16"/>
                <w:szCs w:val="16"/>
              </w:rPr>
              <w:t xml:space="preserve">2) Statistisch, medewerker </w:t>
            </w:r>
          </w:p>
        </w:tc>
        <w:tc>
          <w:tcPr>
            <w:tcW w:w="709" w:type="dxa"/>
            <w:tcBorders>
              <w:left w:val="nil"/>
              <w:right w:val="nil"/>
            </w:tcBorders>
            <w:hideMark/>
          </w:tcPr>
          <w:p w:rsidR="0033695A" w:rsidRDefault="0033695A" w:rsidP="008B53DD">
            <w:pPr>
              <w:cnfStyle w:val="000000100000"/>
              <w:rPr>
                <w:sz w:val="16"/>
                <w:szCs w:val="16"/>
              </w:rPr>
            </w:pPr>
            <w:r>
              <w:rPr>
                <w:sz w:val="16"/>
                <w:szCs w:val="16"/>
              </w:rPr>
              <w:t>11</w:t>
            </w:r>
          </w:p>
          <w:p w:rsidR="0033695A" w:rsidRDefault="0033695A" w:rsidP="008B53DD">
            <w:pPr>
              <w:cnfStyle w:val="000000100000"/>
              <w:rPr>
                <w:sz w:val="16"/>
                <w:szCs w:val="16"/>
              </w:rPr>
            </w:pPr>
            <w:r>
              <w:rPr>
                <w:sz w:val="16"/>
                <w:szCs w:val="16"/>
              </w:rPr>
              <w:t>(42%)</w:t>
            </w:r>
          </w:p>
        </w:tc>
        <w:tc>
          <w:tcPr>
            <w:tcW w:w="709" w:type="dxa"/>
            <w:gridSpan w:val="2"/>
            <w:tcBorders>
              <w:left w:val="nil"/>
              <w:right w:val="nil"/>
            </w:tcBorders>
            <w:hideMark/>
          </w:tcPr>
          <w:p w:rsidR="0033695A" w:rsidRDefault="0033695A" w:rsidP="008B53DD">
            <w:pPr>
              <w:cnfStyle w:val="000000100000"/>
              <w:rPr>
                <w:sz w:val="16"/>
                <w:szCs w:val="16"/>
              </w:rPr>
            </w:pPr>
            <w:r>
              <w:rPr>
                <w:sz w:val="16"/>
                <w:szCs w:val="16"/>
              </w:rPr>
              <w:t>15</w:t>
            </w:r>
          </w:p>
          <w:p w:rsidR="0033695A" w:rsidRDefault="0033695A" w:rsidP="008B53DD">
            <w:pPr>
              <w:cnfStyle w:val="000000100000"/>
              <w:rPr>
                <w:sz w:val="16"/>
                <w:szCs w:val="16"/>
              </w:rPr>
            </w:pPr>
            <w:r>
              <w:rPr>
                <w:sz w:val="16"/>
                <w:szCs w:val="16"/>
              </w:rPr>
              <w:t>(58%)</w:t>
            </w:r>
          </w:p>
        </w:tc>
        <w:tc>
          <w:tcPr>
            <w:tcW w:w="1134" w:type="dxa"/>
            <w:tcBorders>
              <w:left w:val="nil"/>
              <w:right w:val="nil"/>
            </w:tcBorders>
            <w:hideMark/>
          </w:tcPr>
          <w:p w:rsidR="0033695A" w:rsidRDefault="0033695A" w:rsidP="008B53DD">
            <w:pPr>
              <w:cnfStyle w:val="000000100000"/>
              <w:rPr>
                <w:sz w:val="16"/>
                <w:szCs w:val="16"/>
              </w:rPr>
            </w:pPr>
            <w:r>
              <w:rPr>
                <w:sz w:val="16"/>
                <w:szCs w:val="16"/>
              </w:rPr>
              <w:t>41.77 (14.52)</w:t>
            </w:r>
          </w:p>
        </w:tc>
        <w:tc>
          <w:tcPr>
            <w:tcW w:w="992" w:type="dxa"/>
            <w:tcBorders>
              <w:left w:val="nil"/>
              <w:right w:val="nil"/>
            </w:tcBorders>
            <w:hideMark/>
          </w:tcPr>
          <w:p w:rsidR="0033695A" w:rsidRDefault="0033695A" w:rsidP="008B53DD">
            <w:pPr>
              <w:cnfStyle w:val="000000100000"/>
              <w:rPr>
                <w:sz w:val="16"/>
                <w:szCs w:val="16"/>
              </w:rPr>
            </w:pPr>
            <w:r>
              <w:rPr>
                <w:sz w:val="16"/>
                <w:szCs w:val="16"/>
              </w:rPr>
              <w:t>1</w:t>
            </w:r>
          </w:p>
        </w:tc>
        <w:tc>
          <w:tcPr>
            <w:tcW w:w="1134" w:type="dxa"/>
            <w:gridSpan w:val="2"/>
            <w:tcBorders>
              <w:left w:val="nil"/>
              <w:right w:val="nil"/>
            </w:tcBorders>
            <w:hideMark/>
          </w:tcPr>
          <w:p w:rsidR="0033695A" w:rsidRDefault="0033695A" w:rsidP="008B53DD">
            <w:pPr>
              <w:cnfStyle w:val="000000100000"/>
              <w:rPr>
                <w:sz w:val="16"/>
                <w:szCs w:val="16"/>
              </w:rPr>
            </w:pPr>
            <w:r>
              <w:rPr>
                <w:sz w:val="16"/>
                <w:szCs w:val="16"/>
              </w:rPr>
              <w:t>3</w:t>
            </w:r>
          </w:p>
        </w:tc>
        <w:tc>
          <w:tcPr>
            <w:tcW w:w="1276" w:type="dxa"/>
            <w:tcBorders>
              <w:left w:val="nil"/>
              <w:right w:val="nil"/>
            </w:tcBorders>
            <w:hideMark/>
          </w:tcPr>
          <w:p w:rsidR="0033695A" w:rsidRDefault="0033695A" w:rsidP="008B53DD">
            <w:pPr>
              <w:cnfStyle w:val="000000100000"/>
              <w:rPr>
                <w:sz w:val="16"/>
                <w:szCs w:val="16"/>
              </w:rPr>
            </w:pPr>
            <w:r>
              <w:rPr>
                <w:sz w:val="16"/>
                <w:szCs w:val="16"/>
              </w:rPr>
              <w:t>9</w:t>
            </w:r>
          </w:p>
        </w:tc>
        <w:tc>
          <w:tcPr>
            <w:tcW w:w="1165" w:type="dxa"/>
            <w:tcBorders>
              <w:left w:val="nil"/>
              <w:right w:val="nil"/>
            </w:tcBorders>
            <w:hideMark/>
          </w:tcPr>
          <w:p w:rsidR="0033695A" w:rsidRDefault="0033695A" w:rsidP="008B53DD">
            <w:pPr>
              <w:cnfStyle w:val="000000100000"/>
              <w:rPr>
                <w:sz w:val="16"/>
                <w:szCs w:val="16"/>
              </w:rPr>
            </w:pPr>
            <w:r>
              <w:rPr>
                <w:sz w:val="16"/>
                <w:szCs w:val="16"/>
              </w:rPr>
              <w:t>11</w:t>
            </w:r>
          </w:p>
        </w:tc>
        <w:tc>
          <w:tcPr>
            <w:tcW w:w="1003" w:type="dxa"/>
            <w:tcBorders>
              <w:left w:val="nil"/>
            </w:tcBorders>
            <w:hideMark/>
          </w:tcPr>
          <w:p w:rsidR="0033695A" w:rsidRDefault="0033695A" w:rsidP="008B53DD">
            <w:pPr>
              <w:cnfStyle w:val="000000100000"/>
              <w:rPr>
                <w:sz w:val="16"/>
                <w:szCs w:val="16"/>
              </w:rPr>
            </w:pPr>
            <w:r>
              <w:rPr>
                <w:sz w:val="16"/>
                <w:szCs w:val="16"/>
              </w:rPr>
              <w:t>2</w:t>
            </w:r>
          </w:p>
        </w:tc>
      </w:tr>
      <w:tr w:rsidR="0033695A" w:rsidTr="008B53DD">
        <w:tc>
          <w:tcPr>
            <w:cnfStyle w:val="001000000000"/>
            <w:tcW w:w="1242" w:type="dxa"/>
            <w:tcBorders>
              <w:top w:val="nil"/>
              <w:left w:val="single" w:sz="8" w:space="0" w:color="000000" w:themeColor="text1"/>
              <w:bottom w:val="nil"/>
              <w:right w:val="nil"/>
            </w:tcBorders>
            <w:hideMark/>
          </w:tcPr>
          <w:p w:rsidR="0033695A" w:rsidRDefault="0033695A" w:rsidP="008B53DD">
            <w:pPr>
              <w:rPr>
                <w:b w:val="0"/>
                <w:sz w:val="16"/>
                <w:szCs w:val="16"/>
              </w:rPr>
            </w:pPr>
            <w:r>
              <w:rPr>
                <w:b w:val="0"/>
                <w:sz w:val="16"/>
                <w:szCs w:val="16"/>
              </w:rPr>
              <w:t xml:space="preserve">3) Anekdotisch, manager </w:t>
            </w:r>
          </w:p>
        </w:tc>
        <w:tc>
          <w:tcPr>
            <w:tcW w:w="709" w:type="dxa"/>
            <w:tcBorders>
              <w:top w:val="nil"/>
              <w:left w:val="nil"/>
              <w:bottom w:val="nil"/>
              <w:right w:val="nil"/>
            </w:tcBorders>
            <w:hideMark/>
          </w:tcPr>
          <w:p w:rsidR="0033695A" w:rsidRDefault="0033695A" w:rsidP="008B53DD">
            <w:pPr>
              <w:cnfStyle w:val="000000000000"/>
              <w:rPr>
                <w:sz w:val="16"/>
                <w:szCs w:val="16"/>
              </w:rPr>
            </w:pPr>
            <w:r>
              <w:rPr>
                <w:sz w:val="16"/>
                <w:szCs w:val="16"/>
              </w:rPr>
              <w:t>12</w:t>
            </w:r>
          </w:p>
          <w:p w:rsidR="0033695A" w:rsidRDefault="0033695A" w:rsidP="008B53DD">
            <w:pPr>
              <w:cnfStyle w:val="000000000000"/>
              <w:rPr>
                <w:sz w:val="16"/>
                <w:szCs w:val="16"/>
              </w:rPr>
            </w:pPr>
            <w:r>
              <w:rPr>
                <w:sz w:val="16"/>
                <w:szCs w:val="16"/>
              </w:rPr>
              <w:t>(39%)</w:t>
            </w:r>
          </w:p>
        </w:tc>
        <w:tc>
          <w:tcPr>
            <w:tcW w:w="709" w:type="dxa"/>
            <w:gridSpan w:val="2"/>
            <w:tcBorders>
              <w:top w:val="nil"/>
              <w:left w:val="nil"/>
              <w:bottom w:val="nil"/>
              <w:right w:val="nil"/>
            </w:tcBorders>
            <w:hideMark/>
          </w:tcPr>
          <w:p w:rsidR="0033695A" w:rsidRDefault="0033695A" w:rsidP="008B53DD">
            <w:pPr>
              <w:cnfStyle w:val="000000000000"/>
              <w:rPr>
                <w:sz w:val="16"/>
                <w:szCs w:val="16"/>
              </w:rPr>
            </w:pPr>
            <w:r>
              <w:rPr>
                <w:sz w:val="16"/>
                <w:szCs w:val="16"/>
              </w:rPr>
              <w:t>19</w:t>
            </w:r>
          </w:p>
          <w:p w:rsidR="0033695A" w:rsidRDefault="0033695A" w:rsidP="008B53DD">
            <w:pPr>
              <w:cnfStyle w:val="000000000000"/>
              <w:rPr>
                <w:sz w:val="16"/>
                <w:szCs w:val="16"/>
              </w:rPr>
            </w:pPr>
            <w:r>
              <w:rPr>
                <w:sz w:val="16"/>
                <w:szCs w:val="16"/>
              </w:rPr>
              <w:t>(61%)</w:t>
            </w:r>
          </w:p>
        </w:tc>
        <w:tc>
          <w:tcPr>
            <w:tcW w:w="1134" w:type="dxa"/>
            <w:tcBorders>
              <w:top w:val="nil"/>
              <w:left w:val="nil"/>
              <w:bottom w:val="nil"/>
              <w:right w:val="nil"/>
            </w:tcBorders>
            <w:hideMark/>
          </w:tcPr>
          <w:p w:rsidR="0033695A" w:rsidRDefault="0033695A" w:rsidP="008B53DD">
            <w:pPr>
              <w:cnfStyle w:val="000000000000"/>
              <w:rPr>
                <w:sz w:val="16"/>
                <w:szCs w:val="16"/>
              </w:rPr>
            </w:pPr>
            <w:r>
              <w:rPr>
                <w:sz w:val="16"/>
                <w:szCs w:val="16"/>
              </w:rPr>
              <w:t>41.03 (13.59)</w:t>
            </w:r>
          </w:p>
        </w:tc>
        <w:tc>
          <w:tcPr>
            <w:tcW w:w="992" w:type="dxa"/>
            <w:tcBorders>
              <w:top w:val="nil"/>
              <w:left w:val="nil"/>
              <w:bottom w:val="nil"/>
              <w:right w:val="nil"/>
            </w:tcBorders>
            <w:hideMark/>
          </w:tcPr>
          <w:p w:rsidR="0033695A" w:rsidRDefault="0033695A" w:rsidP="008B53DD">
            <w:pPr>
              <w:cnfStyle w:val="000000000000"/>
              <w:rPr>
                <w:sz w:val="16"/>
                <w:szCs w:val="16"/>
              </w:rPr>
            </w:pPr>
            <w:r>
              <w:rPr>
                <w:sz w:val="16"/>
                <w:szCs w:val="16"/>
              </w:rPr>
              <w:t>-</w:t>
            </w:r>
          </w:p>
        </w:tc>
        <w:tc>
          <w:tcPr>
            <w:tcW w:w="1134" w:type="dxa"/>
            <w:gridSpan w:val="2"/>
            <w:tcBorders>
              <w:top w:val="nil"/>
              <w:left w:val="nil"/>
              <w:bottom w:val="nil"/>
              <w:right w:val="nil"/>
            </w:tcBorders>
            <w:hideMark/>
          </w:tcPr>
          <w:p w:rsidR="0033695A" w:rsidRDefault="0033695A" w:rsidP="008B53DD">
            <w:pPr>
              <w:cnfStyle w:val="000000000000"/>
              <w:rPr>
                <w:sz w:val="16"/>
                <w:szCs w:val="16"/>
              </w:rPr>
            </w:pPr>
            <w:r>
              <w:rPr>
                <w:sz w:val="16"/>
                <w:szCs w:val="16"/>
              </w:rPr>
              <w:t>3</w:t>
            </w:r>
          </w:p>
        </w:tc>
        <w:tc>
          <w:tcPr>
            <w:tcW w:w="1276" w:type="dxa"/>
            <w:tcBorders>
              <w:top w:val="nil"/>
              <w:left w:val="nil"/>
              <w:bottom w:val="nil"/>
              <w:right w:val="nil"/>
            </w:tcBorders>
            <w:hideMark/>
          </w:tcPr>
          <w:p w:rsidR="0033695A" w:rsidRDefault="0033695A" w:rsidP="008B53DD">
            <w:pPr>
              <w:cnfStyle w:val="000000000000"/>
              <w:rPr>
                <w:sz w:val="16"/>
                <w:szCs w:val="16"/>
              </w:rPr>
            </w:pPr>
            <w:r>
              <w:rPr>
                <w:sz w:val="16"/>
                <w:szCs w:val="16"/>
              </w:rPr>
              <w:t>7</w:t>
            </w:r>
          </w:p>
        </w:tc>
        <w:tc>
          <w:tcPr>
            <w:tcW w:w="1165" w:type="dxa"/>
            <w:tcBorders>
              <w:top w:val="nil"/>
              <w:left w:val="nil"/>
              <w:bottom w:val="nil"/>
              <w:right w:val="nil"/>
            </w:tcBorders>
            <w:hideMark/>
          </w:tcPr>
          <w:p w:rsidR="0033695A" w:rsidRDefault="0033695A" w:rsidP="008B53DD">
            <w:pPr>
              <w:cnfStyle w:val="000000000000"/>
              <w:rPr>
                <w:sz w:val="16"/>
                <w:szCs w:val="16"/>
              </w:rPr>
            </w:pPr>
            <w:r>
              <w:rPr>
                <w:sz w:val="16"/>
                <w:szCs w:val="16"/>
              </w:rPr>
              <w:t>14</w:t>
            </w:r>
          </w:p>
        </w:tc>
        <w:tc>
          <w:tcPr>
            <w:tcW w:w="1003" w:type="dxa"/>
            <w:tcBorders>
              <w:top w:val="nil"/>
              <w:left w:val="nil"/>
              <w:bottom w:val="nil"/>
              <w:right w:val="single" w:sz="8" w:space="0" w:color="000000" w:themeColor="text1"/>
            </w:tcBorders>
            <w:hideMark/>
          </w:tcPr>
          <w:p w:rsidR="0033695A" w:rsidRDefault="0033695A" w:rsidP="008B53DD">
            <w:pPr>
              <w:cnfStyle w:val="000000000000"/>
              <w:rPr>
                <w:sz w:val="16"/>
                <w:szCs w:val="16"/>
              </w:rPr>
            </w:pPr>
            <w:r>
              <w:rPr>
                <w:sz w:val="16"/>
                <w:szCs w:val="16"/>
              </w:rPr>
              <w:t>7</w:t>
            </w:r>
          </w:p>
        </w:tc>
      </w:tr>
      <w:tr w:rsidR="0033695A" w:rsidTr="008B53DD">
        <w:trPr>
          <w:cnfStyle w:val="000000100000"/>
        </w:trPr>
        <w:tc>
          <w:tcPr>
            <w:cnfStyle w:val="001000000000"/>
            <w:tcW w:w="1242" w:type="dxa"/>
            <w:tcBorders>
              <w:right w:val="nil"/>
            </w:tcBorders>
            <w:hideMark/>
          </w:tcPr>
          <w:p w:rsidR="0033695A" w:rsidRDefault="0033695A" w:rsidP="008B53DD">
            <w:pPr>
              <w:rPr>
                <w:b w:val="0"/>
                <w:sz w:val="16"/>
                <w:szCs w:val="16"/>
              </w:rPr>
            </w:pPr>
            <w:r>
              <w:rPr>
                <w:b w:val="0"/>
                <w:sz w:val="16"/>
                <w:szCs w:val="16"/>
              </w:rPr>
              <w:t xml:space="preserve">4) Anekdotisch, medewerker </w:t>
            </w:r>
          </w:p>
        </w:tc>
        <w:tc>
          <w:tcPr>
            <w:tcW w:w="709" w:type="dxa"/>
            <w:tcBorders>
              <w:left w:val="nil"/>
              <w:right w:val="nil"/>
            </w:tcBorders>
            <w:hideMark/>
          </w:tcPr>
          <w:p w:rsidR="0033695A" w:rsidRDefault="0033695A" w:rsidP="008B53DD">
            <w:pPr>
              <w:cnfStyle w:val="000000100000"/>
              <w:rPr>
                <w:sz w:val="16"/>
                <w:szCs w:val="16"/>
              </w:rPr>
            </w:pPr>
            <w:r>
              <w:rPr>
                <w:sz w:val="16"/>
                <w:szCs w:val="16"/>
              </w:rPr>
              <w:t>7</w:t>
            </w:r>
          </w:p>
          <w:p w:rsidR="0033695A" w:rsidRDefault="0033695A" w:rsidP="008B53DD">
            <w:pPr>
              <w:cnfStyle w:val="000000100000"/>
              <w:rPr>
                <w:sz w:val="16"/>
                <w:szCs w:val="16"/>
              </w:rPr>
            </w:pPr>
            <w:r>
              <w:rPr>
                <w:sz w:val="16"/>
                <w:szCs w:val="16"/>
              </w:rPr>
              <w:t>(33%)</w:t>
            </w:r>
          </w:p>
        </w:tc>
        <w:tc>
          <w:tcPr>
            <w:tcW w:w="709" w:type="dxa"/>
            <w:gridSpan w:val="2"/>
            <w:tcBorders>
              <w:left w:val="nil"/>
              <w:right w:val="nil"/>
            </w:tcBorders>
            <w:hideMark/>
          </w:tcPr>
          <w:p w:rsidR="0033695A" w:rsidRDefault="0033695A" w:rsidP="008B53DD">
            <w:pPr>
              <w:cnfStyle w:val="000000100000"/>
              <w:rPr>
                <w:sz w:val="16"/>
                <w:szCs w:val="16"/>
              </w:rPr>
            </w:pPr>
            <w:r>
              <w:rPr>
                <w:sz w:val="16"/>
                <w:szCs w:val="16"/>
              </w:rPr>
              <w:t xml:space="preserve">14 </w:t>
            </w:r>
          </w:p>
          <w:p w:rsidR="0033695A" w:rsidRDefault="0033695A" w:rsidP="008B53DD">
            <w:pPr>
              <w:cnfStyle w:val="000000100000"/>
              <w:rPr>
                <w:sz w:val="16"/>
                <w:szCs w:val="16"/>
              </w:rPr>
            </w:pPr>
            <w:r>
              <w:rPr>
                <w:sz w:val="16"/>
                <w:szCs w:val="16"/>
              </w:rPr>
              <w:t>(67%)</w:t>
            </w:r>
          </w:p>
        </w:tc>
        <w:tc>
          <w:tcPr>
            <w:tcW w:w="1134" w:type="dxa"/>
            <w:tcBorders>
              <w:left w:val="nil"/>
              <w:right w:val="nil"/>
            </w:tcBorders>
            <w:hideMark/>
          </w:tcPr>
          <w:p w:rsidR="0033695A" w:rsidRDefault="0033695A" w:rsidP="008B53DD">
            <w:pPr>
              <w:cnfStyle w:val="000000100000"/>
              <w:rPr>
                <w:sz w:val="16"/>
                <w:szCs w:val="16"/>
              </w:rPr>
            </w:pPr>
            <w:r>
              <w:rPr>
                <w:sz w:val="16"/>
                <w:szCs w:val="16"/>
              </w:rPr>
              <w:t>38.95 (11.84)</w:t>
            </w:r>
          </w:p>
        </w:tc>
        <w:tc>
          <w:tcPr>
            <w:tcW w:w="992" w:type="dxa"/>
            <w:tcBorders>
              <w:left w:val="nil"/>
              <w:right w:val="nil"/>
            </w:tcBorders>
            <w:hideMark/>
          </w:tcPr>
          <w:p w:rsidR="0033695A" w:rsidRDefault="0033695A" w:rsidP="008B53DD">
            <w:pPr>
              <w:cnfStyle w:val="000000100000"/>
              <w:rPr>
                <w:sz w:val="16"/>
                <w:szCs w:val="16"/>
              </w:rPr>
            </w:pPr>
            <w:r>
              <w:rPr>
                <w:sz w:val="16"/>
                <w:szCs w:val="16"/>
              </w:rPr>
              <w:t>-</w:t>
            </w:r>
          </w:p>
        </w:tc>
        <w:tc>
          <w:tcPr>
            <w:tcW w:w="1134" w:type="dxa"/>
            <w:gridSpan w:val="2"/>
            <w:tcBorders>
              <w:left w:val="nil"/>
              <w:right w:val="nil"/>
            </w:tcBorders>
            <w:hideMark/>
          </w:tcPr>
          <w:p w:rsidR="0033695A" w:rsidRDefault="0033695A" w:rsidP="008B53DD">
            <w:pPr>
              <w:cnfStyle w:val="000000100000"/>
              <w:rPr>
                <w:sz w:val="16"/>
                <w:szCs w:val="16"/>
              </w:rPr>
            </w:pPr>
            <w:r>
              <w:rPr>
                <w:sz w:val="16"/>
                <w:szCs w:val="16"/>
              </w:rPr>
              <w:t>4</w:t>
            </w:r>
          </w:p>
        </w:tc>
        <w:tc>
          <w:tcPr>
            <w:tcW w:w="1276" w:type="dxa"/>
            <w:tcBorders>
              <w:left w:val="nil"/>
              <w:right w:val="nil"/>
            </w:tcBorders>
            <w:hideMark/>
          </w:tcPr>
          <w:p w:rsidR="0033695A" w:rsidRDefault="0033695A" w:rsidP="008B53DD">
            <w:pPr>
              <w:cnfStyle w:val="000000100000"/>
              <w:rPr>
                <w:sz w:val="16"/>
                <w:szCs w:val="16"/>
              </w:rPr>
            </w:pPr>
            <w:r>
              <w:rPr>
                <w:sz w:val="16"/>
                <w:szCs w:val="16"/>
              </w:rPr>
              <w:t>8</w:t>
            </w:r>
          </w:p>
        </w:tc>
        <w:tc>
          <w:tcPr>
            <w:tcW w:w="1165" w:type="dxa"/>
            <w:tcBorders>
              <w:left w:val="nil"/>
              <w:right w:val="nil"/>
            </w:tcBorders>
            <w:hideMark/>
          </w:tcPr>
          <w:p w:rsidR="0033695A" w:rsidRDefault="0033695A" w:rsidP="008B53DD">
            <w:pPr>
              <w:cnfStyle w:val="000000100000"/>
              <w:rPr>
                <w:sz w:val="16"/>
                <w:szCs w:val="16"/>
              </w:rPr>
            </w:pPr>
            <w:r>
              <w:rPr>
                <w:sz w:val="16"/>
                <w:szCs w:val="16"/>
              </w:rPr>
              <w:t>6</w:t>
            </w:r>
          </w:p>
        </w:tc>
        <w:tc>
          <w:tcPr>
            <w:tcW w:w="1003" w:type="dxa"/>
            <w:tcBorders>
              <w:left w:val="nil"/>
            </w:tcBorders>
            <w:hideMark/>
          </w:tcPr>
          <w:p w:rsidR="0033695A" w:rsidRDefault="0033695A" w:rsidP="008B53DD">
            <w:pPr>
              <w:keepNext/>
              <w:cnfStyle w:val="000000100000"/>
              <w:rPr>
                <w:sz w:val="16"/>
                <w:szCs w:val="16"/>
              </w:rPr>
            </w:pPr>
            <w:r>
              <w:rPr>
                <w:sz w:val="16"/>
                <w:szCs w:val="16"/>
              </w:rPr>
              <w:t>3</w:t>
            </w:r>
          </w:p>
        </w:tc>
      </w:tr>
    </w:tbl>
    <w:p w:rsidR="0033695A" w:rsidRDefault="0033695A" w:rsidP="0033695A">
      <w:pPr>
        <w:pStyle w:val="Bijschrift"/>
        <w:rPr>
          <w:i/>
          <w:sz w:val="20"/>
          <w:szCs w:val="20"/>
        </w:rPr>
      </w:pPr>
      <w:r>
        <w:rPr>
          <w:i/>
        </w:rPr>
        <w:t xml:space="preserve">Tabel </w:t>
      </w:r>
      <w:r w:rsidR="00836C71">
        <w:rPr>
          <w:i/>
        </w:rPr>
        <w:fldChar w:fldCharType="begin"/>
      </w:r>
      <w:r>
        <w:rPr>
          <w:i/>
        </w:rPr>
        <w:instrText xml:space="preserve"> SEQ Tabel \* ARABIC </w:instrText>
      </w:r>
      <w:r w:rsidR="00836C71">
        <w:rPr>
          <w:i/>
        </w:rPr>
        <w:fldChar w:fldCharType="separate"/>
      </w:r>
      <w:r w:rsidR="00675099">
        <w:rPr>
          <w:i/>
          <w:noProof/>
        </w:rPr>
        <w:t>1</w:t>
      </w:r>
      <w:r w:rsidR="00836C71">
        <w:rPr>
          <w:i/>
        </w:rPr>
        <w:fldChar w:fldCharType="end"/>
      </w:r>
      <w:r>
        <w:rPr>
          <w:i/>
        </w:rPr>
        <w:t>: Verdeling demografische gegevens respondenten over de condities</w:t>
      </w:r>
    </w:p>
    <w:p w:rsidR="0033695A" w:rsidRDefault="0033695A" w:rsidP="0033695A">
      <w:pPr>
        <w:jc w:val="both"/>
        <w:rPr>
          <w:sz w:val="20"/>
          <w:szCs w:val="20"/>
        </w:rPr>
      </w:pPr>
      <w:r>
        <w:rPr>
          <w:sz w:val="20"/>
          <w:szCs w:val="20"/>
        </w:rPr>
        <w:t xml:space="preserve">Allereerst is er gekeken of het aantal mannen en vrouwen dat de vragenlijsten </w:t>
      </w:r>
      <w:r w:rsidRPr="00804178">
        <w:rPr>
          <w:sz w:val="20"/>
          <w:szCs w:val="20"/>
        </w:rPr>
        <w:t xml:space="preserve">hebben ingevuld, gelijk verdeeld waren over de verschillende condities. </w:t>
      </w:r>
      <w:r>
        <w:rPr>
          <w:sz w:val="20"/>
          <w:szCs w:val="20"/>
        </w:rPr>
        <w:t>Uit de Chi-kwadraattoets bleek dat dit het geval was (</w:t>
      </w:r>
      <w:r>
        <w:rPr>
          <w:rFonts w:ascii="Calibri" w:eastAsia="Calibri" w:hAnsi="Calibri" w:cs="Times New Roman"/>
          <w:sz w:val="20"/>
          <w:szCs w:val="20"/>
        </w:rPr>
        <w:t>X</w:t>
      </w:r>
      <w:r>
        <w:rPr>
          <w:rFonts w:ascii="Calibri" w:eastAsia="Calibri" w:hAnsi="Calibri" w:cs="Times New Roman"/>
          <w:sz w:val="20"/>
          <w:szCs w:val="20"/>
          <w:vertAlign w:val="superscript"/>
        </w:rPr>
        <w:t>2</w:t>
      </w:r>
      <w:r>
        <w:rPr>
          <w:sz w:val="20"/>
          <w:szCs w:val="20"/>
        </w:rPr>
        <w:t>(1</w:t>
      </w:r>
      <w:r>
        <w:rPr>
          <w:rFonts w:ascii="Calibri" w:eastAsia="Calibri" w:hAnsi="Calibri" w:cs="Times New Roman"/>
          <w:sz w:val="20"/>
          <w:szCs w:val="20"/>
          <w:vertAlign w:val="superscript"/>
        </w:rPr>
        <w:t xml:space="preserve"> </w:t>
      </w:r>
      <w:r>
        <w:rPr>
          <w:sz w:val="20"/>
          <w:szCs w:val="20"/>
        </w:rPr>
        <w:t>=1.42; p=</w:t>
      </w:r>
      <w:r>
        <w:rPr>
          <w:rFonts w:ascii="Calibri" w:eastAsia="Calibri" w:hAnsi="Calibri" w:cs="Times New Roman"/>
          <w:sz w:val="20"/>
          <w:szCs w:val="20"/>
        </w:rPr>
        <w:t>.</w:t>
      </w:r>
      <w:r>
        <w:rPr>
          <w:sz w:val="20"/>
          <w:szCs w:val="20"/>
        </w:rPr>
        <w:t>25). Dit is gunstig, omdat de groepen zoveel mogelijk gerandomiseerd moeten zijn. Vervolgens is er gekeken of dit ook het opleidingsniveau betrof. Ook daarbij bleek dat er goed gerandomiseerd was, het verschil tussen de groepen bleek niet significant (X</w:t>
      </w:r>
      <w:r>
        <w:rPr>
          <w:sz w:val="20"/>
          <w:szCs w:val="20"/>
          <w:vertAlign w:val="superscript"/>
        </w:rPr>
        <w:t>2</w:t>
      </w:r>
      <w:r>
        <w:rPr>
          <w:sz w:val="20"/>
          <w:szCs w:val="20"/>
        </w:rPr>
        <w:t xml:space="preserve">(4)= 3.78; p=.44). Ook de variabele leeftijd was vrijwel gelijk verdeeld over de condities (conditie 1 en 2: t(50)=.38; p=.36), conditie 1 en 3: t(55)=.60; p=.11), conditie 2 en 4: t(45)=.72; p=.26, conditie 3 en 4: t(50)=.57; p=.70 en conditie 2 en 3: t(55)=.20; p=.48). Alleen tussen conditie 1 en conditie 4 was een significant verschil (t(44.69)=1.09; p=.04). De respondenten van conditie 1 waren gemiddeld ongeveer 43, wat significant </w:t>
      </w:r>
      <w:r w:rsidR="00EA1E70">
        <w:rPr>
          <w:sz w:val="20"/>
          <w:szCs w:val="20"/>
        </w:rPr>
        <w:t>ouder was dan</w:t>
      </w:r>
      <w:r>
        <w:rPr>
          <w:sz w:val="20"/>
          <w:szCs w:val="20"/>
        </w:rPr>
        <w:t xml:space="preserve"> de gemiddelde leeftijd van de respondenten van conditie 4. </w:t>
      </w:r>
    </w:p>
    <w:p w:rsidR="0033695A" w:rsidRDefault="0033695A" w:rsidP="0033695A">
      <w:pPr>
        <w:pStyle w:val="Kop3"/>
      </w:pPr>
      <w:bookmarkStart w:id="15" w:name="_Toc346802182"/>
      <w:r>
        <w:t>3.6</w:t>
      </w:r>
      <w:r>
        <w:tab/>
        <w:t>Betrouwbaarheid vragenclusters</w:t>
      </w:r>
      <w:bookmarkEnd w:id="15"/>
    </w:p>
    <w:p w:rsidR="0033695A" w:rsidRDefault="0033695A" w:rsidP="0033695A">
      <w:pPr>
        <w:jc w:val="both"/>
        <w:rPr>
          <w:sz w:val="20"/>
          <w:szCs w:val="20"/>
        </w:rPr>
      </w:pPr>
      <w:r>
        <w:rPr>
          <w:sz w:val="20"/>
          <w:szCs w:val="20"/>
        </w:rPr>
        <w:t xml:space="preserve">De vragenlijst van dit onderzoek bestaat, naast een algemeen oordeel bestaande uit een schoolcijfer, uit 24 vragen die onderverdeeld zijn in vijf constructen (afhankelijke variabelen), namelijk: waardering van het standpunt, waardering van het argument, waardering van de evidentie, waardering van de geloofwaardigheid en waardering van de aantrekkelijkheid. Om te kijken of de vragen in de vragenclusters ook daadwerkelijk hetzelfde construct meten, is er een betrouwbaarheidsanalyse uitgevoerd. In tabel 2 staan de betrouwbaarheidscoëfficiënten (berekend met een </w:t>
      </w:r>
      <w:proofErr w:type="spellStart"/>
      <w:r>
        <w:rPr>
          <w:sz w:val="20"/>
          <w:szCs w:val="20"/>
        </w:rPr>
        <w:t>Cronbach’s</w:t>
      </w:r>
      <w:proofErr w:type="spellEnd"/>
      <w:r>
        <w:rPr>
          <w:sz w:val="20"/>
          <w:szCs w:val="20"/>
        </w:rPr>
        <w:t xml:space="preserve"> </w:t>
      </w:r>
      <w:proofErr w:type="spellStart"/>
      <w:r>
        <w:rPr>
          <w:sz w:val="20"/>
          <w:szCs w:val="20"/>
        </w:rPr>
        <w:t>Alpha</w:t>
      </w:r>
      <w:proofErr w:type="spellEnd"/>
      <w:r>
        <w:rPr>
          <w:sz w:val="20"/>
          <w:szCs w:val="20"/>
        </w:rPr>
        <w:t>) per vragencluster.</w:t>
      </w:r>
    </w:p>
    <w:tbl>
      <w:tblPr>
        <w:tblStyle w:val="Lichtelijst1"/>
        <w:tblW w:w="0" w:type="auto"/>
        <w:tblLook w:val="04A0"/>
      </w:tblPr>
      <w:tblGrid>
        <w:gridCol w:w="3070"/>
        <w:gridCol w:w="3071"/>
        <w:gridCol w:w="3071"/>
      </w:tblGrid>
      <w:tr w:rsidR="0033695A" w:rsidTr="008B53DD">
        <w:trPr>
          <w:cnfStyle w:val="100000000000"/>
        </w:trPr>
        <w:tc>
          <w:tcPr>
            <w:cnfStyle w:val="001000000000"/>
            <w:tcW w:w="3070" w:type="dxa"/>
            <w:tcBorders>
              <w:top w:val="single" w:sz="8" w:space="0" w:color="000000" w:themeColor="text1"/>
              <w:left w:val="single" w:sz="8" w:space="0" w:color="000000" w:themeColor="text1"/>
              <w:bottom w:val="nil"/>
              <w:right w:val="nil"/>
            </w:tcBorders>
            <w:hideMark/>
          </w:tcPr>
          <w:p w:rsidR="0033695A" w:rsidRDefault="0033695A" w:rsidP="008B53DD">
            <w:pPr>
              <w:rPr>
                <w:sz w:val="20"/>
                <w:szCs w:val="20"/>
              </w:rPr>
            </w:pPr>
            <w:r>
              <w:rPr>
                <w:sz w:val="20"/>
                <w:szCs w:val="20"/>
              </w:rPr>
              <w:t>Cluster</w:t>
            </w:r>
          </w:p>
        </w:tc>
        <w:tc>
          <w:tcPr>
            <w:tcW w:w="3071" w:type="dxa"/>
            <w:tcBorders>
              <w:top w:val="single" w:sz="8" w:space="0" w:color="000000" w:themeColor="text1"/>
              <w:left w:val="nil"/>
              <w:bottom w:val="nil"/>
              <w:right w:val="nil"/>
            </w:tcBorders>
            <w:hideMark/>
          </w:tcPr>
          <w:p w:rsidR="0033695A" w:rsidRDefault="0033695A" w:rsidP="008B53DD">
            <w:pPr>
              <w:cnfStyle w:val="100000000000"/>
              <w:rPr>
                <w:sz w:val="20"/>
                <w:szCs w:val="20"/>
              </w:rPr>
            </w:pPr>
            <w:r>
              <w:rPr>
                <w:sz w:val="20"/>
                <w:szCs w:val="20"/>
              </w:rPr>
              <w:t>Vragen</w:t>
            </w:r>
          </w:p>
        </w:tc>
        <w:tc>
          <w:tcPr>
            <w:tcW w:w="3071" w:type="dxa"/>
            <w:tcBorders>
              <w:top w:val="single" w:sz="8" w:space="0" w:color="000000" w:themeColor="text1"/>
              <w:left w:val="nil"/>
              <w:bottom w:val="nil"/>
              <w:right w:val="single" w:sz="8" w:space="0" w:color="000000" w:themeColor="text1"/>
            </w:tcBorders>
            <w:hideMark/>
          </w:tcPr>
          <w:p w:rsidR="0033695A" w:rsidRDefault="0033695A" w:rsidP="008B53DD">
            <w:pPr>
              <w:cnfStyle w:val="100000000000"/>
              <w:rPr>
                <w:sz w:val="20"/>
                <w:szCs w:val="20"/>
              </w:rPr>
            </w:pPr>
            <w:r>
              <w:rPr>
                <w:sz w:val="20"/>
                <w:szCs w:val="20"/>
              </w:rPr>
              <w:t>Betrouwbaarheid (α)</w:t>
            </w:r>
          </w:p>
        </w:tc>
      </w:tr>
      <w:tr w:rsidR="0033695A" w:rsidTr="008B53DD">
        <w:trPr>
          <w:cnfStyle w:val="000000100000"/>
        </w:trPr>
        <w:tc>
          <w:tcPr>
            <w:cnfStyle w:val="001000000000"/>
            <w:tcW w:w="3070" w:type="dxa"/>
            <w:tcBorders>
              <w:right w:val="nil"/>
            </w:tcBorders>
            <w:hideMark/>
          </w:tcPr>
          <w:p w:rsidR="0033695A" w:rsidRDefault="0033695A" w:rsidP="008B53DD">
            <w:pPr>
              <w:rPr>
                <w:b w:val="0"/>
                <w:sz w:val="20"/>
                <w:szCs w:val="20"/>
              </w:rPr>
            </w:pPr>
            <w:r>
              <w:rPr>
                <w:b w:val="0"/>
                <w:sz w:val="20"/>
                <w:szCs w:val="20"/>
              </w:rPr>
              <w:t>Standpunt</w:t>
            </w:r>
          </w:p>
        </w:tc>
        <w:tc>
          <w:tcPr>
            <w:tcW w:w="3071" w:type="dxa"/>
            <w:tcBorders>
              <w:left w:val="nil"/>
              <w:right w:val="nil"/>
            </w:tcBorders>
            <w:hideMark/>
          </w:tcPr>
          <w:p w:rsidR="0033695A" w:rsidRDefault="0033695A" w:rsidP="008B53DD">
            <w:pPr>
              <w:cnfStyle w:val="000000100000"/>
              <w:rPr>
                <w:sz w:val="20"/>
                <w:szCs w:val="20"/>
              </w:rPr>
            </w:pPr>
            <w:r>
              <w:rPr>
                <w:sz w:val="20"/>
                <w:szCs w:val="20"/>
              </w:rPr>
              <w:t>2 t/m 6</w:t>
            </w:r>
          </w:p>
        </w:tc>
        <w:tc>
          <w:tcPr>
            <w:tcW w:w="3071" w:type="dxa"/>
            <w:tcBorders>
              <w:left w:val="nil"/>
            </w:tcBorders>
            <w:hideMark/>
          </w:tcPr>
          <w:p w:rsidR="0033695A" w:rsidRDefault="0033695A" w:rsidP="008B53DD">
            <w:pPr>
              <w:cnfStyle w:val="000000100000"/>
              <w:rPr>
                <w:sz w:val="20"/>
                <w:szCs w:val="20"/>
              </w:rPr>
            </w:pPr>
            <w:r>
              <w:rPr>
                <w:sz w:val="20"/>
                <w:szCs w:val="20"/>
              </w:rPr>
              <w:t>.92</w:t>
            </w:r>
          </w:p>
        </w:tc>
      </w:tr>
      <w:tr w:rsidR="0033695A" w:rsidTr="008B53DD">
        <w:tc>
          <w:tcPr>
            <w:cnfStyle w:val="001000000000"/>
            <w:tcW w:w="3070" w:type="dxa"/>
            <w:tcBorders>
              <w:top w:val="nil"/>
              <w:left w:val="single" w:sz="8" w:space="0" w:color="000000" w:themeColor="text1"/>
              <w:bottom w:val="nil"/>
              <w:right w:val="nil"/>
            </w:tcBorders>
            <w:hideMark/>
          </w:tcPr>
          <w:p w:rsidR="0033695A" w:rsidRDefault="0033695A" w:rsidP="008B53DD">
            <w:pPr>
              <w:rPr>
                <w:b w:val="0"/>
                <w:sz w:val="20"/>
                <w:szCs w:val="20"/>
              </w:rPr>
            </w:pPr>
            <w:r>
              <w:rPr>
                <w:b w:val="0"/>
                <w:sz w:val="20"/>
                <w:szCs w:val="20"/>
              </w:rPr>
              <w:t>Argument</w:t>
            </w:r>
          </w:p>
        </w:tc>
        <w:tc>
          <w:tcPr>
            <w:tcW w:w="3071" w:type="dxa"/>
            <w:tcBorders>
              <w:top w:val="nil"/>
              <w:left w:val="nil"/>
              <w:bottom w:val="nil"/>
              <w:right w:val="nil"/>
            </w:tcBorders>
            <w:hideMark/>
          </w:tcPr>
          <w:p w:rsidR="0033695A" w:rsidRDefault="0033695A" w:rsidP="008B53DD">
            <w:pPr>
              <w:cnfStyle w:val="000000000000"/>
              <w:rPr>
                <w:sz w:val="20"/>
                <w:szCs w:val="20"/>
              </w:rPr>
            </w:pPr>
            <w:r>
              <w:rPr>
                <w:sz w:val="20"/>
                <w:szCs w:val="20"/>
              </w:rPr>
              <w:t>7 t/m 10</w:t>
            </w:r>
          </w:p>
        </w:tc>
        <w:tc>
          <w:tcPr>
            <w:tcW w:w="3071" w:type="dxa"/>
            <w:tcBorders>
              <w:top w:val="nil"/>
              <w:left w:val="nil"/>
              <w:bottom w:val="nil"/>
              <w:right w:val="single" w:sz="8" w:space="0" w:color="000000" w:themeColor="text1"/>
            </w:tcBorders>
            <w:hideMark/>
          </w:tcPr>
          <w:p w:rsidR="0033695A" w:rsidRDefault="0033695A" w:rsidP="008B53DD">
            <w:pPr>
              <w:cnfStyle w:val="000000000000"/>
              <w:rPr>
                <w:sz w:val="20"/>
                <w:szCs w:val="20"/>
              </w:rPr>
            </w:pPr>
            <w:r>
              <w:rPr>
                <w:sz w:val="20"/>
                <w:szCs w:val="20"/>
              </w:rPr>
              <w:t>.94</w:t>
            </w:r>
          </w:p>
        </w:tc>
      </w:tr>
      <w:tr w:rsidR="0033695A" w:rsidTr="008B53DD">
        <w:trPr>
          <w:cnfStyle w:val="000000100000"/>
        </w:trPr>
        <w:tc>
          <w:tcPr>
            <w:cnfStyle w:val="001000000000"/>
            <w:tcW w:w="3070" w:type="dxa"/>
            <w:tcBorders>
              <w:right w:val="nil"/>
            </w:tcBorders>
            <w:hideMark/>
          </w:tcPr>
          <w:p w:rsidR="0033695A" w:rsidRDefault="0033695A" w:rsidP="008B53DD">
            <w:pPr>
              <w:rPr>
                <w:b w:val="0"/>
                <w:sz w:val="20"/>
                <w:szCs w:val="20"/>
              </w:rPr>
            </w:pPr>
            <w:r>
              <w:rPr>
                <w:b w:val="0"/>
                <w:sz w:val="20"/>
                <w:szCs w:val="20"/>
              </w:rPr>
              <w:t>Evidentie</w:t>
            </w:r>
          </w:p>
        </w:tc>
        <w:tc>
          <w:tcPr>
            <w:tcW w:w="3071" w:type="dxa"/>
            <w:tcBorders>
              <w:left w:val="nil"/>
              <w:right w:val="nil"/>
            </w:tcBorders>
            <w:hideMark/>
          </w:tcPr>
          <w:p w:rsidR="0033695A" w:rsidRDefault="0033695A" w:rsidP="008B53DD">
            <w:pPr>
              <w:cnfStyle w:val="000000100000"/>
              <w:rPr>
                <w:sz w:val="20"/>
                <w:szCs w:val="20"/>
              </w:rPr>
            </w:pPr>
            <w:r>
              <w:rPr>
                <w:sz w:val="20"/>
                <w:szCs w:val="20"/>
              </w:rPr>
              <w:t>11 t/m 13</w:t>
            </w:r>
          </w:p>
        </w:tc>
        <w:tc>
          <w:tcPr>
            <w:tcW w:w="3071" w:type="dxa"/>
            <w:tcBorders>
              <w:left w:val="nil"/>
            </w:tcBorders>
            <w:hideMark/>
          </w:tcPr>
          <w:p w:rsidR="0033695A" w:rsidRDefault="0033695A" w:rsidP="008B53DD">
            <w:pPr>
              <w:cnfStyle w:val="000000100000"/>
              <w:rPr>
                <w:sz w:val="20"/>
                <w:szCs w:val="20"/>
              </w:rPr>
            </w:pPr>
            <w:r>
              <w:rPr>
                <w:sz w:val="20"/>
                <w:szCs w:val="20"/>
              </w:rPr>
              <w:t>.95</w:t>
            </w:r>
          </w:p>
        </w:tc>
      </w:tr>
      <w:tr w:rsidR="0033695A" w:rsidTr="008B53DD">
        <w:tc>
          <w:tcPr>
            <w:cnfStyle w:val="001000000000"/>
            <w:tcW w:w="3070" w:type="dxa"/>
            <w:tcBorders>
              <w:top w:val="nil"/>
              <w:left w:val="single" w:sz="8" w:space="0" w:color="000000" w:themeColor="text1"/>
              <w:bottom w:val="nil"/>
              <w:right w:val="nil"/>
            </w:tcBorders>
            <w:hideMark/>
          </w:tcPr>
          <w:p w:rsidR="0033695A" w:rsidRDefault="0033695A" w:rsidP="008B53DD">
            <w:pPr>
              <w:rPr>
                <w:b w:val="0"/>
                <w:sz w:val="20"/>
                <w:szCs w:val="20"/>
              </w:rPr>
            </w:pPr>
            <w:r>
              <w:rPr>
                <w:b w:val="0"/>
                <w:sz w:val="20"/>
                <w:szCs w:val="20"/>
              </w:rPr>
              <w:t>Geloofwaardigheid spreker</w:t>
            </w:r>
          </w:p>
        </w:tc>
        <w:tc>
          <w:tcPr>
            <w:tcW w:w="3071" w:type="dxa"/>
            <w:tcBorders>
              <w:top w:val="nil"/>
              <w:left w:val="nil"/>
              <w:bottom w:val="nil"/>
              <w:right w:val="nil"/>
            </w:tcBorders>
            <w:hideMark/>
          </w:tcPr>
          <w:p w:rsidR="0033695A" w:rsidRDefault="0033695A" w:rsidP="008B53DD">
            <w:pPr>
              <w:cnfStyle w:val="000000000000"/>
              <w:rPr>
                <w:sz w:val="20"/>
                <w:szCs w:val="20"/>
              </w:rPr>
            </w:pPr>
            <w:r>
              <w:rPr>
                <w:sz w:val="20"/>
                <w:szCs w:val="20"/>
              </w:rPr>
              <w:t>14, 15, 17, 18, 20 t/m 22, 24</w:t>
            </w:r>
          </w:p>
        </w:tc>
        <w:tc>
          <w:tcPr>
            <w:tcW w:w="3071" w:type="dxa"/>
            <w:tcBorders>
              <w:top w:val="nil"/>
              <w:left w:val="nil"/>
              <w:bottom w:val="nil"/>
              <w:right w:val="single" w:sz="8" w:space="0" w:color="000000" w:themeColor="text1"/>
            </w:tcBorders>
            <w:hideMark/>
          </w:tcPr>
          <w:p w:rsidR="0033695A" w:rsidRDefault="0033695A" w:rsidP="008B53DD">
            <w:pPr>
              <w:cnfStyle w:val="000000000000"/>
              <w:rPr>
                <w:sz w:val="20"/>
                <w:szCs w:val="20"/>
              </w:rPr>
            </w:pPr>
            <w:r>
              <w:rPr>
                <w:sz w:val="20"/>
                <w:szCs w:val="20"/>
              </w:rPr>
              <w:t>.87</w:t>
            </w:r>
          </w:p>
        </w:tc>
      </w:tr>
      <w:tr w:rsidR="0033695A" w:rsidTr="008B53DD">
        <w:trPr>
          <w:cnfStyle w:val="000000100000"/>
        </w:trPr>
        <w:tc>
          <w:tcPr>
            <w:cnfStyle w:val="001000000000"/>
            <w:tcW w:w="3070" w:type="dxa"/>
            <w:tcBorders>
              <w:right w:val="nil"/>
            </w:tcBorders>
            <w:hideMark/>
          </w:tcPr>
          <w:p w:rsidR="0033695A" w:rsidRDefault="0033695A" w:rsidP="008B53DD">
            <w:pPr>
              <w:rPr>
                <w:b w:val="0"/>
                <w:sz w:val="20"/>
                <w:szCs w:val="20"/>
              </w:rPr>
            </w:pPr>
            <w:r>
              <w:rPr>
                <w:b w:val="0"/>
                <w:sz w:val="20"/>
                <w:szCs w:val="20"/>
              </w:rPr>
              <w:t>Aantrekkelijkheid spreker</w:t>
            </w:r>
          </w:p>
        </w:tc>
        <w:tc>
          <w:tcPr>
            <w:tcW w:w="3071" w:type="dxa"/>
            <w:tcBorders>
              <w:left w:val="nil"/>
              <w:right w:val="nil"/>
            </w:tcBorders>
            <w:hideMark/>
          </w:tcPr>
          <w:p w:rsidR="0033695A" w:rsidRDefault="0033695A" w:rsidP="008B53DD">
            <w:pPr>
              <w:cnfStyle w:val="000000100000"/>
              <w:rPr>
                <w:sz w:val="20"/>
                <w:szCs w:val="20"/>
              </w:rPr>
            </w:pPr>
            <w:r>
              <w:rPr>
                <w:sz w:val="20"/>
                <w:szCs w:val="20"/>
              </w:rPr>
              <w:t>16, 19, 23, 25</w:t>
            </w:r>
          </w:p>
        </w:tc>
        <w:tc>
          <w:tcPr>
            <w:tcW w:w="3071" w:type="dxa"/>
            <w:tcBorders>
              <w:left w:val="nil"/>
            </w:tcBorders>
            <w:hideMark/>
          </w:tcPr>
          <w:p w:rsidR="0033695A" w:rsidRDefault="0033695A" w:rsidP="008B53DD">
            <w:pPr>
              <w:keepNext/>
              <w:cnfStyle w:val="000000100000"/>
              <w:rPr>
                <w:sz w:val="20"/>
                <w:szCs w:val="20"/>
              </w:rPr>
            </w:pPr>
            <w:r>
              <w:rPr>
                <w:sz w:val="20"/>
                <w:szCs w:val="20"/>
              </w:rPr>
              <w:t>.84</w:t>
            </w:r>
          </w:p>
        </w:tc>
      </w:tr>
    </w:tbl>
    <w:p w:rsidR="0033695A" w:rsidRDefault="0033695A" w:rsidP="0033695A">
      <w:pPr>
        <w:pStyle w:val="Bijschrift"/>
        <w:rPr>
          <w:i/>
          <w:sz w:val="20"/>
          <w:szCs w:val="20"/>
        </w:rPr>
      </w:pPr>
      <w:r>
        <w:rPr>
          <w:i/>
        </w:rPr>
        <w:t xml:space="preserve">Tabel </w:t>
      </w:r>
      <w:r w:rsidR="00836C71">
        <w:rPr>
          <w:i/>
        </w:rPr>
        <w:fldChar w:fldCharType="begin"/>
      </w:r>
      <w:r>
        <w:rPr>
          <w:i/>
        </w:rPr>
        <w:instrText xml:space="preserve"> SEQ Tabel \* ARABIC </w:instrText>
      </w:r>
      <w:r w:rsidR="00836C71">
        <w:rPr>
          <w:i/>
        </w:rPr>
        <w:fldChar w:fldCharType="separate"/>
      </w:r>
      <w:r w:rsidR="00675099">
        <w:rPr>
          <w:i/>
          <w:noProof/>
        </w:rPr>
        <w:t>2</w:t>
      </w:r>
      <w:r w:rsidR="00836C71">
        <w:rPr>
          <w:i/>
        </w:rPr>
        <w:fldChar w:fldCharType="end"/>
      </w:r>
      <w:r>
        <w:rPr>
          <w:i/>
        </w:rPr>
        <w:t>: De verdeling en de betrouwbaarheid van de vragenclusters</w:t>
      </w:r>
    </w:p>
    <w:p w:rsidR="0033695A" w:rsidRDefault="0033695A" w:rsidP="0033695A">
      <w:pPr>
        <w:jc w:val="both"/>
      </w:pPr>
      <w:r>
        <w:rPr>
          <w:sz w:val="20"/>
          <w:szCs w:val="20"/>
        </w:rPr>
        <w:t>Vraag 1 was de vraag naar het algemene oordeel. Deze vraag is niet meegenomen in een van de clusters. In tabel 2 is te zien dat de onderlinge samenhang tussen de vragen groot is. Het was dus ook goed mogelijk om met de gemiddelde scores van deze vragen verder te rekenen. Het was niet nodig om er een vraag buiten beschouwing te laten.</w:t>
      </w:r>
    </w:p>
    <w:p w:rsidR="0033695A" w:rsidRDefault="0033695A" w:rsidP="005216DA">
      <w:pPr>
        <w:pStyle w:val="Kop1"/>
      </w:pPr>
    </w:p>
    <w:p w:rsidR="00BB199B" w:rsidRDefault="00BB199B" w:rsidP="00BB199B">
      <w:pPr>
        <w:autoSpaceDE w:val="0"/>
        <w:autoSpaceDN w:val="0"/>
        <w:adjustRightInd w:val="0"/>
        <w:spacing w:after="0"/>
        <w:jc w:val="both"/>
        <w:rPr>
          <w:sz w:val="20"/>
          <w:szCs w:val="20"/>
        </w:rPr>
      </w:pPr>
    </w:p>
    <w:p w:rsidR="00BB199B" w:rsidRDefault="00BB199B" w:rsidP="00BB199B">
      <w:pPr>
        <w:autoSpaceDE w:val="0"/>
        <w:autoSpaceDN w:val="0"/>
        <w:adjustRightInd w:val="0"/>
        <w:spacing w:after="0"/>
        <w:jc w:val="both"/>
        <w:rPr>
          <w:sz w:val="20"/>
          <w:szCs w:val="20"/>
        </w:rPr>
      </w:pPr>
    </w:p>
    <w:p w:rsidR="00BB199B" w:rsidRDefault="00BB199B" w:rsidP="00BB199B">
      <w:pPr>
        <w:pStyle w:val="Kop1"/>
      </w:pPr>
      <w:bookmarkStart w:id="16" w:name="_Toc346802183"/>
      <w:r>
        <w:lastRenderedPageBreak/>
        <w:t>4.</w:t>
      </w:r>
      <w:r>
        <w:tab/>
        <w:t>Resultaten</w:t>
      </w:r>
      <w:bookmarkEnd w:id="16"/>
    </w:p>
    <w:p w:rsidR="00BB199B" w:rsidRDefault="00BB199B" w:rsidP="00BB199B">
      <w:pPr>
        <w:autoSpaceDE w:val="0"/>
        <w:autoSpaceDN w:val="0"/>
        <w:adjustRightInd w:val="0"/>
        <w:spacing w:after="0"/>
        <w:jc w:val="both"/>
        <w:rPr>
          <w:sz w:val="20"/>
          <w:szCs w:val="20"/>
        </w:rPr>
      </w:pPr>
    </w:p>
    <w:p w:rsidR="00BB199B" w:rsidRDefault="00BB199B" w:rsidP="00BB199B">
      <w:pPr>
        <w:autoSpaceDE w:val="0"/>
        <w:autoSpaceDN w:val="0"/>
        <w:adjustRightInd w:val="0"/>
        <w:spacing w:after="0"/>
        <w:jc w:val="both"/>
        <w:rPr>
          <w:sz w:val="20"/>
          <w:szCs w:val="20"/>
        </w:rPr>
      </w:pPr>
      <w:r>
        <w:rPr>
          <w:sz w:val="20"/>
          <w:szCs w:val="20"/>
        </w:rPr>
        <w:t xml:space="preserve">In hoofdstuk 4, de resultaten, wordt er aan de hand van een statistische analyse (uitgevoerd in IBM SPSS </w:t>
      </w:r>
      <w:proofErr w:type="spellStart"/>
      <w:r>
        <w:rPr>
          <w:sz w:val="20"/>
          <w:szCs w:val="20"/>
        </w:rPr>
        <w:t>Statistics</w:t>
      </w:r>
      <w:proofErr w:type="spellEnd"/>
      <w:r>
        <w:rPr>
          <w:sz w:val="20"/>
          <w:szCs w:val="20"/>
        </w:rPr>
        <w:t xml:space="preserve"> 20.0) gekeken naar de effecten van evidentie en geloofwaardigheid van de bron. De resultaten zullen besproken worden aan de hand van de in hoofdstuk 2 besproken hypotheses. Alle ingevulde vragenlijsten zijn te vinden in bijlage C. </w:t>
      </w:r>
    </w:p>
    <w:p w:rsidR="00BB199B" w:rsidRDefault="00BB199B" w:rsidP="00BB199B">
      <w:pPr>
        <w:pStyle w:val="Kop3"/>
      </w:pPr>
      <w:bookmarkStart w:id="17" w:name="_Toc346802184"/>
      <w:r>
        <w:t>4.1</w:t>
      </w:r>
      <w:r>
        <w:tab/>
        <w:t>Schoolcijfers per versie</w:t>
      </w:r>
      <w:bookmarkEnd w:id="17"/>
    </w:p>
    <w:p w:rsidR="00BB199B" w:rsidRDefault="00BB199B" w:rsidP="00BB199B">
      <w:pPr>
        <w:jc w:val="both"/>
        <w:rPr>
          <w:sz w:val="20"/>
          <w:szCs w:val="20"/>
        </w:rPr>
      </w:pPr>
      <w:r>
        <w:rPr>
          <w:sz w:val="20"/>
          <w:szCs w:val="20"/>
        </w:rPr>
        <w:t xml:space="preserve">Alle respondenten kregen na het bekijken van </w:t>
      </w:r>
      <w:r w:rsidR="005D6FF7">
        <w:rPr>
          <w:sz w:val="20"/>
          <w:szCs w:val="20"/>
        </w:rPr>
        <w:t>de</w:t>
      </w:r>
      <w:r>
        <w:rPr>
          <w:sz w:val="20"/>
          <w:szCs w:val="20"/>
        </w:rPr>
        <w:t xml:space="preserve"> </w:t>
      </w:r>
      <w:r w:rsidR="005D6FF7">
        <w:rPr>
          <w:sz w:val="20"/>
          <w:szCs w:val="20"/>
        </w:rPr>
        <w:t>video</w:t>
      </w:r>
      <w:r>
        <w:rPr>
          <w:sz w:val="20"/>
          <w:szCs w:val="20"/>
        </w:rPr>
        <w:t xml:space="preserve"> het verzoek om een algemeen oordeel te geven. Dit hebben ze gedaan door een schoolcijfer (een cijfer van één tot tien) toe te kennen aan </w:t>
      </w:r>
      <w:r w:rsidR="005D6FF7">
        <w:rPr>
          <w:sz w:val="20"/>
          <w:szCs w:val="20"/>
        </w:rPr>
        <w:t>de video</w:t>
      </w:r>
      <w:r>
        <w:rPr>
          <w:sz w:val="20"/>
          <w:szCs w:val="20"/>
        </w:rPr>
        <w:t xml:space="preserve">. Drie </w:t>
      </w:r>
      <w:proofErr w:type="spellStart"/>
      <w:r w:rsidR="0075779C">
        <w:rPr>
          <w:sz w:val="20"/>
          <w:szCs w:val="20"/>
        </w:rPr>
        <w:t>f</w:t>
      </w:r>
      <w:r>
        <w:rPr>
          <w:sz w:val="20"/>
          <w:szCs w:val="20"/>
        </w:rPr>
        <w:t>respondenten</w:t>
      </w:r>
      <w:proofErr w:type="spellEnd"/>
      <w:r>
        <w:rPr>
          <w:sz w:val="20"/>
          <w:szCs w:val="20"/>
        </w:rPr>
        <w:t xml:space="preserve"> hebben het schoolcijfer niet ingevuld, vermoedelijk omdat ze er overheen hebben gelezen. Het totaal ingevulde aantal schoolcijfers is dus 101. Aan de hand van verschillende t-toetsen is bekeken of de schoolcijfers die respondenten per versie toekennen significant van elkaar verschillen. </w:t>
      </w:r>
      <w:r w:rsidR="00094BA8">
        <w:rPr>
          <w:sz w:val="20"/>
          <w:szCs w:val="20"/>
        </w:rPr>
        <w:t>Om een algemeen beeld te krijgen,</w:t>
      </w:r>
      <w:r>
        <w:rPr>
          <w:sz w:val="20"/>
          <w:szCs w:val="20"/>
        </w:rPr>
        <w:t xml:space="preserve"> staan in tabel 3 de gemiddelde schoolci</w:t>
      </w:r>
      <w:r w:rsidR="00094BA8">
        <w:rPr>
          <w:sz w:val="20"/>
          <w:szCs w:val="20"/>
        </w:rPr>
        <w:t>jfers weergegeven per conditie.</w:t>
      </w:r>
    </w:p>
    <w:tbl>
      <w:tblPr>
        <w:tblStyle w:val="Lichtelijst1"/>
        <w:tblW w:w="0" w:type="auto"/>
        <w:tblLook w:val="04A0"/>
      </w:tblPr>
      <w:tblGrid>
        <w:gridCol w:w="1101"/>
        <w:gridCol w:w="2551"/>
        <w:gridCol w:w="1418"/>
        <w:gridCol w:w="4142"/>
      </w:tblGrid>
      <w:tr w:rsidR="00BB199B" w:rsidTr="008B53DD">
        <w:trPr>
          <w:cnfStyle w:val="100000000000"/>
        </w:trPr>
        <w:tc>
          <w:tcPr>
            <w:cnfStyle w:val="001000000000"/>
            <w:tcW w:w="1101" w:type="dxa"/>
          </w:tcPr>
          <w:p w:rsidR="00BB199B" w:rsidRPr="0053361E" w:rsidRDefault="00BB199B" w:rsidP="008B53DD">
            <w:pPr>
              <w:rPr>
                <w:b w:val="0"/>
                <w:sz w:val="20"/>
                <w:szCs w:val="20"/>
              </w:rPr>
            </w:pPr>
            <w:r w:rsidRPr="0053361E">
              <w:rPr>
                <w:b w:val="0"/>
                <w:sz w:val="20"/>
                <w:szCs w:val="20"/>
              </w:rPr>
              <w:t>Conditie</w:t>
            </w:r>
          </w:p>
        </w:tc>
        <w:tc>
          <w:tcPr>
            <w:tcW w:w="2551" w:type="dxa"/>
          </w:tcPr>
          <w:p w:rsidR="00BB199B" w:rsidRPr="0053361E" w:rsidRDefault="00BB199B" w:rsidP="008B53DD">
            <w:pPr>
              <w:cnfStyle w:val="100000000000"/>
              <w:rPr>
                <w:b w:val="0"/>
                <w:sz w:val="20"/>
                <w:szCs w:val="20"/>
              </w:rPr>
            </w:pPr>
            <w:r w:rsidRPr="0053361E">
              <w:rPr>
                <w:b w:val="0"/>
                <w:sz w:val="20"/>
                <w:szCs w:val="20"/>
              </w:rPr>
              <w:t>Bron (geloofwaardigheid)</w:t>
            </w:r>
          </w:p>
        </w:tc>
        <w:tc>
          <w:tcPr>
            <w:tcW w:w="1418" w:type="dxa"/>
          </w:tcPr>
          <w:p w:rsidR="00BB199B" w:rsidRPr="0053361E" w:rsidRDefault="00BB199B" w:rsidP="008B53DD">
            <w:pPr>
              <w:cnfStyle w:val="100000000000"/>
              <w:rPr>
                <w:b w:val="0"/>
                <w:sz w:val="20"/>
                <w:szCs w:val="20"/>
              </w:rPr>
            </w:pPr>
            <w:r w:rsidRPr="0053361E">
              <w:rPr>
                <w:b w:val="0"/>
                <w:sz w:val="20"/>
                <w:szCs w:val="20"/>
              </w:rPr>
              <w:t>Evidentie</w:t>
            </w:r>
          </w:p>
        </w:tc>
        <w:tc>
          <w:tcPr>
            <w:tcW w:w="4142" w:type="dxa"/>
          </w:tcPr>
          <w:p w:rsidR="00BB199B" w:rsidRPr="0053361E" w:rsidRDefault="00BB199B" w:rsidP="008B53DD">
            <w:pPr>
              <w:cnfStyle w:val="100000000000"/>
              <w:rPr>
                <w:b w:val="0"/>
                <w:sz w:val="20"/>
                <w:szCs w:val="20"/>
              </w:rPr>
            </w:pPr>
            <w:r w:rsidRPr="0053361E">
              <w:rPr>
                <w:b w:val="0"/>
                <w:sz w:val="20"/>
                <w:szCs w:val="20"/>
              </w:rPr>
              <w:t>Gemiddeld schoolcijfer (standaarddeviatie)</w:t>
            </w:r>
          </w:p>
        </w:tc>
      </w:tr>
      <w:tr w:rsidR="00BB199B" w:rsidTr="008B53DD">
        <w:trPr>
          <w:cnfStyle w:val="000000100000"/>
        </w:trPr>
        <w:tc>
          <w:tcPr>
            <w:cnfStyle w:val="001000000000"/>
            <w:tcW w:w="1101" w:type="dxa"/>
          </w:tcPr>
          <w:p w:rsidR="00BB199B" w:rsidRPr="0053361E" w:rsidRDefault="00BB199B" w:rsidP="008B53DD">
            <w:pPr>
              <w:rPr>
                <w:b w:val="0"/>
                <w:sz w:val="20"/>
                <w:szCs w:val="20"/>
              </w:rPr>
            </w:pPr>
            <w:r w:rsidRPr="0053361E">
              <w:rPr>
                <w:b w:val="0"/>
                <w:sz w:val="20"/>
                <w:szCs w:val="20"/>
              </w:rPr>
              <w:t>1</w:t>
            </w:r>
          </w:p>
        </w:tc>
        <w:tc>
          <w:tcPr>
            <w:tcW w:w="2551" w:type="dxa"/>
          </w:tcPr>
          <w:p w:rsidR="00BB199B" w:rsidRDefault="00BB199B" w:rsidP="008B53DD">
            <w:pPr>
              <w:cnfStyle w:val="000000100000"/>
              <w:rPr>
                <w:sz w:val="20"/>
                <w:szCs w:val="20"/>
              </w:rPr>
            </w:pPr>
            <w:r>
              <w:rPr>
                <w:sz w:val="20"/>
                <w:szCs w:val="20"/>
              </w:rPr>
              <w:t>manager</w:t>
            </w:r>
          </w:p>
        </w:tc>
        <w:tc>
          <w:tcPr>
            <w:tcW w:w="1418" w:type="dxa"/>
          </w:tcPr>
          <w:p w:rsidR="00BB199B" w:rsidRDefault="00BB199B" w:rsidP="008B53DD">
            <w:pPr>
              <w:cnfStyle w:val="000000100000"/>
              <w:rPr>
                <w:sz w:val="20"/>
                <w:szCs w:val="20"/>
              </w:rPr>
            </w:pPr>
            <w:r>
              <w:rPr>
                <w:sz w:val="20"/>
                <w:szCs w:val="20"/>
              </w:rPr>
              <w:t>statistisch</w:t>
            </w:r>
          </w:p>
        </w:tc>
        <w:tc>
          <w:tcPr>
            <w:tcW w:w="4142" w:type="dxa"/>
          </w:tcPr>
          <w:p w:rsidR="00BB199B" w:rsidRDefault="00BB199B" w:rsidP="008B53DD">
            <w:pPr>
              <w:cnfStyle w:val="000000100000"/>
              <w:rPr>
                <w:sz w:val="20"/>
                <w:szCs w:val="20"/>
              </w:rPr>
            </w:pPr>
            <w:r>
              <w:rPr>
                <w:sz w:val="20"/>
                <w:szCs w:val="20"/>
              </w:rPr>
              <w:t>7.16 (1.31)</w:t>
            </w:r>
          </w:p>
        </w:tc>
      </w:tr>
      <w:tr w:rsidR="00BB199B" w:rsidTr="008B53DD">
        <w:tc>
          <w:tcPr>
            <w:cnfStyle w:val="001000000000"/>
            <w:tcW w:w="1101" w:type="dxa"/>
          </w:tcPr>
          <w:p w:rsidR="00BB199B" w:rsidRPr="0053361E" w:rsidRDefault="00BB199B" w:rsidP="008B53DD">
            <w:pPr>
              <w:rPr>
                <w:b w:val="0"/>
                <w:sz w:val="20"/>
                <w:szCs w:val="20"/>
              </w:rPr>
            </w:pPr>
            <w:r w:rsidRPr="0053361E">
              <w:rPr>
                <w:b w:val="0"/>
                <w:sz w:val="20"/>
                <w:szCs w:val="20"/>
              </w:rPr>
              <w:t>2</w:t>
            </w:r>
          </w:p>
        </w:tc>
        <w:tc>
          <w:tcPr>
            <w:tcW w:w="2551" w:type="dxa"/>
          </w:tcPr>
          <w:p w:rsidR="00BB199B" w:rsidRDefault="00BB199B" w:rsidP="008B53DD">
            <w:pPr>
              <w:cnfStyle w:val="000000000000"/>
              <w:rPr>
                <w:sz w:val="20"/>
                <w:szCs w:val="20"/>
              </w:rPr>
            </w:pPr>
            <w:r>
              <w:rPr>
                <w:sz w:val="20"/>
                <w:szCs w:val="20"/>
              </w:rPr>
              <w:t>medewerker</w:t>
            </w:r>
          </w:p>
        </w:tc>
        <w:tc>
          <w:tcPr>
            <w:tcW w:w="1418" w:type="dxa"/>
          </w:tcPr>
          <w:p w:rsidR="00BB199B" w:rsidRDefault="00BB199B" w:rsidP="008B53DD">
            <w:pPr>
              <w:cnfStyle w:val="000000000000"/>
              <w:rPr>
                <w:sz w:val="20"/>
                <w:szCs w:val="20"/>
              </w:rPr>
            </w:pPr>
            <w:r>
              <w:rPr>
                <w:sz w:val="20"/>
                <w:szCs w:val="20"/>
              </w:rPr>
              <w:t>statistisch</w:t>
            </w:r>
          </w:p>
        </w:tc>
        <w:tc>
          <w:tcPr>
            <w:tcW w:w="4142" w:type="dxa"/>
          </w:tcPr>
          <w:p w:rsidR="00BB199B" w:rsidRDefault="00BB199B" w:rsidP="008B53DD">
            <w:pPr>
              <w:cnfStyle w:val="000000000000"/>
              <w:rPr>
                <w:sz w:val="20"/>
                <w:szCs w:val="20"/>
              </w:rPr>
            </w:pPr>
            <w:r>
              <w:rPr>
                <w:sz w:val="20"/>
                <w:szCs w:val="20"/>
              </w:rPr>
              <w:t>7.08 (1.44)</w:t>
            </w:r>
          </w:p>
        </w:tc>
      </w:tr>
      <w:tr w:rsidR="00BB199B" w:rsidTr="008B53DD">
        <w:trPr>
          <w:cnfStyle w:val="000000100000"/>
        </w:trPr>
        <w:tc>
          <w:tcPr>
            <w:cnfStyle w:val="001000000000"/>
            <w:tcW w:w="1101" w:type="dxa"/>
          </w:tcPr>
          <w:p w:rsidR="00BB199B" w:rsidRPr="0053361E" w:rsidRDefault="00BB199B" w:rsidP="008B53DD">
            <w:pPr>
              <w:rPr>
                <w:b w:val="0"/>
                <w:sz w:val="20"/>
                <w:szCs w:val="20"/>
              </w:rPr>
            </w:pPr>
            <w:r w:rsidRPr="0053361E">
              <w:rPr>
                <w:b w:val="0"/>
                <w:sz w:val="20"/>
                <w:szCs w:val="20"/>
              </w:rPr>
              <w:t>3</w:t>
            </w:r>
          </w:p>
        </w:tc>
        <w:tc>
          <w:tcPr>
            <w:tcW w:w="2551" w:type="dxa"/>
          </w:tcPr>
          <w:p w:rsidR="00BB199B" w:rsidRDefault="00BB199B" w:rsidP="008B53DD">
            <w:pPr>
              <w:cnfStyle w:val="000000100000"/>
              <w:rPr>
                <w:sz w:val="20"/>
                <w:szCs w:val="20"/>
              </w:rPr>
            </w:pPr>
            <w:r>
              <w:rPr>
                <w:sz w:val="20"/>
                <w:szCs w:val="20"/>
              </w:rPr>
              <w:t>manager</w:t>
            </w:r>
          </w:p>
        </w:tc>
        <w:tc>
          <w:tcPr>
            <w:tcW w:w="1418" w:type="dxa"/>
          </w:tcPr>
          <w:p w:rsidR="00BB199B" w:rsidRDefault="00BB199B" w:rsidP="008B53DD">
            <w:pPr>
              <w:cnfStyle w:val="000000100000"/>
              <w:rPr>
                <w:sz w:val="20"/>
                <w:szCs w:val="20"/>
              </w:rPr>
            </w:pPr>
            <w:r>
              <w:rPr>
                <w:sz w:val="20"/>
                <w:szCs w:val="20"/>
              </w:rPr>
              <w:t>anekdotisch</w:t>
            </w:r>
          </w:p>
        </w:tc>
        <w:tc>
          <w:tcPr>
            <w:tcW w:w="4142" w:type="dxa"/>
          </w:tcPr>
          <w:p w:rsidR="00BB199B" w:rsidRDefault="00BB199B" w:rsidP="008B53DD">
            <w:pPr>
              <w:cnfStyle w:val="000000100000"/>
              <w:rPr>
                <w:sz w:val="20"/>
                <w:szCs w:val="20"/>
              </w:rPr>
            </w:pPr>
            <w:r>
              <w:rPr>
                <w:sz w:val="20"/>
                <w:szCs w:val="20"/>
              </w:rPr>
              <w:t>6.83 (1.78)</w:t>
            </w:r>
          </w:p>
        </w:tc>
      </w:tr>
      <w:tr w:rsidR="00BB199B" w:rsidTr="008B53DD">
        <w:tc>
          <w:tcPr>
            <w:cnfStyle w:val="001000000000"/>
            <w:tcW w:w="1101" w:type="dxa"/>
          </w:tcPr>
          <w:p w:rsidR="00BB199B" w:rsidRPr="0053361E" w:rsidRDefault="00BB199B" w:rsidP="008B53DD">
            <w:pPr>
              <w:rPr>
                <w:b w:val="0"/>
                <w:sz w:val="20"/>
                <w:szCs w:val="20"/>
              </w:rPr>
            </w:pPr>
            <w:r w:rsidRPr="0053361E">
              <w:rPr>
                <w:b w:val="0"/>
                <w:sz w:val="20"/>
                <w:szCs w:val="20"/>
              </w:rPr>
              <w:t>4</w:t>
            </w:r>
          </w:p>
        </w:tc>
        <w:tc>
          <w:tcPr>
            <w:tcW w:w="2551" w:type="dxa"/>
          </w:tcPr>
          <w:p w:rsidR="00BB199B" w:rsidRDefault="00BB199B" w:rsidP="008B53DD">
            <w:pPr>
              <w:cnfStyle w:val="000000000000"/>
              <w:rPr>
                <w:sz w:val="20"/>
                <w:szCs w:val="20"/>
              </w:rPr>
            </w:pPr>
            <w:r>
              <w:rPr>
                <w:sz w:val="20"/>
                <w:szCs w:val="20"/>
              </w:rPr>
              <w:t>medewerker</w:t>
            </w:r>
          </w:p>
        </w:tc>
        <w:tc>
          <w:tcPr>
            <w:tcW w:w="1418" w:type="dxa"/>
          </w:tcPr>
          <w:p w:rsidR="00BB199B" w:rsidRDefault="00BB199B" w:rsidP="008B53DD">
            <w:pPr>
              <w:cnfStyle w:val="000000000000"/>
              <w:rPr>
                <w:sz w:val="20"/>
                <w:szCs w:val="20"/>
              </w:rPr>
            </w:pPr>
            <w:r>
              <w:rPr>
                <w:sz w:val="20"/>
                <w:szCs w:val="20"/>
              </w:rPr>
              <w:t>anekdotisch</w:t>
            </w:r>
          </w:p>
        </w:tc>
        <w:tc>
          <w:tcPr>
            <w:tcW w:w="4142" w:type="dxa"/>
          </w:tcPr>
          <w:p w:rsidR="00BB199B" w:rsidRDefault="00BB199B" w:rsidP="008B53DD">
            <w:pPr>
              <w:keepNext/>
              <w:cnfStyle w:val="000000000000"/>
              <w:rPr>
                <w:sz w:val="20"/>
                <w:szCs w:val="20"/>
              </w:rPr>
            </w:pPr>
            <w:r>
              <w:rPr>
                <w:sz w:val="20"/>
                <w:szCs w:val="20"/>
              </w:rPr>
              <w:t>6.90 (1.26)</w:t>
            </w:r>
          </w:p>
        </w:tc>
      </w:tr>
    </w:tbl>
    <w:p w:rsidR="00BB199B" w:rsidRPr="00FA7E09" w:rsidRDefault="00BB199B" w:rsidP="00BB199B">
      <w:pPr>
        <w:pStyle w:val="Bijschrift"/>
        <w:rPr>
          <w:i/>
          <w:sz w:val="20"/>
          <w:szCs w:val="20"/>
        </w:rPr>
      </w:pPr>
      <w:r w:rsidRPr="00FA7E09">
        <w:rPr>
          <w:i/>
        </w:rPr>
        <w:t xml:space="preserve">Tabel </w:t>
      </w:r>
      <w:r w:rsidR="00836C71" w:rsidRPr="00FA7E09">
        <w:rPr>
          <w:i/>
        </w:rPr>
        <w:fldChar w:fldCharType="begin"/>
      </w:r>
      <w:r w:rsidRPr="00FA7E09">
        <w:rPr>
          <w:i/>
        </w:rPr>
        <w:instrText xml:space="preserve"> SEQ Tabel \* ARABIC </w:instrText>
      </w:r>
      <w:r w:rsidR="00836C71" w:rsidRPr="00FA7E09">
        <w:rPr>
          <w:i/>
        </w:rPr>
        <w:fldChar w:fldCharType="separate"/>
      </w:r>
      <w:r w:rsidR="00675099">
        <w:rPr>
          <w:i/>
          <w:noProof/>
        </w:rPr>
        <w:t>3</w:t>
      </w:r>
      <w:r w:rsidR="00836C71" w:rsidRPr="00FA7E09">
        <w:rPr>
          <w:i/>
        </w:rPr>
        <w:fldChar w:fldCharType="end"/>
      </w:r>
      <w:r w:rsidRPr="00FA7E09">
        <w:rPr>
          <w:i/>
        </w:rPr>
        <w:t>: Algemeen oord</w:t>
      </w:r>
      <w:r>
        <w:rPr>
          <w:i/>
        </w:rPr>
        <w:t>e</w:t>
      </w:r>
      <w:r w:rsidRPr="00FA7E09">
        <w:rPr>
          <w:i/>
        </w:rPr>
        <w:t>el per conditie</w:t>
      </w:r>
    </w:p>
    <w:p w:rsidR="00BB199B" w:rsidRPr="002D63BD" w:rsidRDefault="00801E12" w:rsidP="00BB199B">
      <w:pPr>
        <w:rPr>
          <w:sz w:val="20"/>
          <w:szCs w:val="20"/>
        </w:rPr>
      </w:pPr>
      <w:r>
        <w:rPr>
          <w:sz w:val="20"/>
          <w:szCs w:val="20"/>
        </w:rPr>
        <w:t>Er is te zien</w:t>
      </w:r>
      <w:r w:rsidR="00BB199B">
        <w:rPr>
          <w:sz w:val="20"/>
          <w:szCs w:val="20"/>
        </w:rPr>
        <w:t xml:space="preserve"> dat de gemiddelde schoolcijfers gemiddeld hoger zijn bij de statistische evidentie. </w:t>
      </w:r>
      <w:proofErr w:type="spellStart"/>
      <w:r w:rsidR="00BB199B" w:rsidRPr="00993288">
        <w:rPr>
          <w:sz w:val="20"/>
          <w:szCs w:val="20"/>
          <w:lang w:val="fr-FR"/>
        </w:rPr>
        <w:t>Echter</w:t>
      </w:r>
      <w:proofErr w:type="spellEnd"/>
      <w:r w:rsidR="00BB199B" w:rsidRPr="00993288">
        <w:rPr>
          <w:sz w:val="20"/>
          <w:szCs w:val="20"/>
          <w:lang w:val="fr-FR"/>
        </w:rPr>
        <w:t xml:space="preserve">, dit </w:t>
      </w:r>
      <w:proofErr w:type="spellStart"/>
      <w:r w:rsidR="00BB199B" w:rsidRPr="00993288">
        <w:rPr>
          <w:sz w:val="20"/>
          <w:szCs w:val="20"/>
          <w:lang w:val="fr-FR"/>
        </w:rPr>
        <w:t>verschil</w:t>
      </w:r>
      <w:proofErr w:type="spellEnd"/>
      <w:r w:rsidR="00BB199B" w:rsidRPr="00993288">
        <w:rPr>
          <w:sz w:val="20"/>
          <w:szCs w:val="20"/>
          <w:lang w:val="fr-FR"/>
        </w:rPr>
        <w:t xml:space="preserve"> </w:t>
      </w:r>
      <w:proofErr w:type="spellStart"/>
      <w:r w:rsidR="00BB199B" w:rsidRPr="00993288">
        <w:rPr>
          <w:sz w:val="20"/>
          <w:szCs w:val="20"/>
          <w:lang w:val="fr-FR"/>
        </w:rPr>
        <w:t>is</w:t>
      </w:r>
      <w:proofErr w:type="spellEnd"/>
      <w:r w:rsidR="00BB199B" w:rsidRPr="00993288">
        <w:rPr>
          <w:sz w:val="20"/>
          <w:szCs w:val="20"/>
          <w:lang w:val="fr-FR"/>
        </w:rPr>
        <w:t xml:space="preserve"> niet </w:t>
      </w:r>
      <w:proofErr w:type="spellStart"/>
      <w:r w:rsidR="00BB199B" w:rsidRPr="00993288">
        <w:rPr>
          <w:sz w:val="20"/>
          <w:szCs w:val="20"/>
          <w:lang w:val="fr-FR"/>
        </w:rPr>
        <w:t>significant</w:t>
      </w:r>
      <w:proofErr w:type="spellEnd"/>
      <w:r w:rsidR="00BB199B" w:rsidRPr="00993288">
        <w:rPr>
          <w:sz w:val="20"/>
          <w:szCs w:val="20"/>
          <w:lang w:val="fr-FR"/>
        </w:rPr>
        <w:t xml:space="preserve"> (</w:t>
      </w:r>
      <w:proofErr w:type="spellStart"/>
      <w:r w:rsidR="00BB199B" w:rsidRPr="00993288">
        <w:rPr>
          <w:sz w:val="20"/>
          <w:szCs w:val="20"/>
          <w:lang w:val="fr-FR"/>
        </w:rPr>
        <w:t>conditie</w:t>
      </w:r>
      <w:proofErr w:type="spellEnd"/>
      <w:r w:rsidR="00BB199B" w:rsidRPr="00993288">
        <w:rPr>
          <w:sz w:val="20"/>
          <w:szCs w:val="20"/>
          <w:lang w:val="fr-FR"/>
        </w:rPr>
        <w:t xml:space="preserve"> 1 en 2: t(48)=.21; p=.52, </w:t>
      </w:r>
      <w:proofErr w:type="spellStart"/>
      <w:r w:rsidR="00BB199B" w:rsidRPr="00993288">
        <w:rPr>
          <w:sz w:val="20"/>
          <w:szCs w:val="20"/>
          <w:lang w:val="fr-FR"/>
        </w:rPr>
        <w:t>conditie</w:t>
      </w:r>
      <w:proofErr w:type="spellEnd"/>
      <w:r w:rsidR="00BB199B" w:rsidRPr="00993288">
        <w:rPr>
          <w:sz w:val="20"/>
          <w:szCs w:val="20"/>
          <w:lang w:val="fr-FR"/>
        </w:rPr>
        <w:t xml:space="preserve"> 1 en 3: t(53)=.97; p=.55, </w:t>
      </w:r>
      <w:proofErr w:type="spellStart"/>
      <w:r w:rsidR="00BB199B" w:rsidRPr="00993288">
        <w:rPr>
          <w:sz w:val="20"/>
          <w:szCs w:val="20"/>
          <w:lang w:val="fr-FR"/>
        </w:rPr>
        <w:t>conditie</w:t>
      </w:r>
      <w:proofErr w:type="spellEnd"/>
      <w:r w:rsidR="00BB199B" w:rsidRPr="00993288">
        <w:rPr>
          <w:sz w:val="20"/>
          <w:szCs w:val="20"/>
          <w:lang w:val="fr-FR"/>
        </w:rPr>
        <w:t xml:space="preserve"> 1 en 4: t(44)=.67; p=.75, </w:t>
      </w:r>
      <w:proofErr w:type="spellStart"/>
      <w:r w:rsidR="00BB199B" w:rsidRPr="00993288">
        <w:rPr>
          <w:sz w:val="20"/>
          <w:szCs w:val="20"/>
          <w:lang w:val="fr-FR"/>
        </w:rPr>
        <w:t>conditie</w:t>
      </w:r>
      <w:proofErr w:type="spellEnd"/>
      <w:r w:rsidR="00BB199B" w:rsidRPr="00993288">
        <w:rPr>
          <w:sz w:val="20"/>
          <w:szCs w:val="20"/>
          <w:lang w:val="fr-FR"/>
        </w:rPr>
        <w:t xml:space="preserve"> 2 en 3: t(53)=.67; p=.20, </w:t>
      </w:r>
      <w:proofErr w:type="spellStart"/>
      <w:r w:rsidR="00BB199B" w:rsidRPr="00993288">
        <w:rPr>
          <w:sz w:val="20"/>
          <w:szCs w:val="20"/>
          <w:lang w:val="fr-FR"/>
        </w:rPr>
        <w:t>conditie</w:t>
      </w:r>
      <w:proofErr w:type="spellEnd"/>
      <w:r w:rsidR="00BB199B" w:rsidRPr="00993288">
        <w:rPr>
          <w:sz w:val="20"/>
          <w:szCs w:val="20"/>
          <w:lang w:val="fr-FR"/>
        </w:rPr>
        <w:t xml:space="preserve"> 2 en 4: t(44)=.44; p=.35, </w:t>
      </w:r>
      <w:proofErr w:type="spellStart"/>
      <w:r w:rsidR="00BB199B" w:rsidRPr="00993288">
        <w:rPr>
          <w:sz w:val="20"/>
          <w:szCs w:val="20"/>
          <w:lang w:val="fr-FR"/>
        </w:rPr>
        <w:t>conditie</w:t>
      </w:r>
      <w:proofErr w:type="spellEnd"/>
      <w:r w:rsidR="00BB199B" w:rsidRPr="00993288">
        <w:rPr>
          <w:sz w:val="20"/>
          <w:szCs w:val="20"/>
          <w:lang w:val="fr-FR"/>
        </w:rPr>
        <w:t xml:space="preserve"> 3 en 4: t(49)=-.21; p=.82). </w:t>
      </w:r>
      <w:r w:rsidR="00BB199B">
        <w:rPr>
          <w:sz w:val="20"/>
          <w:szCs w:val="20"/>
        </w:rPr>
        <w:t xml:space="preserve">Dit wil zeggen dat het algemene oordeel over de </w:t>
      </w:r>
      <w:r w:rsidR="005D6FF7">
        <w:rPr>
          <w:sz w:val="20"/>
          <w:szCs w:val="20"/>
        </w:rPr>
        <w:t>video’s</w:t>
      </w:r>
      <w:r w:rsidR="00BB199B">
        <w:rPr>
          <w:sz w:val="20"/>
          <w:szCs w:val="20"/>
        </w:rPr>
        <w:t xml:space="preserve"> i</w:t>
      </w:r>
      <w:r w:rsidR="009924EB">
        <w:rPr>
          <w:sz w:val="20"/>
          <w:szCs w:val="20"/>
        </w:rPr>
        <w:t>n alle condities hetzelfde was en da</w:t>
      </w:r>
      <w:r w:rsidR="007352ED">
        <w:rPr>
          <w:sz w:val="20"/>
          <w:szCs w:val="20"/>
        </w:rPr>
        <w:t>t</w:t>
      </w:r>
      <w:r w:rsidR="009924EB">
        <w:rPr>
          <w:sz w:val="20"/>
          <w:szCs w:val="20"/>
        </w:rPr>
        <w:t xml:space="preserve"> de bron, de evidentie en het onderwerp van de video </w:t>
      </w:r>
      <w:r w:rsidR="007352ED">
        <w:rPr>
          <w:sz w:val="20"/>
          <w:szCs w:val="20"/>
        </w:rPr>
        <w:t>hier</w:t>
      </w:r>
      <w:r w:rsidR="009924EB">
        <w:rPr>
          <w:sz w:val="20"/>
          <w:szCs w:val="20"/>
        </w:rPr>
        <w:t xml:space="preserve"> geen invloed </w:t>
      </w:r>
      <w:r w:rsidR="007352ED">
        <w:rPr>
          <w:sz w:val="20"/>
          <w:szCs w:val="20"/>
        </w:rPr>
        <w:t>hadden.</w:t>
      </w:r>
    </w:p>
    <w:p w:rsidR="00BB199B" w:rsidRDefault="00BB199B" w:rsidP="00BB199B">
      <w:pPr>
        <w:pStyle w:val="Kop3"/>
      </w:pPr>
      <w:bookmarkStart w:id="18" w:name="_Toc346802185"/>
      <w:r>
        <w:t>4.2</w:t>
      </w:r>
      <w:r>
        <w:tab/>
        <w:t>De rol van evidentie</w:t>
      </w:r>
      <w:bookmarkEnd w:id="18"/>
    </w:p>
    <w:p w:rsidR="00BB199B" w:rsidRDefault="00BB199B" w:rsidP="00BB199B">
      <w:pPr>
        <w:rPr>
          <w:sz w:val="20"/>
          <w:szCs w:val="20"/>
        </w:rPr>
      </w:pPr>
      <w:r>
        <w:rPr>
          <w:sz w:val="20"/>
          <w:szCs w:val="20"/>
        </w:rPr>
        <w:t xml:space="preserve">Als eerste zal gekeken worden of het </w:t>
      </w:r>
      <w:r w:rsidR="00481475">
        <w:rPr>
          <w:sz w:val="20"/>
          <w:szCs w:val="20"/>
        </w:rPr>
        <w:t>type</w:t>
      </w:r>
      <w:r>
        <w:rPr>
          <w:sz w:val="20"/>
          <w:szCs w:val="20"/>
        </w:rPr>
        <w:t xml:space="preserve"> evidentie, statistisch of anekdotisch, invloed heeft op de overtuigingskracht van het gemiddelde standpunt. De gemiddelden van de statistische en anekdotische evidentie zijn te zien in tabel 4.</w:t>
      </w:r>
    </w:p>
    <w:tbl>
      <w:tblPr>
        <w:tblStyle w:val="Lichtelijst1"/>
        <w:tblW w:w="0" w:type="auto"/>
        <w:tblLook w:val="04A0"/>
      </w:tblPr>
      <w:tblGrid>
        <w:gridCol w:w="3070"/>
        <w:gridCol w:w="3071"/>
        <w:gridCol w:w="3071"/>
      </w:tblGrid>
      <w:tr w:rsidR="00BB199B" w:rsidTr="008B53DD">
        <w:trPr>
          <w:cnfStyle w:val="100000000000"/>
        </w:trPr>
        <w:tc>
          <w:tcPr>
            <w:cnfStyle w:val="001000000000"/>
            <w:tcW w:w="3070" w:type="dxa"/>
          </w:tcPr>
          <w:p w:rsidR="00BB199B" w:rsidRPr="003D67A3" w:rsidRDefault="00BB199B" w:rsidP="008B53DD">
            <w:pPr>
              <w:rPr>
                <w:b w:val="0"/>
                <w:sz w:val="20"/>
                <w:szCs w:val="20"/>
              </w:rPr>
            </w:pPr>
            <w:r w:rsidRPr="003D67A3">
              <w:rPr>
                <w:b w:val="0"/>
                <w:sz w:val="20"/>
                <w:szCs w:val="20"/>
              </w:rPr>
              <w:t>Variabele (N=104)</w:t>
            </w:r>
          </w:p>
        </w:tc>
        <w:tc>
          <w:tcPr>
            <w:tcW w:w="3071" w:type="dxa"/>
          </w:tcPr>
          <w:p w:rsidR="00BB199B" w:rsidRPr="003D67A3" w:rsidRDefault="00BB199B" w:rsidP="008B53DD">
            <w:pPr>
              <w:cnfStyle w:val="100000000000"/>
              <w:rPr>
                <w:b w:val="0"/>
                <w:sz w:val="20"/>
                <w:szCs w:val="20"/>
              </w:rPr>
            </w:pPr>
            <w:r w:rsidRPr="003D67A3">
              <w:rPr>
                <w:b w:val="0"/>
                <w:sz w:val="20"/>
                <w:szCs w:val="20"/>
              </w:rPr>
              <w:t>Anekdotisch (N=52)</w:t>
            </w:r>
          </w:p>
        </w:tc>
        <w:tc>
          <w:tcPr>
            <w:tcW w:w="3071" w:type="dxa"/>
          </w:tcPr>
          <w:p w:rsidR="00BB199B" w:rsidRPr="003D67A3" w:rsidRDefault="00BB199B" w:rsidP="008B53DD">
            <w:pPr>
              <w:cnfStyle w:val="100000000000"/>
              <w:rPr>
                <w:b w:val="0"/>
                <w:sz w:val="20"/>
                <w:szCs w:val="20"/>
              </w:rPr>
            </w:pPr>
            <w:r w:rsidRPr="003D67A3">
              <w:rPr>
                <w:b w:val="0"/>
                <w:sz w:val="20"/>
                <w:szCs w:val="20"/>
              </w:rPr>
              <w:t>Statistisch (N=52)</w:t>
            </w:r>
          </w:p>
        </w:tc>
      </w:tr>
      <w:tr w:rsidR="00BB199B" w:rsidTr="008B53DD">
        <w:trPr>
          <w:cnfStyle w:val="000000100000"/>
        </w:trPr>
        <w:tc>
          <w:tcPr>
            <w:cnfStyle w:val="001000000000"/>
            <w:tcW w:w="3070" w:type="dxa"/>
          </w:tcPr>
          <w:p w:rsidR="00BB199B" w:rsidRPr="003D67A3" w:rsidRDefault="00BB199B" w:rsidP="008B53DD">
            <w:pPr>
              <w:rPr>
                <w:b w:val="0"/>
                <w:sz w:val="20"/>
                <w:szCs w:val="20"/>
              </w:rPr>
            </w:pPr>
            <w:r w:rsidRPr="003D67A3">
              <w:rPr>
                <w:b w:val="0"/>
                <w:sz w:val="20"/>
                <w:szCs w:val="20"/>
              </w:rPr>
              <w:t>Standpunt</w:t>
            </w:r>
          </w:p>
        </w:tc>
        <w:tc>
          <w:tcPr>
            <w:tcW w:w="3071" w:type="dxa"/>
          </w:tcPr>
          <w:p w:rsidR="00BB199B" w:rsidRDefault="00BB199B" w:rsidP="008B53DD">
            <w:pPr>
              <w:cnfStyle w:val="000000100000"/>
              <w:rPr>
                <w:sz w:val="20"/>
                <w:szCs w:val="20"/>
              </w:rPr>
            </w:pPr>
            <w:r>
              <w:rPr>
                <w:sz w:val="20"/>
                <w:szCs w:val="20"/>
              </w:rPr>
              <w:t>5.07 (1.07)</w:t>
            </w:r>
          </w:p>
        </w:tc>
        <w:tc>
          <w:tcPr>
            <w:tcW w:w="3071" w:type="dxa"/>
          </w:tcPr>
          <w:p w:rsidR="00BB199B" w:rsidRDefault="00BB199B" w:rsidP="008B53DD">
            <w:pPr>
              <w:cnfStyle w:val="000000100000"/>
              <w:rPr>
                <w:sz w:val="20"/>
                <w:szCs w:val="20"/>
              </w:rPr>
            </w:pPr>
            <w:r>
              <w:rPr>
                <w:sz w:val="20"/>
                <w:szCs w:val="20"/>
              </w:rPr>
              <w:t>5.14 (1.14)</w:t>
            </w:r>
          </w:p>
        </w:tc>
      </w:tr>
      <w:tr w:rsidR="00BB199B" w:rsidTr="008B53DD">
        <w:tc>
          <w:tcPr>
            <w:cnfStyle w:val="001000000000"/>
            <w:tcW w:w="3070" w:type="dxa"/>
          </w:tcPr>
          <w:p w:rsidR="00BB199B" w:rsidRPr="003D67A3" w:rsidRDefault="00BB199B" w:rsidP="008B53DD">
            <w:pPr>
              <w:rPr>
                <w:b w:val="0"/>
                <w:sz w:val="20"/>
                <w:szCs w:val="20"/>
              </w:rPr>
            </w:pPr>
            <w:r w:rsidRPr="003D67A3">
              <w:rPr>
                <w:b w:val="0"/>
                <w:sz w:val="20"/>
                <w:szCs w:val="20"/>
              </w:rPr>
              <w:t>Argument</w:t>
            </w:r>
          </w:p>
        </w:tc>
        <w:tc>
          <w:tcPr>
            <w:tcW w:w="3071" w:type="dxa"/>
          </w:tcPr>
          <w:p w:rsidR="00BB199B" w:rsidRDefault="00BB199B" w:rsidP="008B53DD">
            <w:pPr>
              <w:cnfStyle w:val="000000000000"/>
              <w:rPr>
                <w:sz w:val="20"/>
                <w:szCs w:val="20"/>
              </w:rPr>
            </w:pPr>
            <w:r>
              <w:rPr>
                <w:sz w:val="20"/>
                <w:szCs w:val="20"/>
              </w:rPr>
              <w:t>3.90 (1.51)</w:t>
            </w:r>
          </w:p>
        </w:tc>
        <w:tc>
          <w:tcPr>
            <w:tcW w:w="3071" w:type="dxa"/>
          </w:tcPr>
          <w:p w:rsidR="00BB199B" w:rsidRDefault="00BB199B" w:rsidP="008B53DD">
            <w:pPr>
              <w:cnfStyle w:val="000000000000"/>
              <w:rPr>
                <w:sz w:val="20"/>
                <w:szCs w:val="20"/>
              </w:rPr>
            </w:pPr>
            <w:r>
              <w:rPr>
                <w:sz w:val="20"/>
                <w:szCs w:val="20"/>
              </w:rPr>
              <w:t>4.41 (1.21)</w:t>
            </w:r>
          </w:p>
        </w:tc>
      </w:tr>
      <w:tr w:rsidR="00BB199B" w:rsidTr="008B53DD">
        <w:trPr>
          <w:cnfStyle w:val="000000100000"/>
        </w:trPr>
        <w:tc>
          <w:tcPr>
            <w:cnfStyle w:val="001000000000"/>
            <w:tcW w:w="3070" w:type="dxa"/>
          </w:tcPr>
          <w:p w:rsidR="00BB199B" w:rsidRPr="003D67A3" w:rsidRDefault="00BB199B" w:rsidP="008B53DD">
            <w:pPr>
              <w:rPr>
                <w:b w:val="0"/>
                <w:sz w:val="20"/>
                <w:szCs w:val="20"/>
              </w:rPr>
            </w:pPr>
            <w:r w:rsidRPr="003D67A3">
              <w:rPr>
                <w:b w:val="0"/>
                <w:sz w:val="20"/>
                <w:szCs w:val="20"/>
              </w:rPr>
              <w:t>Aantrekkelijk</w:t>
            </w:r>
          </w:p>
        </w:tc>
        <w:tc>
          <w:tcPr>
            <w:tcW w:w="3071" w:type="dxa"/>
          </w:tcPr>
          <w:p w:rsidR="00BB199B" w:rsidRDefault="00BB199B" w:rsidP="008B53DD">
            <w:pPr>
              <w:cnfStyle w:val="000000100000"/>
              <w:rPr>
                <w:sz w:val="20"/>
                <w:szCs w:val="20"/>
              </w:rPr>
            </w:pPr>
            <w:r>
              <w:rPr>
                <w:sz w:val="20"/>
                <w:szCs w:val="20"/>
              </w:rPr>
              <w:t>5.01 (1.04)</w:t>
            </w:r>
          </w:p>
        </w:tc>
        <w:tc>
          <w:tcPr>
            <w:tcW w:w="3071" w:type="dxa"/>
          </w:tcPr>
          <w:p w:rsidR="00BB199B" w:rsidRDefault="00BB199B" w:rsidP="008B53DD">
            <w:pPr>
              <w:cnfStyle w:val="000000100000"/>
              <w:rPr>
                <w:sz w:val="20"/>
                <w:szCs w:val="20"/>
              </w:rPr>
            </w:pPr>
            <w:r>
              <w:rPr>
                <w:sz w:val="20"/>
                <w:szCs w:val="20"/>
              </w:rPr>
              <w:t>5.10 (1.10)</w:t>
            </w:r>
          </w:p>
        </w:tc>
      </w:tr>
      <w:tr w:rsidR="00BB199B" w:rsidTr="008B53DD">
        <w:tc>
          <w:tcPr>
            <w:cnfStyle w:val="001000000000"/>
            <w:tcW w:w="3070" w:type="dxa"/>
          </w:tcPr>
          <w:p w:rsidR="00BB199B" w:rsidRPr="003D67A3" w:rsidRDefault="00BB199B" w:rsidP="008B53DD">
            <w:pPr>
              <w:rPr>
                <w:b w:val="0"/>
                <w:sz w:val="20"/>
                <w:szCs w:val="20"/>
              </w:rPr>
            </w:pPr>
            <w:r w:rsidRPr="003D67A3">
              <w:rPr>
                <w:b w:val="0"/>
                <w:sz w:val="20"/>
                <w:szCs w:val="20"/>
              </w:rPr>
              <w:t>Geloofwaardigheid</w:t>
            </w:r>
          </w:p>
        </w:tc>
        <w:tc>
          <w:tcPr>
            <w:tcW w:w="3071" w:type="dxa"/>
          </w:tcPr>
          <w:p w:rsidR="00BB199B" w:rsidRDefault="00BB199B" w:rsidP="008B53DD">
            <w:pPr>
              <w:cnfStyle w:val="000000000000"/>
              <w:rPr>
                <w:sz w:val="20"/>
                <w:szCs w:val="20"/>
              </w:rPr>
            </w:pPr>
            <w:r>
              <w:rPr>
                <w:sz w:val="20"/>
                <w:szCs w:val="20"/>
              </w:rPr>
              <w:t>4.62 (1.05)</w:t>
            </w:r>
          </w:p>
        </w:tc>
        <w:tc>
          <w:tcPr>
            <w:tcW w:w="3071" w:type="dxa"/>
          </w:tcPr>
          <w:p w:rsidR="00BB199B" w:rsidRDefault="00BB199B" w:rsidP="008B53DD">
            <w:pPr>
              <w:cnfStyle w:val="000000000000"/>
              <w:rPr>
                <w:sz w:val="20"/>
                <w:szCs w:val="20"/>
              </w:rPr>
            </w:pPr>
            <w:r>
              <w:rPr>
                <w:sz w:val="20"/>
                <w:szCs w:val="20"/>
              </w:rPr>
              <w:t>4.89 (1.16)</w:t>
            </w:r>
          </w:p>
        </w:tc>
      </w:tr>
      <w:tr w:rsidR="00BB199B" w:rsidTr="008B53DD">
        <w:trPr>
          <w:cnfStyle w:val="000000100000"/>
        </w:trPr>
        <w:tc>
          <w:tcPr>
            <w:cnfStyle w:val="001000000000"/>
            <w:tcW w:w="3070" w:type="dxa"/>
          </w:tcPr>
          <w:p w:rsidR="00BB199B" w:rsidRPr="003D67A3" w:rsidRDefault="00BB199B" w:rsidP="008B53DD">
            <w:pPr>
              <w:rPr>
                <w:b w:val="0"/>
                <w:sz w:val="20"/>
                <w:szCs w:val="20"/>
              </w:rPr>
            </w:pPr>
            <w:r w:rsidRPr="003D67A3">
              <w:rPr>
                <w:b w:val="0"/>
                <w:sz w:val="20"/>
                <w:szCs w:val="20"/>
              </w:rPr>
              <w:t>Totaal</w:t>
            </w:r>
          </w:p>
        </w:tc>
        <w:tc>
          <w:tcPr>
            <w:tcW w:w="3071" w:type="dxa"/>
          </w:tcPr>
          <w:p w:rsidR="00BB199B" w:rsidRDefault="00BB199B" w:rsidP="008B53DD">
            <w:pPr>
              <w:cnfStyle w:val="000000100000"/>
              <w:rPr>
                <w:sz w:val="20"/>
                <w:szCs w:val="20"/>
              </w:rPr>
            </w:pPr>
            <w:r>
              <w:rPr>
                <w:sz w:val="20"/>
                <w:szCs w:val="20"/>
              </w:rPr>
              <w:t>4.54 (1.03)</w:t>
            </w:r>
          </w:p>
        </w:tc>
        <w:tc>
          <w:tcPr>
            <w:tcW w:w="3071" w:type="dxa"/>
          </w:tcPr>
          <w:p w:rsidR="00BB199B" w:rsidRDefault="00BB199B" w:rsidP="008B53DD">
            <w:pPr>
              <w:keepNext/>
              <w:cnfStyle w:val="000000100000"/>
              <w:rPr>
                <w:sz w:val="20"/>
                <w:szCs w:val="20"/>
              </w:rPr>
            </w:pPr>
            <w:r>
              <w:rPr>
                <w:sz w:val="20"/>
                <w:szCs w:val="20"/>
              </w:rPr>
              <w:t>4.76 (.89)</w:t>
            </w:r>
          </w:p>
        </w:tc>
      </w:tr>
    </w:tbl>
    <w:p w:rsidR="00BB199B" w:rsidRPr="00523FE1" w:rsidRDefault="00BB199B" w:rsidP="00BB199B">
      <w:pPr>
        <w:pStyle w:val="Bijschrift"/>
        <w:rPr>
          <w:i/>
          <w:sz w:val="20"/>
          <w:szCs w:val="20"/>
        </w:rPr>
      </w:pPr>
      <w:r w:rsidRPr="00523FE1">
        <w:rPr>
          <w:i/>
        </w:rPr>
        <w:t xml:space="preserve">Tabel </w:t>
      </w:r>
      <w:r w:rsidR="00836C71">
        <w:rPr>
          <w:i/>
        </w:rPr>
        <w:fldChar w:fldCharType="begin"/>
      </w:r>
      <w:r>
        <w:rPr>
          <w:i/>
        </w:rPr>
        <w:instrText xml:space="preserve"> SEQ Tabel \* ARABIC </w:instrText>
      </w:r>
      <w:r w:rsidR="00836C71">
        <w:rPr>
          <w:i/>
        </w:rPr>
        <w:fldChar w:fldCharType="separate"/>
      </w:r>
      <w:r w:rsidR="00675099">
        <w:rPr>
          <w:i/>
          <w:noProof/>
        </w:rPr>
        <w:t>4</w:t>
      </w:r>
      <w:r w:rsidR="00836C71">
        <w:rPr>
          <w:i/>
        </w:rPr>
        <w:fldChar w:fldCharType="end"/>
      </w:r>
      <w:r w:rsidRPr="00523FE1">
        <w:rPr>
          <w:i/>
        </w:rPr>
        <w:t>: Gemiddelden van evidentie per variabele</w:t>
      </w:r>
    </w:p>
    <w:p w:rsidR="00BB199B" w:rsidRDefault="00BB199B" w:rsidP="00BB199B">
      <w:pPr>
        <w:rPr>
          <w:sz w:val="20"/>
          <w:szCs w:val="20"/>
        </w:rPr>
      </w:pPr>
      <w:r>
        <w:rPr>
          <w:sz w:val="20"/>
          <w:szCs w:val="20"/>
        </w:rPr>
        <w:t xml:space="preserve">Om te kijken of deze verschillen significant zijn, is een </w:t>
      </w:r>
      <w:proofErr w:type="spellStart"/>
      <w:r>
        <w:rPr>
          <w:sz w:val="20"/>
          <w:szCs w:val="20"/>
        </w:rPr>
        <w:t>variantie-analyse</w:t>
      </w:r>
      <w:proofErr w:type="spellEnd"/>
      <w:r>
        <w:rPr>
          <w:sz w:val="20"/>
          <w:szCs w:val="20"/>
        </w:rPr>
        <w:t xml:space="preserve"> uitgevoerd. Uit deze analyse blijkt dat</w:t>
      </w:r>
      <w:r w:rsidR="002B3BDE">
        <w:rPr>
          <w:sz w:val="20"/>
          <w:szCs w:val="20"/>
        </w:rPr>
        <w:t xml:space="preserve"> het type evidentie geen significante invloed heeft op de overtuigingskracht</w:t>
      </w:r>
      <w:r w:rsidRPr="00FD720B">
        <w:rPr>
          <w:sz w:val="20"/>
          <w:szCs w:val="20"/>
        </w:rPr>
        <w:t xml:space="preserve"> (F(1,102)=.09; p=.76). Of de </w:t>
      </w:r>
      <w:r w:rsidRPr="002A2C18">
        <w:rPr>
          <w:sz w:val="20"/>
          <w:szCs w:val="20"/>
        </w:rPr>
        <w:t xml:space="preserve">gebruikte evidentie statistisch of anekdotisch van aard is, maakt dus voor de overtuigingskracht geen verschil.  </w:t>
      </w:r>
    </w:p>
    <w:p w:rsidR="00BB199B" w:rsidRDefault="00BB199B" w:rsidP="00BB199B">
      <w:pPr>
        <w:rPr>
          <w:rFonts w:cs="Calibri"/>
          <w:b/>
        </w:rPr>
      </w:pPr>
      <w:r>
        <w:rPr>
          <w:sz w:val="20"/>
          <w:szCs w:val="20"/>
        </w:rPr>
        <w:t xml:space="preserve">Daarnaast is er gekeken of het </w:t>
      </w:r>
      <w:r w:rsidR="00481475">
        <w:rPr>
          <w:sz w:val="20"/>
          <w:szCs w:val="20"/>
        </w:rPr>
        <w:t>type</w:t>
      </w:r>
      <w:r>
        <w:rPr>
          <w:sz w:val="20"/>
          <w:szCs w:val="20"/>
        </w:rPr>
        <w:t xml:space="preserve"> evidentie invloed heeft op de overige afhankelijke variabelen. Uit de uitgevoerde </w:t>
      </w:r>
      <w:proofErr w:type="spellStart"/>
      <w:r>
        <w:rPr>
          <w:sz w:val="20"/>
          <w:szCs w:val="20"/>
        </w:rPr>
        <w:t>variantie-analyses</w:t>
      </w:r>
      <w:proofErr w:type="spellEnd"/>
      <w:r>
        <w:rPr>
          <w:sz w:val="20"/>
          <w:szCs w:val="20"/>
        </w:rPr>
        <w:t xml:space="preserve"> blijkt dat d</w:t>
      </w:r>
      <w:r w:rsidRPr="002A2C18">
        <w:rPr>
          <w:rFonts w:cs="Calibri"/>
          <w:sz w:val="20"/>
          <w:szCs w:val="20"/>
        </w:rPr>
        <w:t>e geloo</w:t>
      </w:r>
      <w:r>
        <w:rPr>
          <w:rFonts w:cs="Calibri"/>
          <w:sz w:val="20"/>
          <w:szCs w:val="20"/>
        </w:rPr>
        <w:t>fwaardigheid van de bron niet afhankelijk is van</w:t>
      </w:r>
      <w:r w:rsidRPr="002A2C18">
        <w:rPr>
          <w:rFonts w:cs="Calibri"/>
          <w:sz w:val="20"/>
          <w:szCs w:val="20"/>
        </w:rPr>
        <w:t xml:space="preserve"> het</w:t>
      </w:r>
      <w:r>
        <w:rPr>
          <w:rFonts w:cs="Calibri"/>
          <w:sz w:val="20"/>
          <w:szCs w:val="20"/>
        </w:rPr>
        <w:t xml:space="preserve"> </w:t>
      </w:r>
      <w:r w:rsidR="00481475">
        <w:rPr>
          <w:rFonts w:cs="Calibri"/>
          <w:sz w:val="20"/>
          <w:szCs w:val="20"/>
        </w:rPr>
        <w:t>type</w:t>
      </w:r>
      <w:r>
        <w:rPr>
          <w:rFonts w:cs="Calibri"/>
          <w:sz w:val="20"/>
          <w:szCs w:val="20"/>
        </w:rPr>
        <w:t xml:space="preserve"> evidentie</w:t>
      </w:r>
      <w:r w:rsidRPr="002A2C18">
        <w:rPr>
          <w:rFonts w:cs="Calibri"/>
          <w:sz w:val="20"/>
          <w:szCs w:val="20"/>
        </w:rPr>
        <w:t xml:space="preserve"> (F(1, 102)=1.52; p=0.22)</w:t>
      </w:r>
      <w:r>
        <w:rPr>
          <w:rFonts w:cs="Calibri"/>
          <w:sz w:val="20"/>
          <w:szCs w:val="20"/>
        </w:rPr>
        <w:t>.</w:t>
      </w:r>
      <w:r w:rsidRPr="002A2C18">
        <w:rPr>
          <w:rFonts w:cs="Calibri"/>
          <w:sz w:val="20"/>
          <w:szCs w:val="20"/>
        </w:rPr>
        <w:t xml:space="preserve"> </w:t>
      </w:r>
      <w:r>
        <w:rPr>
          <w:rFonts w:cs="Calibri"/>
          <w:sz w:val="20"/>
          <w:szCs w:val="20"/>
        </w:rPr>
        <w:t>Verder</w:t>
      </w:r>
      <w:r w:rsidRPr="002A2C18">
        <w:rPr>
          <w:rFonts w:cs="Calibri"/>
          <w:sz w:val="20"/>
          <w:szCs w:val="20"/>
        </w:rPr>
        <w:t xml:space="preserve"> blijkt ook </w:t>
      </w:r>
      <w:r>
        <w:rPr>
          <w:rFonts w:cs="Calibri"/>
          <w:sz w:val="20"/>
          <w:szCs w:val="20"/>
        </w:rPr>
        <w:t xml:space="preserve">dat </w:t>
      </w:r>
      <w:r w:rsidRPr="002A2C18">
        <w:rPr>
          <w:rFonts w:cs="Calibri"/>
          <w:sz w:val="20"/>
          <w:szCs w:val="20"/>
        </w:rPr>
        <w:t>de beoordeling van de kwaliteit van het argument (F(1, 102)=3.62; p=0.06)</w:t>
      </w:r>
      <w:r>
        <w:rPr>
          <w:rFonts w:cs="Calibri"/>
          <w:sz w:val="20"/>
          <w:szCs w:val="20"/>
        </w:rPr>
        <w:t xml:space="preserve">  en de aantrekkelijkheid van de bron </w:t>
      </w:r>
      <w:r w:rsidRPr="002A2C18">
        <w:rPr>
          <w:rFonts w:cs="Calibri"/>
          <w:sz w:val="20"/>
          <w:szCs w:val="20"/>
        </w:rPr>
        <w:t xml:space="preserve">niet afhankelijk </w:t>
      </w:r>
      <w:r>
        <w:rPr>
          <w:rFonts w:cs="Calibri"/>
          <w:sz w:val="20"/>
          <w:szCs w:val="20"/>
        </w:rPr>
        <w:t>zijn van het</w:t>
      </w:r>
      <w:r w:rsidRPr="002A2C18">
        <w:rPr>
          <w:rFonts w:cs="Calibri"/>
          <w:sz w:val="20"/>
          <w:szCs w:val="20"/>
        </w:rPr>
        <w:t xml:space="preserve"> </w:t>
      </w:r>
      <w:r w:rsidR="00481475">
        <w:rPr>
          <w:rFonts w:cs="Calibri"/>
          <w:sz w:val="20"/>
          <w:szCs w:val="20"/>
        </w:rPr>
        <w:t>type</w:t>
      </w:r>
      <w:r w:rsidRPr="002A2C18">
        <w:rPr>
          <w:rFonts w:cs="Calibri"/>
          <w:sz w:val="20"/>
          <w:szCs w:val="20"/>
        </w:rPr>
        <w:t xml:space="preserve"> </w:t>
      </w:r>
      <w:r w:rsidR="00D47B79">
        <w:rPr>
          <w:rFonts w:cs="Calibri"/>
          <w:sz w:val="20"/>
          <w:szCs w:val="20"/>
        </w:rPr>
        <w:t>evidentie dat</w:t>
      </w:r>
      <w:r w:rsidRPr="002A2C18">
        <w:rPr>
          <w:rFonts w:cs="Calibri"/>
          <w:sz w:val="20"/>
          <w:szCs w:val="20"/>
        </w:rPr>
        <w:t xml:space="preserve"> gebruikt is</w:t>
      </w:r>
      <w:r>
        <w:rPr>
          <w:rFonts w:cs="Calibri"/>
          <w:sz w:val="20"/>
          <w:szCs w:val="20"/>
        </w:rPr>
        <w:t xml:space="preserve"> (F(1,102)=.15; p=.70).</w:t>
      </w:r>
      <w:r>
        <w:rPr>
          <w:rFonts w:cs="Calibri"/>
          <w:b/>
        </w:rPr>
        <w:t xml:space="preserve"> </w:t>
      </w:r>
    </w:p>
    <w:p w:rsidR="00BB199B" w:rsidRPr="00A6454C" w:rsidRDefault="00BB199B" w:rsidP="00BB199B">
      <w:pPr>
        <w:rPr>
          <w:b/>
          <w:sz w:val="20"/>
          <w:szCs w:val="20"/>
        </w:rPr>
      </w:pPr>
      <w:r w:rsidRPr="00107105">
        <w:rPr>
          <w:rFonts w:cs="Calibri"/>
          <w:sz w:val="20"/>
          <w:szCs w:val="20"/>
        </w:rPr>
        <w:t xml:space="preserve">Hieruit kan geconcludeerd worden dat geen van de afhankelijke variabelen significant </w:t>
      </w:r>
      <w:r w:rsidR="00F709DA">
        <w:rPr>
          <w:rFonts w:cs="Calibri"/>
          <w:sz w:val="20"/>
          <w:szCs w:val="20"/>
        </w:rPr>
        <w:t>beïnvloed wordt door het type evidentie</w:t>
      </w:r>
      <w:r w:rsidRPr="00107105">
        <w:rPr>
          <w:rFonts w:cs="Calibri"/>
          <w:sz w:val="20"/>
          <w:szCs w:val="20"/>
        </w:rPr>
        <w:t xml:space="preserve">. De beoordeling van </w:t>
      </w:r>
      <w:r>
        <w:rPr>
          <w:rFonts w:cs="Calibri"/>
          <w:sz w:val="20"/>
          <w:szCs w:val="20"/>
        </w:rPr>
        <w:t xml:space="preserve">de kwaliteit van het argument, </w:t>
      </w:r>
      <w:r w:rsidRPr="00107105">
        <w:rPr>
          <w:rFonts w:cs="Calibri"/>
          <w:sz w:val="20"/>
          <w:szCs w:val="20"/>
        </w:rPr>
        <w:t>de beoordeling van de aantrekkelijkheid</w:t>
      </w:r>
      <w:r>
        <w:rPr>
          <w:rFonts w:cs="Calibri"/>
          <w:sz w:val="20"/>
          <w:szCs w:val="20"/>
        </w:rPr>
        <w:t xml:space="preserve"> </w:t>
      </w:r>
      <w:r>
        <w:rPr>
          <w:rFonts w:cs="Calibri"/>
          <w:sz w:val="20"/>
          <w:szCs w:val="20"/>
        </w:rPr>
        <w:lastRenderedPageBreak/>
        <w:t>van de bron en de beoordeling van de geloofwaardigheid van de bron zijn niet afhankelijk van het gebruik van statistische evidentie of het gebruik van anekdotische evidentie.</w:t>
      </w:r>
      <w:r w:rsidRPr="00AD57BF">
        <w:rPr>
          <w:rFonts w:cs="Calibri"/>
          <w:sz w:val="20"/>
          <w:szCs w:val="20"/>
        </w:rPr>
        <w:t xml:space="preserve"> </w:t>
      </w:r>
    </w:p>
    <w:p w:rsidR="00BB199B" w:rsidRDefault="00BB199B" w:rsidP="00BB199B">
      <w:pPr>
        <w:pStyle w:val="Kop3"/>
      </w:pPr>
      <w:bookmarkStart w:id="19" w:name="_Toc346802186"/>
      <w:r>
        <w:t>4.3</w:t>
      </w:r>
      <w:r>
        <w:tab/>
        <w:t>Rol van de objectiviteit</w:t>
      </w:r>
      <w:bookmarkEnd w:id="19"/>
    </w:p>
    <w:p w:rsidR="00BB199B" w:rsidRDefault="00BB199B" w:rsidP="00BB199B">
      <w:pPr>
        <w:rPr>
          <w:sz w:val="20"/>
          <w:szCs w:val="20"/>
        </w:rPr>
      </w:pPr>
      <w:r>
        <w:rPr>
          <w:sz w:val="20"/>
          <w:szCs w:val="20"/>
        </w:rPr>
        <w:t xml:space="preserve">In dit onderzoek is, </w:t>
      </w:r>
      <w:r w:rsidR="00E11758">
        <w:rPr>
          <w:sz w:val="20"/>
          <w:szCs w:val="20"/>
        </w:rPr>
        <w:t>naast het effect van</w:t>
      </w:r>
      <w:r>
        <w:rPr>
          <w:sz w:val="20"/>
          <w:szCs w:val="20"/>
        </w:rPr>
        <w:t xml:space="preserve"> de twee verschillende </w:t>
      </w:r>
      <w:r w:rsidR="00481475">
        <w:rPr>
          <w:sz w:val="20"/>
          <w:szCs w:val="20"/>
        </w:rPr>
        <w:t>typen</w:t>
      </w:r>
      <w:r>
        <w:rPr>
          <w:sz w:val="20"/>
          <w:szCs w:val="20"/>
        </w:rPr>
        <w:t xml:space="preserve"> evidentie, de rol </w:t>
      </w:r>
      <w:r w:rsidR="008A3CA3">
        <w:rPr>
          <w:sz w:val="20"/>
          <w:szCs w:val="20"/>
        </w:rPr>
        <w:t xml:space="preserve">gemeten </w:t>
      </w:r>
      <w:r>
        <w:rPr>
          <w:sz w:val="20"/>
          <w:szCs w:val="20"/>
        </w:rPr>
        <w:t xml:space="preserve">van de mate waarin de bron objectief is. </w:t>
      </w:r>
      <w:r w:rsidRPr="00350ADD">
        <w:rPr>
          <w:sz w:val="20"/>
          <w:szCs w:val="20"/>
        </w:rPr>
        <w:t xml:space="preserve">Tabel 5 geeft een overzicht van de gemiddelden en standaarddeviatie van de </w:t>
      </w:r>
      <w:r>
        <w:rPr>
          <w:sz w:val="20"/>
          <w:szCs w:val="20"/>
        </w:rPr>
        <w:t>medewerker en de manager</w:t>
      </w:r>
      <w:r w:rsidRPr="00350ADD">
        <w:rPr>
          <w:sz w:val="20"/>
          <w:szCs w:val="20"/>
        </w:rPr>
        <w:t>.</w:t>
      </w:r>
    </w:p>
    <w:tbl>
      <w:tblPr>
        <w:tblStyle w:val="Lichtelijst1"/>
        <w:tblW w:w="0" w:type="auto"/>
        <w:tblLook w:val="04A0"/>
      </w:tblPr>
      <w:tblGrid>
        <w:gridCol w:w="3070"/>
        <w:gridCol w:w="3071"/>
        <w:gridCol w:w="3071"/>
      </w:tblGrid>
      <w:tr w:rsidR="00BB199B" w:rsidTr="008B53DD">
        <w:trPr>
          <w:cnfStyle w:val="100000000000"/>
        </w:trPr>
        <w:tc>
          <w:tcPr>
            <w:cnfStyle w:val="001000000000"/>
            <w:tcW w:w="3070" w:type="dxa"/>
          </w:tcPr>
          <w:p w:rsidR="00BB199B" w:rsidRPr="003D67A3" w:rsidRDefault="00BB199B" w:rsidP="008B53DD">
            <w:pPr>
              <w:rPr>
                <w:b w:val="0"/>
                <w:sz w:val="20"/>
                <w:szCs w:val="20"/>
              </w:rPr>
            </w:pPr>
            <w:r w:rsidRPr="003D67A3">
              <w:rPr>
                <w:b w:val="0"/>
                <w:sz w:val="20"/>
                <w:szCs w:val="20"/>
              </w:rPr>
              <w:t>Variabele (N=104)</w:t>
            </w:r>
          </w:p>
        </w:tc>
        <w:tc>
          <w:tcPr>
            <w:tcW w:w="3071" w:type="dxa"/>
          </w:tcPr>
          <w:p w:rsidR="00BB199B" w:rsidRPr="003D67A3" w:rsidRDefault="00BB199B" w:rsidP="008B53DD">
            <w:pPr>
              <w:cnfStyle w:val="100000000000"/>
              <w:rPr>
                <w:b w:val="0"/>
                <w:sz w:val="20"/>
                <w:szCs w:val="20"/>
              </w:rPr>
            </w:pPr>
            <w:r>
              <w:rPr>
                <w:b w:val="0"/>
                <w:sz w:val="20"/>
                <w:szCs w:val="20"/>
              </w:rPr>
              <w:t>Manager (N=57</w:t>
            </w:r>
            <w:r w:rsidRPr="003D67A3">
              <w:rPr>
                <w:b w:val="0"/>
                <w:sz w:val="20"/>
                <w:szCs w:val="20"/>
              </w:rPr>
              <w:t>)</w:t>
            </w:r>
          </w:p>
        </w:tc>
        <w:tc>
          <w:tcPr>
            <w:tcW w:w="3071" w:type="dxa"/>
          </w:tcPr>
          <w:p w:rsidR="00BB199B" w:rsidRPr="003D67A3" w:rsidRDefault="00BB199B" w:rsidP="008B53DD">
            <w:pPr>
              <w:cnfStyle w:val="100000000000"/>
              <w:rPr>
                <w:b w:val="0"/>
                <w:sz w:val="20"/>
                <w:szCs w:val="20"/>
              </w:rPr>
            </w:pPr>
            <w:r>
              <w:rPr>
                <w:b w:val="0"/>
                <w:sz w:val="20"/>
                <w:szCs w:val="20"/>
              </w:rPr>
              <w:t>Medewerker (N=47</w:t>
            </w:r>
            <w:r w:rsidRPr="003D67A3">
              <w:rPr>
                <w:b w:val="0"/>
                <w:sz w:val="20"/>
                <w:szCs w:val="20"/>
              </w:rPr>
              <w:t>)</w:t>
            </w:r>
          </w:p>
        </w:tc>
      </w:tr>
      <w:tr w:rsidR="00BB199B" w:rsidTr="008B53DD">
        <w:trPr>
          <w:cnfStyle w:val="000000100000"/>
        </w:trPr>
        <w:tc>
          <w:tcPr>
            <w:cnfStyle w:val="001000000000"/>
            <w:tcW w:w="3070" w:type="dxa"/>
          </w:tcPr>
          <w:p w:rsidR="00BB199B" w:rsidRPr="003D67A3" w:rsidRDefault="00BB199B" w:rsidP="008B53DD">
            <w:pPr>
              <w:rPr>
                <w:b w:val="0"/>
                <w:sz w:val="20"/>
                <w:szCs w:val="20"/>
              </w:rPr>
            </w:pPr>
            <w:r w:rsidRPr="003D67A3">
              <w:rPr>
                <w:b w:val="0"/>
                <w:sz w:val="20"/>
                <w:szCs w:val="20"/>
              </w:rPr>
              <w:t>Standpunt</w:t>
            </w:r>
          </w:p>
        </w:tc>
        <w:tc>
          <w:tcPr>
            <w:tcW w:w="3071" w:type="dxa"/>
          </w:tcPr>
          <w:p w:rsidR="00BB199B" w:rsidRDefault="00BB199B" w:rsidP="008B53DD">
            <w:pPr>
              <w:cnfStyle w:val="000000100000"/>
              <w:rPr>
                <w:sz w:val="20"/>
                <w:szCs w:val="20"/>
              </w:rPr>
            </w:pPr>
            <w:r>
              <w:rPr>
                <w:sz w:val="20"/>
                <w:szCs w:val="20"/>
              </w:rPr>
              <w:t>5.00 (1.10)</w:t>
            </w:r>
          </w:p>
        </w:tc>
        <w:tc>
          <w:tcPr>
            <w:tcW w:w="3071" w:type="dxa"/>
          </w:tcPr>
          <w:p w:rsidR="00BB199B" w:rsidRDefault="00BB199B" w:rsidP="008B53DD">
            <w:pPr>
              <w:cnfStyle w:val="000000100000"/>
              <w:rPr>
                <w:sz w:val="20"/>
                <w:szCs w:val="20"/>
              </w:rPr>
            </w:pPr>
            <w:r>
              <w:rPr>
                <w:sz w:val="20"/>
                <w:szCs w:val="20"/>
              </w:rPr>
              <w:t>5.23 (1.11)</w:t>
            </w:r>
          </w:p>
        </w:tc>
      </w:tr>
      <w:tr w:rsidR="00BB199B" w:rsidTr="008B53DD">
        <w:tc>
          <w:tcPr>
            <w:cnfStyle w:val="001000000000"/>
            <w:tcW w:w="3070" w:type="dxa"/>
          </w:tcPr>
          <w:p w:rsidR="00BB199B" w:rsidRPr="003D67A3" w:rsidRDefault="00BB199B" w:rsidP="008B53DD">
            <w:pPr>
              <w:rPr>
                <w:b w:val="0"/>
                <w:sz w:val="20"/>
                <w:szCs w:val="20"/>
              </w:rPr>
            </w:pPr>
            <w:r w:rsidRPr="003D67A3">
              <w:rPr>
                <w:b w:val="0"/>
                <w:sz w:val="20"/>
                <w:szCs w:val="20"/>
              </w:rPr>
              <w:t>Argument</w:t>
            </w:r>
          </w:p>
        </w:tc>
        <w:tc>
          <w:tcPr>
            <w:tcW w:w="3071" w:type="dxa"/>
          </w:tcPr>
          <w:p w:rsidR="00BB199B" w:rsidRDefault="00BB199B" w:rsidP="008B53DD">
            <w:pPr>
              <w:cnfStyle w:val="000000000000"/>
              <w:rPr>
                <w:sz w:val="20"/>
                <w:szCs w:val="20"/>
              </w:rPr>
            </w:pPr>
            <w:r>
              <w:rPr>
                <w:sz w:val="20"/>
                <w:szCs w:val="20"/>
              </w:rPr>
              <w:t>4.17 (1.43)</w:t>
            </w:r>
          </w:p>
        </w:tc>
        <w:tc>
          <w:tcPr>
            <w:tcW w:w="3071" w:type="dxa"/>
          </w:tcPr>
          <w:p w:rsidR="00BB199B" w:rsidRDefault="00BB199B" w:rsidP="008B53DD">
            <w:pPr>
              <w:cnfStyle w:val="000000000000"/>
              <w:rPr>
                <w:sz w:val="20"/>
                <w:szCs w:val="20"/>
              </w:rPr>
            </w:pPr>
            <w:r>
              <w:rPr>
                <w:sz w:val="20"/>
                <w:szCs w:val="20"/>
              </w:rPr>
              <w:t>4.14 (1.34)</w:t>
            </w:r>
          </w:p>
        </w:tc>
      </w:tr>
      <w:tr w:rsidR="00BB199B" w:rsidTr="008B53DD">
        <w:trPr>
          <w:cnfStyle w:val="000000100000"/>
        </w:trPr>
        <w:tc>
          <w:tcPr>
            <w:cnfStyle w:val="001000000000"/>
            <w:tcW w:w="3070" w:type="dxa"/>
          </w:tcPr>
          <w:p w:rsidR="00BB199B" w:rsidRPr="003D67A3" w:rsidRDefault="00BB199B" w:rsidP="008B53DD">
            <w:pPr>
              <w:rPr>
                <w:b w:val="0"/>
                <w:sz w:val="20"/>
                <w:szCs w:val="20"/>
              </w:rPr>
            </w:pPr>
            <w:r w:rsidRPr="003D67A3">
              <w:rPr>
                <w:b w:val="0"/>
                <w:sz w:val="20"/>
                <w:szCs w:val="20"/>
              </w:rPr>
              <w:t>Aantrekkelijk</w:t>
            </w:r>
          </w:p>
        </w:tc>
        <w:tc>
          <w:tcPr>
            <w:tcW w:w="3071" w:type="dxa"/>
          </w:tcPr>
          <w:p w:rsidR="00BB199B" w:rsidRDefault="00BB199B" w:rsidP="008B53DD">
            <w:pPr>
              <w:cnfStyle w:val="000000100000"/>
              <w:rPr>
                <w:sz w:val="20"/>
                <w:szCs w:val="20"/>
              </w:rPr>
            </w:pPr>
            <w:r>
              <w:rPr>
                <w:sz w:val="20"/>
                <w:szCs w:val="20"/>
              </w:rPr>
              <w:t>5.07 (1.05)</w:t>
            </w:r>
          </w:p>
        </w:tc>
        <w:tc>
          <w:tcPr>
            <w:tcW w:w="3071" w:type="dxa"/>
          </w:tcPr>
          <w:p w:rsidR="00BB199B" w:rsidRDefault="00BB199B" w:rsidP="008B53DD">
            <w:pPr>
              <w:cnfStyle w:val="000000100000"/>
              <w:rPr>
                <w:sz w:val="20"/>
                <w:szCs w:val="20"/>
              </w:rPr>
            </w:pPr>
            <w:r>
              <w:rPr>
                <w:sz w:val="20"/>
                <w:szCs w:val="20"/>
              </w:rPr>
              <w:t>5.04 (1.10)</w:t>
            </w:r>
          </w:p>
        </w:tc>
      </w:tr>
      <w:tr w:rsidR="00BB199B" w:rsidTr="008B53DD">
        <w:tc>
          <w:tcPr>
            <w:cnfStyle w:val="001000000000"/>
            <w:tcW w:w="3070" w:type="dxa"/>
          </w:tcPr>
          <w:p w:rsidR="00BB199B" w:rsidRPr="003D67A3" w:rsidRDefault="00BB199B" w:rsidP="008B53DD">
            <w:pPr>
              <w:rPr>
                <w:b w:val="0"/>
                <w:sz w:val="20"/>
                <w:szCs w:val="20"/>
              </w:rPr>
            </w:pPr>
            <w:r w:rsidRPr="003D67A3">
              <w:rPr>
                <w:b w:val="0"/>
                <w:sz w:val="20"/>
                <w:szCs w:val="20"/>
              </w:rPr>
              <w:t>Geloofwaardigheid</w:t>
            </w:r>
          </w:p>
        </w:tc>
        <w:tc>
          <w:tcPr>
            <w:tcW w:w="3071" w:type="dxa"/>
          </w:tcPr>
          <w:p w:rsidR="00BB199B" w:rsidRDefault="00BB199B" w:rsidP="008B53DD">
            <w:pPr>
              <w:cnfStyle w:val="000000000000"/>
              <w:rPr>
                <w:sz w:val="20"/>
                <w:szCs w:val="20"/>
              </w:rPr>
            </w:pPr>
            <w:r>
              <w:rPr>
                <w:sz w:val="20"/>
                <w:szCs w:val="20"/>
              </w:rPr>
              <w:t>4.78 (1.09)</w:t>
            </w:r>
          </w:p>
        </w:tc>
        <w:tc>
          <w:tcPr>
            <w:tcW w:w="3071" w:type="dxa"/>
          </w:tcPr>
          <w:p w:rsidR="00BB199B" w:rsidRDefault="00BB199B" w:rsidP="008B53DD">
            <w:pPr>
              <w:cnfStyle w:val="000000000000"/>
              <w:rPr>
                <w:sz w:val="20"/>
                <w:szCs w:val="20"/>
              </w:rPr>
            </w:pPr>
            <w:r>
              <w:rPr>
                <w:sz w:val="20"/>
                <w:szCs w:val="20"/>
              </w:rPr>
              <w:t>4.72 (1.16)</w:t>
            </w:r>
          </w:p>
        </w:tc>
      </w:tr>
      <w:tr w:rsidR="00BB199B" w:rsidTr="008B53DD">
        <w:trPr>
          <w:cnfStyle w:val="000000100000"/>
        </w:trPr>
        <w:tc>
          <w:tcPr>
            <w:cnfStyle w:val="001000000000"/>
            <w:tcW w:w="3070" w:type="dxa"/>
          </w:tcPr>
          <w:p w:rsidR="00BB199B" w:rsidRPr="003D67A3" w:rsidRDefault="00BB199B" w:rsidP="008B53DD">
            <w:pPr>
              <w:rPr>
                <w:b w:val="0"/>
                <w:sz w:val="20"/>
                <w:szCs w:val="20"/>
              </w:rPr>
            </w:pPr>
            <w:r w:rsidRPr="003D67A3">
              <w:rPr>
                <w:b w:val="0"/>
                <w:sz w:val="20"/>
                <w:szCs w:val="20"/>
              </w:rPr>
              <w:t>Totaal</w:t>
            </w:r>
          </w:p>
        </w:tc>
        <w:tc>
          <w:tcPr>
            <w:tcW w:w="3071" w:type="dxa"/>
          </w:tcPr>
          <w:p w:rsidR="00BB199B" w:rsidRDefault="00BB199B" w:rsidP="008B53DD">
            <w:pPr>
              <w:cnfStyle w:val="000000100000"/>
              <w:rPr>
                <w:sz w:val="20"/>
                <w:szCs w:val="20"/>
              </w:rPr>
            </w:pPr>
            <w:r>
              <w:rPr>
                <w:sz w:val="20"/>
                <w:szCs w:val="20"/>
              </w:rPr>
              <w:t>4.65 (1.06)</w:t>
            </w:r>
          </w:p>
        </w:tc>
        <w:tc>
          <w:tcPr>
            <w:tcW w:w="3071" w:type="dxa"/>
          </w:tcPr>
          <w:p w:rsidR="00BB199B" w:rsidRDefault="00BB199B" w:rsidP="008B53DD">
            <w:pPr>
              <w:keepNext/>
              <w:cnfStyle w:val="000000100000"/>
              <w:rPr>
                <w:sz w:val="20"/>
                <w:szCs w:val="20"/>
              </w:rPr>
            </w:pPr>
            <w:r>
              <w:rPr>
                <w:sz w:val="20"/>
                <w:szCs w:val="20"/>
              </w:rPr>
              <w:t>4.65 (.95)</w:t>
            </w:r>
          </w:p>
        </w:tc>
      </w:tr>
    </w:tbl>
    <w:p w:rsidR="00BB199B" w:rsidRPr="00523FE1" w:rsidRDefault="00BB199B" w:rsidP="00BB199B">
      <w:pPr>
        <w:pStyle w:val="Bijschrift"/>
        <w:rPr>
          <w:i/>
          <w:sz w:val="20"/>
          <w:szCs w:val="20"/>
        </w:rPr>
      </w:pPr>
      <w:r w:rsidRPr="00523FE1">
        <w:rPr>
          <w:i/>
        </w:rPr>
        <w:t xml:space="preserve">Tabel </w:t>
      </w:r>
      <w:r>
        <w:rPr>
          <w:i/>
        </w:rPr>
        <w:t>5: Gemiddelden geloofwaardigheid bron</w:t>
      </w:r>
      <w:r w:rsidRPr="00523FE1">
        <w:rPr>
          <w:i/>
        </w:rPr>
        <w:t xml:space="preserve"> per variabele</w:t>
      </w:r>
    </w:p>
    <w:p w:rsidR="00BB199B" w:rsidRPr="007C0775" w:rsidRDefault="00BB199B" w:rsidP="00BB199B">
      <w:pPr>
        <w:jc w:val="both"/>
        <w:rPr>
          <w:sz w:val="20"/>
          <w:szCs w:val="20"/>
        </w:rPr>
      </w:pPr>
      <w:r>
        <w:rPr>
          <w:sz w:val="20"/>
          <w:szCs w:val="20"/>
        </w:rPr>
        <w:t xml:space="preserve">In deze tabel is te zien dat de overtuigingskracht (het standpunt) gemiddeld het best werd beoordeeld in de conditie waarin men een medewerker te zien kreeg. Ook bij de andere afhankelijke variabelen zijn verschillen </w:t>
      </w:r>
      <w:r w:rsidR="005C1117">
        <w:rPr>
          <w:sz w:val="20"/>
          <w:szCs w:val="20"/>
        </w:rPr>
        <w:t>zichtbaar</w:t>
      </w:r>
      <w:r>
        <w:rPr>
          <w:sz w:val="20"/>
          <w:szCs w:val="20"/>
        </w:rPr>
        <w:t xml:space="preserve"> bij de gemiddelde scores, maar heeft het zien van een deskundige spreker invloed op de overtuigingskracht van het gemiddelde standpunt? Om dit te toetsen is een </w:t>
      </w:r>
      <w:proofErr w:type="spellStart"/>
      <w:r>
        <w:rPr>
          <w:sz w:val="20"/>
          <w:szCs w:val="20"/>
        </w:rPr>
        <w:t>variantie-analyse</w:t>
      </w:r>
      <w:proofErr w:type="spellEnd"/>
      <w:r>
        <w:rPr>
          <w:sz w:val="20"/>
          <w:szCs w:val="20"/>
        </w:rPr>
        <w:t xml:space="preserve"> uitgevoerd, </w:t>
      </w:r>
      <w:r w:rsidRPr="002204ED">
        <w:rPr>
          <w:sz w:val="20"/>
          <w:szCs w:val="20"/>
        </w:rPr>
        <w:t>waaruit bleek dat het voor de overtuigingskracht geen verschil maakt of de spreker een manager (niet objectief) of een medewerker (</w:t>
      </w:r>
      <w:r w:rsidRPr="003B0AAF">
        <w:rPr>
          <w:sz w:val="20"/>
          <w:szCs w:val="20"/>
        </w:rPr>
        <w:t xml:space="preserve">objectief) is (F(1,102)=1.09; p=.30).  Ook voor de kwaliteit van het argument (F(1,102)=.01; p=.92), voor de geloofwaardigheid van de bron (F(1,102)=.09; p=.77) en voor de </w:t>
      </w:r>
      <w:r w:rsidRPr="007C0775">
        <w:rPr>
          <w:sz w:val="20"/>
          <w:szCs w:val="20"/>
        </w:rPr>
        <w:t>aantrekkelijkheid van de bron (F(1,102)=.01; p=.91) maakt dit geen verschil.</w:t>
      </w:r>
    </w:p>
    <w:p w:rsidR="00BB199B" w:rsidRDefault="00BB199B" w:rsidP="00BB199B">
      <w:pPr>
        <w:jc w:val="both"/>
        <w:rPr>
          <w:rFonts w:cs="Calibri"/>
          <w:sz w:val="20"/>
          <w:szCs w:val="20"/>
        </w:rPr>
      </w:pPr>
      <w:r w:rsidRPr="007C0775">
        <w:rPr>
          <w:rFonts w:cs="Calibri"/>
          <w:sz w:val="20"/>
          <w:szCs w:val="20"/>
        </w:rPr>
        <w:t>Wat we hieruit kunnen concluderen is dat geen van de afhankelijke variabele</w:t>
      </w:r>
      <w:r>
        <w:rPr>
          <w:rFonts w:cs="Calibri"/>
          <w:sz w:val="20"/>
          <w:szCs w:val="20"/>
        </w:rPr>
        <w:t xml:space="preserve">n </w:t>
      </w:r>
      <w:r w:rsidRPr="007C0775">
        <w:rPr>
          <w:rFonts w:cs="Calibri"/>
          <w:sz w:val="20"/>
          <w:szCs w:val="20"/>
        </w:rPr>
        <w:t xml:space="preserve">significant afhankelijk is van de bron. Het maakt dus niet uit of je een manager of een medewerker </w:t>
      </w:r>
      <w:r w:rsidR="005C1117">
        <w:rPr>
          <w:rFonts w:cs="Calibri"/>
          <w:sz w:val="20"/>
          <w:szCs w:val="20"/>
        </w:rPr>
        <w:t xml:space="preserve">bent </w:t>
      </w:r>
      <w:r w:rsidRPr="007C0775">
        <w:rPr>
          <w:rFonts w:cs="Calibri"/>
          <w:sz w:val="20"/>
          <w:szCs w:val="20"/>
        </w:rPr>
        <w:t>als het gaat om overtuigingskracht, aantrekkelijkheid, geloofwaardigheid en de kwaliteit van het gebruikte argument.</w:t>
      </w:r>
      <w:r>
        <w:rPr>
          <w:rFonts w:cs="Calibri"/>
          <w:sz w:val="20"/>
          <w:szCs w:val="20"/>
        </w:rPr>
        <w:t xml:space="preserve"> Wat voor dit onderzoek voornamelijk van belang is, is de mate waarin men overtuigd is. Er is nu gebleken dat er geen verschil is tussen de overtuigingskracht van statistische evidentie en van anekdotische evidentie. Ook is er uit de reeds besproken resultaten gebleken dat de bron geen invloed heeft op de overtuigingskracht. Wat nog wel nagegaan kan worden, is in hoeverre de bron van invloed is op de overtuigingskracht van statistische evidentie en van anekdotische evidentie. </w:t>
      </w:r>
      <w:r>
        <w:rPr>
          <w:sz w:val="20"/>
          <w:szCs w:val="20"/>
        </w:rPr>
        <w:t xml:space="preserve">Allereerst zal gekeken worden of de bron in zijn geheel invloed heeft op de overtuigingskracht van het </w:t>
      </w:r>
      <w:r w:rsidR="00481475">
        <w:rPr>
          <w:sz w:val="20"/>
          <w:szCs w:val="20"/>
        </w:rPr>
        <w:t>type</w:t>
      </w:r>
      <w:r>
        <w:rPr>
          <w:sz w:val="20"/>
          <w:szCs w:val="20"/>
        </w:rPr>
        <w:t xml:space="preserve"> evidentie. </w:t>
      </w:r>
      <w:r w:rsidR="005C1117">
        <w:rPr>
          <w:sz w:val="20"/>
          <w:szCs w:val="20"/>
        </w:rPr>
        <w:t>Vervolgens</w:t>
      </w:r>
      <w:r>
        <w:rPr>
          <w:sz w:val="20"/>
          <w:szCs w:val="20"/>
        </w:rPr>
        <w:t xml:space="preserve"> zal de bron worden opgesplitst in geloofwaardigheid en aantrekkelijkheid, om te kijken of deze factoren eventueel los van elkaar de overtuigingskracht van het standpunt beïnvloeden. In dit onderzoek is de objectiviteit van de bron gemanipuleerd (en daarmee dus de geloofwaardigheid). Echter, het kan zo zijn dat de aantrekkelijkheid van de bron ook invloed heeft op de overtuigingskracht. Vandaar dat de aantrekkelijkheid niet buiten beschouwing gelaten kan worden.</w:t>
      </w:r>
    </w:p>
    <w:p w:rsidR="00BB199B" w:rsidRDefault="00BB199B" w:rsidP="00BB199B">
      <w:pPr>
        <w:pStyle w:val="Kop3"/>
      </w:pPr>
      <w:bookmarkStart w:id="20" w:name="_Toc346802187"/>
      <w:r>
        <w:t>4.4</w:t>
      </w:r>
      <w:r>
        <w:tab/>
        <w:t>Invloed van de bron op de overtuigingskracht</w:t>
      </w:r>
      <w:bookmarkEnd w:id="20"/>
    </w:p>
    <w:p w:rsidR="00BB199B" w:rsidRDefault="00BB199B" w:rsidP="00BB199B">
      <w:pPr>
        <w:rPr>
          <w:sz w:val="20"/>
          <w:szCs w:val="20"/>
        </w:rPr>
      </w:pPr>
      <w:r>
        <w:rPr>
          <w:sz w:val="20"/>
          <w:szCs w:val="20"/>
        </w:rPr>
        <w:t>Allereerst zal er gekeken worden naar de rol van de bron op het standpunt van statistische evidentie en van anekdotische evidentie. De bron is nu dus nog niet opgesplitst in aantrekkelijkheid van de bron en geloofwaardigheid van de bron.</w:t>
      </w:r>
    </w:p>
    <w:p w:rsidR="00BB199B" w:rsidRDefault="00BB199B" w:rsidP="00BB199B">
      <w:pPr>
        <w:rPr>
          <w:sz w:val="20"/>
          <w:szCs w:val="20"/>
        </w:rPr>
      </w:pPr>
      <w:r>
        <w:rPr>
          <w:sz w:val="20"/>
          <w:szCs w:val="20"/>
        </w:rPr>
        <w:t>In grafiek 1 zijn de gemiddelden van de aantrekkelijkheid van de bron en de geloofwaardigheid van de bron samengenomen tot ‘algemeen oordeel bron’ (x-as). Deze staan uitgezet tegenover de overtuigingskracht (y-as), zodat de relatie zichtbaar wordt.</w:t>
      </w:r>
    </w:p>
    <w:p w:rsidR="00870554" w:rsidRDefault="00870554" w:rsidP="00BB199B">
      <w:pPr>
        <w:rPr>
          <w:sz w:val="20"/>
          <w:szCs w:val="20"/>
        </w:rPr>
      </w:pPr>
    </w:p>
    <w:p w:rsidR="00F17F05" w:rsidRDefault="00F17F05" w:rsidP="00BB199B">
      <w:pPr>
        <w:rPr>
          <w:sz w:val="20"/>
          <w:szCs w:val="20"/>
        </w:rPr>
      </w:pPr>
    </w:p>
    <w:p w:rsidR="00F17F05" w:rsidRDefault="00F17F05" w:rsidP="00BB199B">
      <w:pPr>
        <w:rPr>
          <w:sz w:val="20"/>
          <w:szCs w:val="20"/>
        </w:rPr>
      </w:pPr>
    </w:p>
    <w:p w:rsidR="0022416C" w:rsidRDefault="0022416C" w:rsidP="00BB199B">
      <w:pPr>
        <w:rPr>
          <w:sz w:val="20"/>
          <w:szCs w:val="20"/>
        </w:rPr>
      </w:pPr>
    </w:p>
    <w:p w:rsidR="00BB199B" w:rsidRDefault="00BB199B" w:rsidP="00BB199B">
      <w:pPr>
        <w:rPr>
          <w:sz w:val="20"/>
          <w:szCs w:val="20"/>
        </w:rPr>
      </w:pPr>
    </w:p>
    <w:p w:rsidR="00BB199B" w:rsidRDefault="00D47B79" w:rsidP="00BB199B">
      <w:pPr>
        <w:rPr>
          <w:sz w:val="20"/>
          <w:szCs w:val="20"/>
        </w:rPr>
      </w:pPr>
      <w:r>
        <w:rPr>
          <w:noProof/>
          <w:sz w:val="20"/>
          <w:szCs w:val="20"/>
          <w:lang w:eastAsia="nl-NL"/>
        </w:rPr>
        <w:drawing>
          <wp:anchor distT="0" distB="0" distL="114300" distR="114300" simplePos="0" relativeHeight="251673600" behindDoc="1" locked="0" layoutInCell="1" allowOverlap="1">
            <wp:simplePos x="0" y="0"/>
            <wp:positionH relativeFrom="column">
              <wp:posOffset>1252855</wp:posOffset>
            </wp:positionH>
            <wp:positionV relativeFrom="paragraph">
              <wp:posOffset>-282575</wp:posOffset>
            </wp:positionV>
            <wp:extent cx="3371850" cy="2733675"/>
            <wp:effectExtent l="0" t="0" r="0" b="0"/>
            <wp:wrapNone/>
            <wp:docPr id="4" name="Afbeelding 3" descr="grafie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11.jpg"/>
                    <pic:cNvPicPr/>
                  </pic:nvPicPr>
                  <pic:blipFill>
                    <a:blip r:embed="rId10" cstate="print"/>
                    <a:stretch>
                      <a:fillRect/>
                    </a:stretch>
                  </pic:blipFill>
                  <pic:spPr>
                    <a:xfrm>
                      <a:off x="0" y="0"/>
                      <a:ext cx="3371850" cy="2733675"/>
                    </a:xfrm>
                    <a:prstGeom prst="rect">
                      <a:avLst/>
                    </a:prstGeom>
                  </pic:spPr>
                </pic:pic>
              </a:graphicData>
            </a:graphic>
          </wp:anchor>
        </w:drawing>
      </w: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D47B79" w:rsidRDefault="00836C71" w:rsidP="00BB199B">
      <w:pPr>
        <w:rPr>
          <w:sz w:val="20"/>
          <w:szCs w:val="20"/>
        </w:rPr>
      </w:pPr>
      <w:r w:rsidRPr="00836C71">
        <w:rPr>
          <w:noProof/>
        </w:rPr>
        <w:pict>
          <v:shapetype id="_x0000_t202" coordsize="21600,21600" o:spt="202" path="m,l,21600r21600,l21600,xe">
            <v:stroke joinstyle="miter"/>
            <v:path gradientshapeok="t" o:connecttype="rect"/>
          </v:shapetype>
          <v:shape id="_x0000_s1049" type="#_x0000_t202" style="position:absolute;margin-left:63.4pt;margin-top:23.2pt;width:381pt;height:15.4pt;z-index:251674624" stroked="f">
            <v:textbox style="mso-next-textbox:#_x0000_s1049" inset="0,0,0,0">
              <w:txbxContent>
                <w:p w:rsidR="00B31BC1" w:rsidRPr="003C2967" w:rsidRDefault="00B31BC1" w:rsidP="00BB199B">
                  <w:pPr>
                    <w:pStyle w:val="Bijschrift"/>
                    <w:rPr>
                      <w:i/>
                      <w:noProof/>
                      <w:sz w:val="20"/>
                      <w:szCs w:val="20"/>
                    </w:rPr>
                  </w:pPr>
                  <w:r w:rsidRPr="003C2967">
                    <w:rPr>
                      <w:i/>
                    </w:rPr>
                    <w:t>Grafiek 1: Rol van bron op het standpunt van anekdotische en statistische evidentie</w:t>
                  </w:r>
                </w:p>
              </w:txbxContent>
            </v:textbox>
          </v:shape>
        </w:pict>
      </w:r>
    </w:p>
    <w:p w:rsidR="00D47B79" w:rsidRDefault="00D47B79" w:rsidP="00BB199B">
      <w:pPr>
        <w:rPr>
          <w:sz w:val="20"/>
          <w:szCs w:val="20"/>
        </w:rPr>
      </w:pPr>
    </w:p>
    <w:p w:rsidR="00BB199B" w:rsidRPr="00CC3919" w:rsidRDefault="00BB199B" w:rsidP="00BB199B">
      <w:pPr>
        <w:rPr>
          <w:sz w:val="20"/>
          <w:szCs w:val="20"/>
        </w:rPr>
      </w:pPr>
      <w:r>
        <w:rPr>
          <w:sz w:val="20"/>
          <w:szCs w:val="20"/>
        </w:rPr>
        <w:t xml:space="preserve">In grafiek 1 is te zien dat de statistische evidentie overtuigender is dan de anekdotische evidentie als de proefpersonen de bron in het algemeen minder goed beoordelen. Bij positiever beoordeelde bronnen is de anekdotische evidentie overtuigender. Het lijkt dus alsof de anekdotische evidentie afhankelijker is van de bron bij het beoordelen van het standpunt dan de statistische evidentie, aangezien de lijn van de anekdotische evidentie schuiner loopt in de grafiek. Echter, dit verschil lijkt minimaal te zijn. </w:t>
      </w:r>
      <w:r w:rsidRPr="00797B5B">
        <w:rPr>
          <w:sz w:val="20"/>
          <w:szCs w:val="20"/>
        </w:rPr>
        <w:t xml:space="preserve">Dit blijkt ook uit de </w:t>
      </w:r>
      <w:proofErr w:type="spellStart"/>
      <w:r w:rsidRPr="00797B5B">
        <w:rPr>
          <w:sz w:val="20"/>
          <w:szCs w:val="20"/>
        </w:rPr>
        <w:t>variantie-analyse</w:t>
      </w:r>
      <w:proofErr w:type="spellEnd"/>
      <w:r>
        <w:rPr>
          <w:sz w:val="20"/>
          <w:szCs w:val="20"/>
        </w:rPr>
        <w:t xml:space="preserve">, er is geen significant interactie-effect </w:t>
      </w:r>
      <w:r w:rsidRPr="00797B5B">
        <w:rPr>
          <w:sz w:val="20"/>
          <w:szCs w:val="20"/>
        </w:rPr>
        <w:t>(F(1,100)=.15; p=.70</w:t>
      </w:r>
      <w:r>
        <w:rPr>
          <w:sz w:val="20"/>
          <w:szCs w:val="20"/>
        </w:rPr>
        <w:t>)</w:t>
      </w:r>
      <w:r w:rsidRPr="00797B5B">
        <w:rPr>
          <w:sz w:val="20"/>
          <w:szCs w:val="20"/>
        </w:rPr>
        <w:t xml:space="preserve">. </w:t>
      </w:r>
      <w:r>
        <w:rPr>
          <w:sz w:val="20"/>
          <w:szCs w:val="20"/>
        </w:rPr>
        <w:t xml:space="preserve">Er is bovendien geen significant verschil tussen de statistische evidentie en de anekdotische evidentie als het gaat om overtuigingskracht </w:t>
      </w:r>
      <w:r w:rsidRPr="00797B5B">
        <w:rPr>
          <w:sz w:val="20"/>
          <w:szCs w:val="20"/>
        </w:rPr>
        <w:t>(F(1,100)=.10; p=.75</w:t>
      </w:r>
      <w:r>
        <w:rPr>
          <w:sz w:val="20"/>
          <w:szCs w:val="20"/>
        </w:rPr>
        <w:t>)</w:t>
      </w:r>
      <w:r w:rsidRPr="00797B5B">
        <w:rPr>
          <w:sz w:val="20"/>
          <w:szCs w:val="20"/>
        </w:rPr>
        <w:t xml:space="preserve">. </w:t>
      </w:r>
      <w:r>
        <w:rPr>
          <w:sz w:val="20"/>
          <w:szCs w:val="20"/>
        </w:rPr>
        <w:t xml:space="preserve"> In grafiek 1 lijkt er wel een verband te bestaan tussen de overtuigingskracht en de gemiddelde beoordeling van de bron. Dit hoofdeffect blijkt er ook te zijn (F(1,100)=58.99; p&lt;.001). Dit houdt in dat als het oordeel  over de bron in het algemeen niet positief is, de overtuigingskracht van het standpunt ook niet positief wordt beoordeeld. </w:t>
      </w:r>
    </w:p>
    <w:p w:rsidR="00BB199B" w:rsidRDefault="00BB199B" w:rsidP="00BB199B">
      <w:pPr>
        <w:rPr>
          <w:sz w:val="20"/>
          <w:szCs w:val="20"/>
        </w:rPr>
      </w:pPr>
      <w:r>
        <w:rPr>
          <w:sz w:val="20"/>
          <w:szCs w:val="20"/>
        </w:rPr>
        <w:t xml:space="preserve">Om te onderzoeken of de aantrekkelijkheid van de bron en de geloofwaardigheid van de bron, individueel gezien, de overtuigingskracht ook beïnvloeden en om te kijken op welke manier ze dat doen, zijn er nog twee grafieken gemaakt. In deze grafieken is gebruik gemaakt van de vragenclusters van geloofwaardigheid en aantrekkelijkheid zoals ze in hoofdstuk 3 staan beschreven.  </w:t>
      </w:r>
    </w:p>
    <w:p w:rsidR="00BB199B" w:rsidRDefault="00BB199B" w:rsidP="00BB199B">
      <w:pPr>
        <w:rPr>
          <w:sz w:val="20"/>
          <w:szCs w:val="20"/>
        </w:rPr>
      </w:pPr>
      <w:r>
        <w:rPr>
          <w:noProof/>
          <w:sz w:val="20"/>
          <w:szCs w:val="20"/>
          <w:lang w:eastAsia="nl-NL"/>
        </w:rPr>
        <w:drawing>
          <wp:anchor distT="0" distB="0" distL="114300" distR="114300" simplePos="0" relativeHeight="251671552" behindDoc="1" locked="0" layoutInCell="1" allowOverlap="1">
            <wp:simplePos x="0" y="0"/>
            <wp:positionH relativeFrom="margin">
              <wp:posOffset>1310005</wp:posOffset>
            </wp:positionH>
            <wp:positionV relativeFrom="margin">
              <wp:posOffset>6253480</wp:posOffset>
            </wp:positionV>
            <wp:extent cx="3314700" cy="2676525"/>
            <wp:effectExtent l="0" t="0" r="0" b="0"/>
            <wp:wrapNone/>
            <wp:docPr id="2" name="Afbeelding 1" descr="scatter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jpg"/>
                    <pic:cNvPicPr/>
                  </pic:nvPicPr>
                  <pic:blipFill>
                    <a:blip r:embed="rId11" cstate="print"/>
                    <a:stretch>
                      <a:fillRect/>
                    </a:stretch>
                  </pic:blipFill>
                  <pic:spPr>
                    <a:xfrm>
                      <a:off x="0" y="0"/>
                      <a:ext cx="3314700" cy="2676525"/>
                    </a:xfrm>
                    <a:prstGeom prst="rect">
                      <a:avLst/>
                    </a:prstGeom>
                  </pic:spPr>
                </pic:pic>
              </a:graphicData>
            </a:graphic>
          </wp:anchor>
        </w:drawing>
      </w:r>
      <w:r>
        <w:rPr>
          <w:sz w:val="20"/>
          <w:szCs w:val="20"/>
        </w:rPr>
        <w:t xml:space="preserve">In grafiek 2 is de relatie tussen geloofwaardigheid van de bron en overtuigingskracht van de bron te zien. </w:t>
      </w: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836C71" w:rsidP="00BB199B">
      <w:pPr>
        <w:rPr>
          <w:sz w:val="20"/>
          <w:szCs w:val="20"/>
        </w:rPr>
      </w:pPr>
      <w:r w:rsidRPr="00836C71">
        <w:rPr>
          <w:noProof/>
        </w:rPr>
        <w:pict>
          <v:shape id="_x0000_s1048" type="#_x0000_t202" style="position:absolute;margin-left:19.15pt;margin-top:18.9pt;width:484.5pt;height:17.25pt;z-index:251672576" stroked="f">
            <v:textbox style="mso-next-textbox:#_x0000_s1048" inset="0,0,0,0">
              <w:txbxContent>
                <w:p w:rsidR="00B31BC1" w:rsidRPr="00C64A0D" w:rsidRDefault="00B31BC1" w:rsidP="00BB199B">
                  <w:pPr>
                    <w:pStyle w:val="Bijschrift"/>
                    <w:rPr>
                      <w:i/>
                      <w:sz w:val="20"/>
                      <w:szCs w:val="20"/>
                    </w:rPr>
                  </w:pPr>
                  <w:r w:rsidRPr="00C64A0D">
                    <w:rPr>
                      <w:i/>
                    </w:rPr>
                    <w:t xml:space="preserve">Grafiek </w:t>
                  </w:r>
                  <w:r>
                    <w:rPr>
                      <w:i/>
                    </w:rPr>
                    <w:t>2</w:t>
                  </w:r>
                  <w:r w:rsidRPr="00C64A0D">
                    <w:rPr>
                      <w:i/>
                    </w:rPr>
                    <w:t>: Rol van geloofwaardigheid van de bron op het standpunt van anekdotische en statistische evidentie</w:t>
                  </w:r>
                </w:p>
              </w:txbxContent>
            </v:textbox>
          </v:shape>
        </w:pict>
      </w:r>
    </w:p>
    <w:p w:rsidR="00BB199B" w:rsidRDefault="00BB199B" w:rsidP="00BB199B">
      <w:pPr>
        <w:rPr>
          <w:sz w:val="20"/>
          <w:szCs w:val="20"/>
        </w:rPr>
      </w:pPr>
    </w:p>
    <w:p w:rsidR="00BB199B" w:rsidRDefault="00BB199B" w:rsidP="00BB199B">
      <w:pPr>
        <w:rPr>
          <w:sz w:val="20"/>
          <w:szCs w:val="20"/>
        </w:rPr>
      </w:pPr>
      <w:r>
        <w:rPr>
          <w:sz w:val="20"/>
          <w:szCs w:val="20"/>
        </w:rPr>
        <w:lastRenderedPageBreak/>
        <w:t xml:space="preserve">In grafiek 2 is te zien dat de geloofwaardigheid van de bron vermoedelijk geen invloed heeft op de overtuigingskracht van het </w:t>
      </w:r>
      <w:r w:rsidR="00481475">
        <w:rPr>
          <w:sz w:val="20"/>
          <w:szCs w:val="20"/>
        </w:rPr>
        <w:t>type</w:t>
      </w:r>
      <w:r>
        <w:rPr>
          <w:sz w:val="20"/>
          <w:szCs w:val="20"/>
        </w:rPr>
        <w:t xml:space="preserve"> evidentie. De lijnen lopen vrijwel parallel, beide vormen van evidentie zijn dus in dezelfde mate afhankelijk van de geloofwaardigheid van de bron. Dit blijkt ook uit de </w:t>
      </w:r>
      <w:proofErr w:type="spellStart"/>
      <w:r>
        <w:rPr>
          <w:sz w:val="20"/>
          <w:szCs w:val="20"/>
        </w:rPr>
        <w:t>variantie-analyse</w:t>
      </w:r>
      <w:proofErr w:type="spellEnd"/>
      <w:r>
        <w:rPr>
          <w:sz w:val="20"/>
          <w:szCs w:val="20"/>
        </w:rPr>
        <w:t xml:space="preserve">, er is namelijk geen significant verschil tussen de statistische evidentie en de anekdotische evidentie (F(1,100)=.05; p=83).  Er is wel te zien dat geloofwaardigheid waarschijnlijk een invloed heeft op de overtuigingskracht in het algemeen (F(1,100)=41,71; p&lt;.001; </w:t>
      </w:r>
      <w:proofErr w:type="spellStart"/>
      <w:r w:rsidRPr="00077AEF">
        <w:rPr>
          <w:sz w:val="20"/>
          <w:szCs w:val="20"/>
        </w:rPr>
        <w:t>ηp</w:t>
      </w:r>
      <w:proofErr w:type="spellEnd"/>
      <w:r>
        <w:rPr>
          <w:sz w:val="20"/>
          <w:szCs w:val="20"/>
        </w:rPr>
        <w:t>=.29). Er is geen interactie-effect tussen geloofwaardigheid en evidentie gevonden, wat oo</w:t>
      </w:r>
      <w:r w:rsidR="000D51BE">
        <w:rPr>
          <w:sz w:val="20"/>
          <w:szCs w:val="20"/>
        </w:rPr>
        <w:t>k te verwachten was aan de hand</w:t>
      </w:r>
      <w:r>
        <w:rPr>
          <w:sz w:val="20"/>
          <w:szCs w:val="20"/>
        </w:rPr>
        <w:t xml:space="preserve"> van grafiek 2 (F(1,100)=.02; p=.90). Hieruit blijkt dat anekdotische evidentie en statistische evidentie in gelijke mate afhankelijk zijn van de geloofwaardigheid van de bron als het gaat om overtuigingskracht.</w:t>
      </w:r>
    </w:p>
    <w:p w:rsidR="00BB199B" w:rsidRDefault="00BB199B" w:rsidP="00BB199B">
      <w:pPr>
        <w:rPr>
          <w:sz w:val="20"/>
          <w:szCs w:val="20"/>
        </w:rPr>
      </w:pPr>
      <w:r>
        <w:rPr>
          <w:noProof/>
          <w:sz w:val="20"/>
          <w:szCs w:val="20"/>
          <w:lang w:eastAsia="nl-NL"/>
        </w:rPr>
        <w:drawing>
          <wp:anchor distT="0" distB="0" distL="114300" distR="114300" simplePos="0" relativeHeight="251675648" behindDoc="1" locked="0" layoutInCell="1" allowOverlap="1">
            <wp:simplePos x="0" y="0"/>
            <wp:positionH relativeFrom="column">
              <wp:posOffset>957580</wp:posOffset>
            </wp:positionH>
            <wp:positionV relativeFrom="paragraph">
              <wp:posOffset>210820</wp:posOffset>
            </wp:positionV>
            <wp:extent cx="3876675" cy="3200400"/>
            <wp:effectExtent l="19050" t="0" r="9525" b="0"/>
            <wp:wrapNone/>
            <wp:docPr id="1" name="Afbeelding 0" descr="scatterplot3go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3goeed.jpg"/>
                    <pic:cNvPicPr/>
                  </pic:nvPicPr>
                  <pic:blipFill>
                    <a:blip r:embed="rId12" cstate="print"/>
                    <a:stretch>
                      <a:fillRect/>
                    </a:stretch>
                  </pic:blipFill>
                  <pic:spPr>
                    <a:xfrm>
                      <a:off x="0" y="0"/>
                      <a:ext cx="3876675" cy="3200400"/>
                    </a:xfrm>
                    <a:prstGeom prst="rect">
                      <a:avLst/>
                    </a:prstGeom>
                  </pic:spPr>
                </pic:pic>
              </a:graphicData>
            </a:graphic>
          </wp:anchor>
        </w:drawing>
      </w:r>
      <w:r>
        <w:rPr>
          <w:sz w:val="20"/>
          <w:szCs w:val="20"/>
        </w:rPr>
        <w:t>Tot slot is in grafiek 3 de relatie tussen</w:t>
      </w:r>
      <w:r w:rsidR="00895A20">
        <w:rPr>
          <w:sz w:val="20"/>
          <w:szCs w:val="20"/>
        </w:rPr>
        <w:t xml:space="preserve"> de</w:t>
      </w:r>
      <w:r>
        <w:rPr>
          <w:sz w:val="20"/>
          <w:szCs w:val="20"/>
        </w:rPr>
        <w:t xml:space="preserve"> aantrekkelijkheid van de bron en </w:t>
      </w:r>
      <w:r w:rsidR="00895A20">
        <w:rPr>
          <w:sz w:val="20"/>
          <w:szCs w:val="20"/>
        </w:rPr>
        <w:t xml:space="preserve">de </w:t>
      </w:r>
      <w:r>
        <w:rPr>
          <w:sz w:val="20"/>
          <w:szCs w:val="20"/>
        </w:rPr>
        <w:t xml:space="preserve">overtuigingskracht van de bron te zien. </w:t>
      </w: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Default="00836C71" w:rsidP="00BB199B">
      <w:pPr>
        <w:rPr>
          <w:sz w:val="20"/>
          <w:szCs w:val="20"/>
        </w:rPr>
      </w:pPr>
      <w:r w:rsidRPr="00836C71">
        <w:rPr>
          <w:noProof/>
        </w:rPr>
        <w:pict>
          <v:shape id="_x0000_s1050" type="#_x0000_t202" style="position:absolute;margin-left:15.4pt;margin-top:70.2pt;width:448.5pt;height:15pt;z-index:251676672" stroked="f">
            <v:textbox style="mso-next-textbox:#_x0000_s1050" inset="0,0,0,0">
              <w:txbxContent>
                <w:p w:rsidR="00B31BC1" w:rsidRPr="0042673F" w:rsidRDefault="00B31BC1" w:rsidP="00BB199B">
                  <w:pPr>
                    <w:pStyle w:val="Bijschrift"/>
                    <w:rPr>
                      <w:i/>
                      <w:noProof/>
                      <w:sz w:val="20"/>
                      <w:szCs w:val="20"/>
                    </w:rPr>
                  </w:pPr>
                  <w:r w:rsidRPr="0042673F">
                    <w:rPr>
                      <w:i/>
                    </w:rPr>
                    <w:t>Graf</w:t>
                  </w:r>
                  <w:r>
                    <w:rPr>
                      <w:i/>
                    </w:rPr>
                    <w:t>iek 3</w:t>
                  </w:r>
                  <w:r w:rsidRPr="0042673F">
                    <w:rPr>
                      <w:i/>
                    </w:rPr>
                    <w:t>: Rol van aantrekkelijkheid van de bron op het standpunt van anekdotische en statistische evidentie</w:t>
                  </w:r>
                </w:p>
              </w:txbxContent>
            </v:textbox>
          </v:shape>
        </w:pict>
      </w:r>
    </w:p>
    <w:p w:rsidR="00BB199B" w:rsidRDefault="00BB199B" w:rsidP="00BB199B">
      <w:pPr>
        <w:rPr>
          <w:sz w:val="20"/>
          <w:szCs w:val="20"/>
        </w:rPr>
      </w:pPr>
    </w:p>
    <w:p w:rsidR="00BB199B" w:rsidRDefault="00BB199B" w:rsidP="00BB199B">
      <w:pPr>
        <w:rPr>
          <w:sz w:val="20"/>
          <w:szCs w:val="20"/>
        </w:rPr>
      </w:pPr>
    </w:p>
    <w:p w:rsidR="00BB199B" w:rsidRDefault="00BB199B" w:rsidP="00BB199B">
      <w:pPr>
        <w:rPr>
          <w:sz w:val="20"/>
          <w:szCs w:val="20"/>
        </w:rPr>
      </w:pPr>
    </w:p>
    <w:p w:rsidR="00BB199B" w:rsidRPr="00070FB2" w:rsidRDefault="00BB199B" w:rsidP="00BB199B">
      <w:pPr>
        <w:rPr>
          <w:b/>
          <w:sz w:val="20"/>
          <w:szCs w:val="20"/>
        </w:rPr>
      </w:pPr>
      <w:r>
        <w:rPr>
          <w:sz w:val="20"/>
          <w:szCs w:val="20"/>
        </w:rPr>
        <w:t xml:space="preserve">In grafiek 3 is dus te zien dat de statistische evidentie overtuigender is dan de anekdotische evidentie als de proefpersonen de bron minder aantrekkelijk vinden. Bij aantrekkelijkere bronnen is de anekdotische evidentie overtuigender. Als dit </w:t>
      </w:r>
      <w:r w:rsidR="00892D20">
        <w:rPr>
          <w:sz w:val="20"/>
          <w:szCs w:val="20"/>
        </w:rPr>
        <w:t xml:space="preserve">verschil </w:t>
      </w:r>
      <w:r>
        <w:rPr>
          <w:sz w:val="20"/>
          <w:szCs w:val="20"/>
        </w:rPr>
        <w:t xml:space="preserve">significant zou zijn, zou dit betekenen dat de anekdotische evidentie </w:t>
      </w:r>
      <w:r w:rsidR="00892D20">
        <w:rPr>
          <w:sz w:val="20"/>
          <w:szCs w:val="20"/>
        </w:rPr>
        <w:t>in meerdere mate afhankelijk</w:t>
      </w:r>
      <w:r>
        <w:rPr>
          <w:sz w:val="20"/>
          <w:szCs w:val="20"/>
        </w:rPr>
        <w:t xml:space="preserve"> is van de bron bij het beoordelen van het standpunt dan de statistische evidentie. Echter, in grafiek 3 is al te zien dat dit verschil minimaal is. Dat blijkt ook uit de </w:t>
      </w:r>
      <w:r w:rsidRPr="00B97190">
        <w:rPr>
          <w:sz w:val="20"/>
          <w:szCs w:val="20"/>
        </w:rPr>
        <w:t xml:space="preserve">uitgevoerde </w:t>
      </w:r>
      <w:proofErr w:type="spellStart"/>
      <w:r w:rsidRPr="00B97190">
        <w:rPr>
          <w:sz w:val="20"/>
          <w:szCs w:val="20"/>
        </w:rPr>
        <w:t>variantie-analyse</w:t>
      </w:r>
      <w:proofErr w:type="spellEnd"/>
      <w:r w:rsidRPr="00B97190">
        <w:rPr>
          <w:sz w:val="20"/>
          <w:szCs w:val="20"/>
        </w:rPr>
        <w:t xml:space="preserve"> (F(1,100)=.09; p=.77). De overtuigingskracht van anekdotische evidentie is in even grote mate afhankelijk van de aantrekkelijkheid van de bron als de overtuigingskracht van de statistische evidentie.</w:t>
      </w:r>
      <w:r>
        <w:rPr>
          <w:b/>
          <w:sz w:val="20"/>
          <w:szCs w:val="20"/>
        </w:rPr>
        <w:t xml:space="preserve"> </w:t>
      </w:r>
      <w:r>
        <w:rPr>
          <w:sz w:val="20"/>
          <w:szCs w:val="20"/>
        </w:rPr>
        <w:t>Er is wel te zien dat aantrekkelijkheid invloed</w:t>
      </w:r>
      <w:r w:rsidR="00707D83">
        <w:rPr>
          <w:sz w:val="20"/>
          <w:szCs w:val="20"/>
        </w:rPr>
        <w:t xml:space="preserve"> uitoefent</w:t>
      </w:r>
      <w:r>
        <w:rPr>
          <w:sz w:val="20"/>
          <w:szCs w:val="20"/>
        </w:rPr>
        <w:t xml:space="preserve"> op de overtuigingskracht in het algemeen (F(1,100)=58.16; p&lt;.001; </w:t>
      </w:r>
      <w:proofErr w:type="spellStart"/>
      <w:r w:rsidRPr="00077AEF">
        <w:rPr>
          <w:sz w:val="20"/>
          <w:szCs w:val="20"/>
        </w:rPr>
        <w:t>ηp</w:t>
      </w:r>
      <w:proofErr w:type="spellEnd"/>
      <w:r>
        <w:rPr>
          <w:sz w:val="20"/>
          <w:szCs w:val="20"/>
        </w:rPr>
        <w:t>=.37), maar bij de statistische evidentie of anekdotische evidentie was hier geen sprake van (F(1,100)=.09; p=.76).</w:t>
      </w:r>
    </w:p>
    <w:p w:rsidR="00BB199B" w:rsidRPr="00E46F3A" w:rsidRDefault="00BB199B" w:rsidP="00BB199B">
      <w:pPr>
        <w:rPr>
          <w:sz w:val="20"/>
          <w:szCs w:val="20"/>
        </w:rPr>
      </w:pPr>
      <w:r>
        <w:rPr>
          <w:sz w:val="20"/>
          <w:szCs w:val="20"/>
        </w:rPr>
        <w:t>Uit de reeds besproken resultaten blijkt dat hypothese 1 verworpen moet worden. Statistische evidentie blijkt in geen enkel geval overtuigender dan anekdotische evidentie.</w:t>
      </w:r>
    </w:p>
    <w:p w:rsidR="00BB199B" w:rsidRDefault="00BB199B" w:rsidP="00BB199B">
      <w:pPr>
        <w:pStyle w:val="Kop3"/>
      </w:pPr>
      <w:bookmarkStart w:id="21" w:name="_Toc346802188"/>
      <w:r>
        <w:t>4.5</w:t>
      </w:r>
      <w:r>
        <w:tab/>
        <w:t>Voorspeller overtuigingskracht</w:t>
      </w:r>
      <w:bookmarkEnd w:id="21"/>
    </w:p>
    <w:p w:rsidR="00BB199B" w:rsidRDefault="00BB199B" w:rsidP="00BB199B">
      <w:pPr>
        <w:jc w:val="both"/>
        <w:rPr>
          <w:sz w:val="20"/>
          <w:szCs w:val="20"/>
        </w:rPr>
      </w:pPr>
      <w:r>
        <w:rPr>
          <w:sz w:val="20"/>
          <w:szCs w:val="20"/>
        </w:rPr>
        <w:t xml:space="preserve">De tweede hypothese van dit onderzoek luidde: </w:t>
      </w:r>
      <w:r w:rsidRPr="00660050">
        <w:rPr>
          <w:sz w:val="20"/>
          <w:szCs w:val="20"/>
        </w:rPr>
        <w:t>Geloofwaardigheid van de bron is een voorspeller voor overtuigingskracht</w:t>
      </w:r>
      <w:r>
        <w:rPr>
          <w:sz w:val="20"/>
          <w:szCs w:val="20"/>
        </w:rPr>
        <w:t>.</w:t>
      </w:r>
      <w:r>
        <w:rPr>
          <w:i/>
          <w:sz w:val="20"/>
          <w:szCs w:val="20"/>
        </w:rPr>
        <w:t xml:space="preserve"> </w:t>
      </w:r>
      <w:r>
        <w:rPr>
          <w:sz w:val="20"/>
          <w:szCs w:val="20"/>
        </w:rPr>
        <w:t xml:space="preserve">Om dit te onderzoeken is een </w:t>
      </w:r>
      <w:proofErr w:type="spellStart"/>
      <w:r>
        <w:rPr>
          <w:sz w:val="20"/>
          <w:szCs w:val="20"/>
        </w:rPr>
        <w:t>regressie-analyse</w:t>
      </w:r>
      <w:proofErr w:type="spellEnd"/>
      <w:r>
        <w:rPr>
          <w:sz w:val="20"/>
          <w:szCs w:val="20"/>
        </w:rPr>
        <w:t xml:space="preserve"> uitgevoerd waarin een aantal onafhankelijke variabelen, namelijk</w:t>
      </w:r>
      <w:r w:rsidR="00707D83">
        <w:rPr>
          <w:sz w:val="20"/>
          <w:szCs w:val="20"/>
        </w:rPr>
        <w:t>:</w:t>
      </w:r>
      <w:r>
        <w:rPr>
          <w:sz w:val="20"/>
          <w:szCs w:val="20"/>
        </w:rPr>
        <w:t xml:space="preserve"> argument, evidentie en geloofwaardigheid, zijn getoetst op de mate waarin ze de overtuigingskracht voorspellen. De resultaten van deze </w:t>
      </w:r>
      <w:proofErr w:type="spellStart"/>
      <w:r>
        <w:rPr>
          <w:sz w:val="20"/>
          <w:szCs w:val="20"/>
        </w:rPr>
        <w:t>regressie-analyse</w:t>
      </w:r>
      <w:proofErr w:type="spellEnd"/>
      <w:r>
        <w:rPr>
          <w:sz w:val="20"/>
          <w:szCs w:val="20"/>
        </w:rPr>
        <w:t xml:space="preserve"> zijn te zien in tabel 6. </w:t>
      </w:r>
    </w:p>
    <w:p w:rsidR="001E14A1" w:rsidRDefault="001E14A1" w:rsidP="00BB199B">
      <w:pPr>
        <w:jc w:val="both"/>
        <w:rPr>
          <w:sz w:val="20"/>
          <w:szCs w:val="20"/>
        </w:rPr>
      </w:pPr>
    </w:p>
    <w:tbl>
      <w:tblPr>
        <w:tblStyle w:val="Lichtelijst1"/>
        <w:tblW w:w="0" w:type="auto"/>
        <w:tblLook w:val="04A0"/>
      </w:tblPr>
      <w:tblGrid>
        <w:gridCol w:w="2303"/>
        <w:gridCol w:w="2303"/>
        <w:gridCol w:w="2303"/>
        <w:gridCol w:w="2303"/>
      </w:tblGrid>
      <w:tr w:rsidR="00BB199B" w:rsidTr="008B53DD">
        <w:trPr>
          <w:cnfStyle w:val="100000000000"/>
        </w:trPr>
        <w:tc>
          <w:tcPr>
            <w:cnfStyle w:val="001000000000"/>
            <w:tcW w:w="2303" w:type="dxa"/>
          </w:tcPr>
          <w:p w:rsidR="00BB199B" w:rsidRPr="00EB3284" w:rsidRDefault="00BB199B" w:rsidP="008B53DD">
            <w:pPr>
              <w:rPr>
                <w:b w:val="0"/>
                <w:sz w:val="20"/>
                <w:szCs w:val="20"/>
              </w:rPr>
            </w:pPr>
            <w:r w:rsidRPr="00EB3284">
              <w:rPr>
                <w:b w:val="0"/>
                <w:sz w:val="20"/>
                <w:szCs w:val="20"/>
              </w:rPr>
              <w:lastRenderedPageBreak/>
              <w:t>Onafhankelijke variabelen</w:t>
            </w:r>
          </w:p>
        </w:tc>
        <w:tc>
          <w:tcPr>
            <w:tcW w:w="2303" w:type="dxa"/>
          </w:tcPr>
          <w:p w:rsidR="00BB199B" w:rsidRPr="00EB3284" w:rsidRDefault="00BB199B" w:rsidP="008B53DD">
            <w:pPr>
              <w:cnfStyle w:val="100000000000"/>
              <w:rPr>
                <w:b w:val="0"/>
                <w:sz w:val="20"/>
                <w:szCs w:val="20"/>
              </w:rPr>
            </w:pPr>
            <w:r>
              <w:rPr>
                <w:b w:val="0"/>
                <w:sz w:val="20"/>
                <w:szCs w:val="20"/>
              </w:rPr>
              <w:t>β-waarde</w:t>
            </w:r>
          </w:p>
        </w:tc>
        <w:tc>
          <w:tcPr>
            <w:tcW w:w="2303" w:type="dxa"/>
          </w:tcPr>
          <w:p w:rsidR="00BB199B" w:rsidRPr="00EB3284" w:rsidRDefault="00BB199B" w:rsidP="008B53DD">
            <w:pPr>
              <w:cnfStyle w:val="100000000000"/>
              <w:rPr>
                <w:b w:val="0"/>
                <w:sz w:val="20"/>
                <w:szCs w:val="20"/>
              </w:rPr>
            </w:pPr>
            <w:r w:rsidRPr="00EB3284">
              <w:rPr>
                <w:b w:val="0"/>
                <w:sz w:val="20"/>
                <w:szCs w:val="20"/>
              </w:rPr>
              <w:t>t-waarde</w:t>
            </w:r>
          </w:p>
        </w:tc>
        <w:tc>
          <w:tcPr>
            <w:tcW w:w="2303" w:type="dxa"/>
          </w:tcPr>
          <w:p w:rsidR="00BB199B" w:rsidRPr="00EB3284" w:rsidRDefault="00BB199B" w:rsidP="008B53DD">
            <w:pPr>
              <w:cnfStyle w:val="100000000000"/>
              <w:rPr>
                <w:b w:val="0"/>
                <w:sz w:val="20"/>
                <w:szCs w:val="20"/>
              </w:rPr>
            </w:pPr>
            <w:r w:rsidRPr="00EB3284">
              <w:rPr>
                <w:b w:val="0"/>
                <w:sz w:val="20"/>
                <w:szCs w:val="20"/>
              </w:rPr>
              <w:t>p-waarde</w:t>
            </w:r>
          </w:p>
        </w:tc>
      </w:tr>
      <w:tr w:rsidR="00BB199B" w:rsidTr="008B53DD">
        <w:trPr>
          <w:cnfStyle w:val="000000100000"/>
        </w:trPr>
        <w:tc>
          <w:tcPr>
            <w:cnfStyle w:val="001000000000"/>
            <w:tcW w:w="2303" w:type="dxa"/>
          </w:tcPr>
          <w:p w:rsidR="00BB199B" w:rsidRPr="00EB3284" w:rsidRDefault="00BB199B" w:rsidP="008B53DD">
            <w:pPr>
              <w:rPr>
                <w:b w:val="0"/>
                <w:sz w:val="20"/>
                <w:szCs w:val="20"/>
              </w:rPr>
            </w:pPr>
            <w:r w:rsidRPr="00EB3284">
              <w:rPr>
                <w:b w:val="0"/>
                <w:sz w:val="20"/>
                <w:szCs w:val="20"/>
              </w:rPr>
              <w:t>Argument</w:t>
            </w:r>
          </w:p>
        </w:tc>
        <w:tc>
          <w:tcPr>
            <w:tcW w:w="2303" w:type="dxa"/>
          </w:tcPr>
          <w:p w:rsidR="00BB199B" w:rsidRDefault="00BB199B" w:rsidP="008B53DD">
            <w:pPr>
              <w:cnfStyle w:val="000000100000"/>
              <w:rPr>
                <w:sz w:val="20"/>
                <w:szCs w:val="20"/>
              </w:rPr>
            </w:pPr>
            <w:r>
              <w:rPr>
                <w:sz w:val="20"/>
                <w:szCs w:val="20"/>
              </w:rPr>
              <w:t>.22</w:t>
            </w:r>
          </w:p>
        </w:tc>
        <w:tc>
          <w:tcPr>
            <w:tcW w:w="2303" w:type="dxa"/>
          </w:tcPr>
          <w:p w:rsidR="00BB199B" w:rsidRDefault="00BB199B" w:rsidP="008B53DD">
            <w:pPr>
              <w:cnfStyle w:val="000000100000"/>
              <w:rPr>
                <w:sz w:val="20"/>
                <w:szCs w:val="20"/>
              </w:rPr>
            </w:pPr>
            <w:r>
              <w:rPr>
                <w:sz w:val="20"/>
                <w:szCs w:val="20"/>
              </w:rPr>
              <w:t>1.25</w:t>
            </w:r>
          </w:p>
        </w:tc>
        <w:tc>
          <w:tcPr>
            <w:tcW w:w="2303" w:type="dxa"/>
          </w:tcPr>
          <w:p w:rsidR="00BB199B" w:rsidRPr="0015265B" w:rsidRDefault="00BB199B" w:rsidP="008B53DD">
            <w:pPr>
              <w:cnfStyle w:val="000000100000"/>
              <w:rPr>
                <w:sz w:val="20"/>
                <w:szCs w:val="20"/>
              </w:rPr>
            </w:pPr>
            <w:r w:rsidRPr="0015265B">
              <w:rPr>
                <w:sz w:val="20"/>
                <w:szCs w:val="20"/>
              </w:rPr>
              <w:t>.21</w:t>
            </w:r>
          </w:p>
        </w:tc>
      </w:tr>
      <w:tr w:rsidR="00BB199B" w:rsidTr="008B53DD">
        <w:tc>
          <w:tcPr>
            <w:cnfStyle w:val="001000000000"/>
            <w:tcW w:w="2303" w:type="dxa"/>
          </w:tcPr>
          <w:p w:rsidR="00BB199B" w:rsidRPr="00EB3284" w:rsidRDefault="00BB199B" w:rsidP="008B53DD">
            <w:pPr>
              <w:rPr>
                <w:b w:val="0"/>
                <w:sz w:val="20"/>
                <w:szCs w:val="20"/>
              </w:rPr>
            </w:pPr>
            <w:r w:rsidRPr="00EB3284">
              <w:rPr>
                <w:b w:val="0"/>
                <w:sz w:val="20"/>
                <w:szCs w:val="20"/>
              </w:rPr>
              <w:t>Evidentie</w:t>
            </w:r>
          </w:p>
        </w:tc>
        <w:tc>
          <w:tcPr>
            <w:tcW w:w="2303" w:type="dxa"/>
          </w:tcPr>
          <w:p w:rsidR="00BB199B" w:rsidRDefault="00BB199B" w:rsidP="008B53DD">
            <w:pPr>
              <w:cnfStyle w:val="000000000000"/>
              <w:rPr>
                <w:sz w:val="20"/>
                <w:szCs w:val="20"/>
              </w:rPr>
            </w:pPr>
            <w:r>
              <w:rPr>
                <w:sz w:val="20"/>
                <w:szCs w:val="20"/>
              </w:rPr>
              <w:t>.04</w:t>
            </w:r>
          </w:p>
        </w:tc>
        <w:tc>
          <w:tcPr>
            <w:tcW w:w="2303" w:type="dxa"/>
          </w:tcPr>
          <w:p w:rsidR="00BB199B" w:rsidRDefault="00BB199B" w:rsidP="008B53DD">
            <w:pPr>
              <w:cnfStyle w:val="000000000000"/>
              <w:rPr>
                <w:sz w:val="20"/>
                <w:szCs w:val="20"/>
              </w:rPr>
            </w:pPr>
            <w:r>
              <w:rPr>
                <w:sz w:val="20"/>
                <w:szCs w:val="20"/>
              </w:rPr>
              <w:t>.26</w:t>
            </w:r>
          </w:p>
        </w:tc>
        <w:tc>
          <w:tcPr>
            <w:tcW w:w="2303" w:type="dxa"/>
          </w:tcPr>
          <w:p w:rsidR="00BB199B" w:rsidRDefault="00BB199B" w:rsidP="008B53DD">
            <w:pPr>
              <w:cnfStyle w:val="000000000000"/>
              <w:rPr>
                <w:sz w:val="20"/>
                <w:szCs w:val="20"/>
              </w:rPr>
            </w:pPr>
            <w:r>
              <w:rPr>
                <w:sz w:val="20"/>
                <w:szCs w:val="20"/>
              </w:rPr>
              <w:t>.80</w:t>
            </w:r>
          </w:p>
        </w:tc>
      </w:tr>
      <w:tr w:rsidR="00BB199B" w:rsidTr="008B53DD">
        <w:trPr>
          <w:cnfStyle w:val="000000100000"/>
        </w:trPr>
        <w:tc>
          <w:tcPr>
            <w:cnfStyle w:val="001000000000"/>
            <w:tcW w:w="2303" w:type="dxa"/>
          </w:tcPr>
          <w:p w:rsidR="00BB199B" w:rsidRPr="00EB3284" w:rsidRDefault="00BB199B" w:rsidP="008B53DD">
            <w:pPr>
              <w:rPr>
                <w:b w:val="0"/>
                <w:sz w:val="20"/>
                <w:szCs w:val="20"/>
              </w:rPr>
            </w:pPr>
            <w:r w:rsidRPr="00EB3284">
              <w:rPr>
                <w:b w:val="0"/>
                <w:sz w:val="20"/>
                <w:szCs w:val="20"/>
              </w:rPr>
              <w:t>Geloofwaardigheid</w:t>
            </w:r>
          </w:p>
        </w:tc>
        <w:tc>
          <w:tcPr>
            <w:tcW w:w="2303" w:type="dxa"/>
          </w:tcPr>
          <w:p w:rsidR="00BB199B" w:rsidRDefault="00BB199B" w:rsidP="008B53DD">
            <w:pPr>
              <w:cnfStyle w:val="000000100000"/>
              <w:rPr>
                <w:sz w:val="20"/>
                <w:szCs w:val="20"/>
              </w:rPr>
            </w:pPr>
            <w:r>
              <w:rPr>
                <w:sz w:val="20"/>
                <w:szCs w:val="20"/>
              </w:rPr>
              <w:t>.34</w:t>
            </w:r>
          </w:p>
        </w:tc>
        <w:tc>
          <w:tcPr>
            <w:tcW w:w="2303" w:type="dxa"/>
          </w:tcPr>
          <w:p w:rsidR="00BB199B" w:rsidRDefault="00BB199B" w:rsidP="008B53DD">
            <w:pPr>
              <w:cnfStyle w:val="000000100000"/>
              <w:rPr>
                <w:sz w:val="20"/>
                <w:szCs w:val="20"/>
              </w:rPr>
            </w:pPr>
            <w:r>
              <w:rPr>
                <w:sz w:val="20"/>
                <w:szCs w:val="20"/>
              </w:rPr>
              <w:t>2.39</w:t>
            </w:r>
          </w:p>
        </w:tc>
        <w:tc>
          <w:tcPr>
            <w:tcW w:w="2303" w:type="dxa"/>
          </w:tcPr>
          <w:p w:rsidR="00BB199B" w:rsidRPr="0015265B" w:rsidRDefault="00BB199B" w:rsidP="008B53DD">
            <w:pPr>
              <w:cnfStyle w:val="000000100000"/>
              <w:rPr>
                <w:b/>
                <w:sz w:val="20"/>
                <w:szCs w:val="20"/>
              </w:rPr>
            </w:pPr>
            <w:r w:rsidRPr="0015265B">
              <w:rPr>
                <w:b/>
                <w:sz w:val="20"/>
                <w:szCs w:val="20"/>
              </w:rPr>
              <w:t>.02</w:t>
            </w:r>
          </w:p>
        </w:tc>
      </w:tr>
    </w:tbl>
    <w:p w:rsidR="00BB199B" w:rsidRPr="00987DB0" w:rsidRDefault="00BB199B" w:rsidP="00BB199B">
      <w:pPr>
        <w:pStyle w:val="Bijschrift"/>
        <w:rPr>
          <w:i/>
        </w:rPr>
      </w:pPr>
      <w:r w:rsidRPr="00987DB0">
        <w:rPr>
          <w:i/>
        </w:rPr>
        <w:t xml:space="preserve">Tabel </w:t>
      </w:r>
      <w:r>
        <w:rPr>
          <w:i/>
        </w:rPr>
        <w:t>6</w:t>
      </w:r>
      <w:r w:rsidRPr="00987DB0">
        <w:rPr>
          <w:i/>
        </w:rPr>
        <w:t xml:space="preserve">: </w:t>
      </w:r>
      <w:proofErr w:type="spellStart"/>
      <w:r w:rsidRPr="00987DB0">
        <w:rPr>
          <w:i/>
        </w:rPr>
        <w:t>Regressie-analyse</w:t>
      </w:r>
      <w:proofErr w:type="spellEnd"/>
      <w:r w:rsidRPr="00987DB0">
        <w:rPr>
          <w:i/>
        </w:rPr>
        <w:t xml:space="preserve"> overtuigingskracht</w:t>
      </w:r>
    </w:p>
    <w:p w:rsidR="00BB199B" w:rsidRDefault="00BB199B" w:rsidP="00BB199B">
      <w:pPr>
        <w:jc w:val="both"/>
        <w:rPr>
          <w:rFonts w:cs="Tahoma"/>
          <w:sz w:val="20"/>
          <w:szCs w:val="20"/>
          <w:shd w:val="clear" w:color="auto" w:fill="FFFFFF"/>
        </w:rPr>
      </w:pPr>
      <w:r w:rsidRPr="003505B6">
        <w:rPr>
          <w:rFonts w:cs="Tahoma"/>
          <w:sz w:val="20"/>
          <w:szCs w:val="20"/>
          <w:shd w:val="clear" w:color="auto" w:fill="FFFFFF"/>
          <w:lang w:val="en-US"/>
        </w:rPr>
        <w:t xml:space="preserve">De Adjusted R-Squared is .30. </w:t>
      </w:r>
      <w:r>
        <w:rPr>
          <w:rFonts w:cs="Tahoma"/>
          <w:sz w:val="20"/>
          <w:szCs w:val="20"/>
          <w:shd w:val="clear" w:color="auto" w:fill="FFFFFF"/>
        </w:rPr>
        <w:t>Dit houdt in dat ongeveer 30</w:t>
      </w:r>
      <w:r w:rsidRPr="00950743">
        <w:rPr>
          <w:rFonts w:cs="Tahoma"/>
          <w:sz w:val="20"/>
          <w:szCs w:val="20"/>
          <w:shd w:val="clear" w:color="auto" w:fill="FFFFFF"/>
        </w:rPr>
        <w:t xml:space="preserve">% van de </w:t>
      </w:r>
      <w:r>
        <w:rPr>
          <w:rFonts w:cs="Tahoma"/>
          <w:sz w:val="20"/>
          <w:szCs w:val="20"/>
          <w:shd w:val="clear" w:color="auto" w:fill="FFFFFF"/>
        </w:rPr>
        <w:t xml:space="preserve">gevonden </w:t>
      </w:r>
      <w:r w:rsidRPr="00950743">
        <w:rPr>
          <w:rFonts w:cs="Tahoma"/>
          <w:sz w:val="20"/>
          <w:szCs w:val="20"/>
          <w:shd w:val="clear" w:color="auto" w:fill="FFFFFF"/>
        </w:rPr>
        <w:t>variantie verklaard kan worden aan de hand van de ingevoerde onafhankelijke</w:t>
      </w:r>
      <w:r>
        <w:rPr>
          <w:rFonts w:cs="Tahoma"/>
          <w:sz w:val="20"/>
          <w:szCs w:val="20"/>
          <w:shd w:val="clear" w:color="auto" w:fill="FFFFFF"/>
        </w:rPr>
        <w:t xml:space="preserve"> variabelen. Verder blijkt dat de onafhankelijke variabelen gezamenlijk een significante invloed uitoefenen op de afhankelijke variabele (F(4)=18.92; p&lt;.001).</w:t>
      </w:r>
    </w:p>
    <w:p w:rsidR="00BB199B" w:rsidRDefault="00BB199B" w:rsidP="00BB199B">
      <w:pPr>
        <w:rPr>
          <w:rFonts w:cs="Tahoma"/>
          <w:sz w:val="20"/>
          <w:szCs w:val="20"/>
          <w:shd w:val="clear" w:color="auto" w:fill="FFFFFF"/>
        </w:rPr>
      </w:pPr>
      <w:r w:rsidRPr="00516FB0">
        <w:rPr>
          <w:rFonts w:cs="Tahoma"/>
          <w:sz w:val="20"/>
          <w:szCs w:val="20"/>
          <w:shd w:val="clear" w:color="auto" w:fill="FFFFFF"/>
        </w:rPr>
        <w:t xml:space="preserve">Uit deze </w:t>
      </w:r>
      <w:proofErr w:type="spellStart"/>
      <w:r w:rsidRPr="00516FB0">
        <w:rPr>
          <w:rFonts w:cs="Tahoma"/>
          <w:sz w:val="20"/>
          <w:szCs w:val="20"/>
          <w:shd w:val="clear" w:color="auto" w:fill="FFFFFF"/>
        </w:rPr>
        <w:t>regressie-analyse</w:t>
      </w:r>
      <w:proofErr w:type="spellEnd"/>
      <w:r w:rsidRPr="00516FB0">
        <w:rPr>
          <w:rFonts w:cs="Tahoma"/>
          <w:sz w:val="20"/>
          <w:szCs w:val="20"/>
          <w:shd w:val="clear" w:color="auto" w:fill="FFFFFF"/>
        </w:rPr>
        <w:t xml:space="preserve"> blijkt dat </w:t>
      </w:r>
      <w:r>
        <w:rPr>
          <w:rFonts w:cs="Tahoma"/>
          <w:sz w:val="20"/>
          <w:szCs w:val="20"/>
          <w:shd w:val="clear" w:color="auto" w:fill="FFFFFF"/>
        </w:rPr>
        <w:t>geloofwaardigheid van de bron een voorspeller is van overtuigingskracht (β=.34; t=2.39; p&lt;.02</w:t>
      </w:r>
      <w:r w:rsidRPr="00B94D11">
        <w:rPr>
          <w:rFonts w:cs="Tahoma"/>
          <w:sz w:val="20"/>
          <w:szCs w:val="20"/>
          <w:shd w:val="clear" w:color="auto" w:fill="FFFFFF"/>
        </w:rPr>
        <w:t>). Echter, evidentie</w:t>
      </w:r>
      <w:r>
        <w:rPr>
          <w:rFonts w:cs="Tahoma"/>
          <w:sz w:val="20"/>
          <w:szCs w:val="20"/>
          <w:shd w:val="clear" w:color="auto" w:fill="FFFFFF"/>
        </w:rPr>
        <w:t xml:space="preserve"> (β=.04; t=.26; p=.80</w:t>
      </w:r>
      <w:r w:rsidRPr="00B94D11">
        <w:rPr>
          <w:rFonts w:cs="Tahoma"/>
          <w:sz w:val="20"/>
          <w:szCs w:val="20"/>
          <w:shd w:val="clear" w:color="auto" w:fill="FFFFFF"/>
        </w:rPr>
        <w:t xml:space="preserve">) </w:t>
      </w:r>
      <w:r>
        <w:rPr>
          <w:rFonts w:cs="Tahoma"/>
          <w:sz w:val="20"/>
          <w:szCs w:val="20"/>
          <w:shd w:val="clear" w:color="auto" w:fill="FFFFFF"/>
        </w:rPr>
        <w:t>en argument</w:t>
      </w:r>
      <w:r w:rsidRPr="00B94D11">
        <w:rPr>
          <w:rFonts w:cs="Tahoma"/>
          <w:sz w:val="20"/>
          <w:szCs w:val="20"/>
          <w:shd w:val="clear" w:color="auto" w:fill="FFFFFF"/>
        </w:rPr>
        <w:t xml:space="preserve"> </w:t>
      </w:r>
      <w:r>
        <w:rPr>
          <w:rFonts w:cs="Tahoma"/>
          <w:sz w:val="20"/>
          <w:szCs w:val="20"/>
          <w:shd w:val="clear" w:color="auto" w:fill="FFFFFF"/>
        </w:rPr>
        <w:t>(β=.22; t=1.25; p=.21</w:t>
      </w:r>
      <w:r w:rsidRPr="00B94D11">
        <w:rPr>
          <w:rFonts w:cs="Tahoma"/>
          <w:sz w:val="20"/>
          <w:szCs w:val="20"/>
          <w:shd w:val="clear" w:color="auto" w:fill="FFFFFF"/>
        </w:rPr>
        <w:t>)</w:t>
      </w:r>
      <w:r>
        <w:rPr>
          <w:rFonts w:cs="Tahoma"/>
          <w:sz w:val="20"/>
          <w:szCs w:val="20"/>
          <w:shd w:val="clear" w:color="auto" w:fill="FFFFFF"/>
        </w:rPr>
        <w:t xml:space="preserve"> zijn geen voorspellers voor overtuigingskracht, hetgeen ook te zien is in tabel 6. De mate waarin de respondenten de spreker als geloofwaardig beschouwen blijkt zelfs meer dan acht keer zo belangrijk als </w:t>
      </w:r>
      <w:r w:rsidR="00481475">
        <w:rPr>
          <w:rFonts w:cs="Tahoma"/>
          <w:sz w:val="20"/>
          <w:szCs w:val="20"/>
          <w:shd w:val="clear" w:color="auto" w:fill="FFFFFF"/>
        </w:rPr>
        <w:t>het type</w:t>
      </w:r>
      <w:r>
        <w:rPr>
          <w:rFonts w:cs="Tahoma"/>
          <w:sz w:val="20"/>
          <w:szCs w:val="20"/>
          <w:shd w:val="clear" w:color="auto" w:fill="FFFFFF"/>
        </w:rPr>
        <w:t xml:space="preserve"> evidentie die de spreker gebruikt. Dit houdt in, dat wanneer de beoordeling van de geloofwaardigheid van de spreker bekend is, men een gerichte voorspelling kan doen wat de overtuigingskracht zal zijn. Dit is in mindere mate het geval bij het argument en bij de evidentie. </w:t>
      </w:r>
    </w:p>
    <w:p w:rsidR="00BB199B" w:rsidRDefault="00BB199B" w:rsidP="00BB199B">
      <w:pPr>
        <w:jc w:val="both"/>
        <w:rPr>
          <w:rFonts w:cs="Tahoma"/>
          <w:sz w:val="20"/>
          <w:szCs w:val="20"/>
          <w:shd w:val="clear" w:color="auto" w:fill="FFFFFF"/>
        </w:rPr>
      </w:pPr>
      <w:r w:rsidRPr="00950743">
        <w:rPr>
          <w:rFonts w:cs="Tahoma"/>
          <w:sz w:val="20"/>
          <w:szCs w:val="20"/>
          <w:shd w:val="clear" w:color="auto" w:fill="FFFFFF"/>
        </w:rPr>
        <w:t xml:space="preserve">Hieruit blijkt </w:t>
      </w:r>
      <w:r>
        <w:rPr>
          <w:rFonts w:cs="Tahoma"/>
          <w:sz w:val="20"/>
          <w:szCs w:val="20"/>
          <w:shd w:val="clear" w:color="auto" w:fill="FFFFFF"/>
        </w:rPr>
        <w:t>dat hypothese 2 aangenomen kan worden. De geloofwaardigheid van de bron blijkt een voorspeller voor de overtuigingskracht.</w:t>
      </w:r>
    </w:p>
    <w:p w:rsidR="00BB199B" w:rsidRPr="00993288" w:rsidRDefault="00BB199B" w:rsidP="00BB199B">
      <w:bookmarkStart w:id="22" w:name="_Toc346754155"/>
      <w:r>
        <w:rPr>
          <w:sz w:val="20"/>
          <w:szCs w:val="20"/>
        </w:rPr>
        <w:t xml:space="preserve">Tenslotte is er nog een </w:t>
      </w:r>
      <w:proofErr w:type="spellStart"/>
      <w:r>
        <w:rPr>
          <w:sz w:val="20"/>
          <w:szCs w:val="20"/>
        </w:rPr>
        <w:t>regressie-analyse</w:t>
      </w:r>
      <w:proofErr w:type="spellEnd"/>
      <w:r>
        <w:rPr>
          <w:sz w:val="20"/>
          <w:szCs w:val="20"/>
        </w:rPr>
        <w:t xml:space="preserve"> uitgevoerd om te onderzoeken welke variabelen de beste voorspeller zijn voor de beoordeling van de geloofwaardigheid van de bron. De geloofwaardigheid van de bron is dus als afhankelijke variabele geselecteerd en aantrekkelijkheid, kwaliteit van het argument en de evidentie zijn als onafhankelijke variabelen meegenomen. De </w:t>
      </w:r>
      <w:proofErr w:type="spellStart"/>
      <w:r>
        <w:rPr>
          <w:sz w:val="20"/>
          <w:szCs w:val="20"/>
        </w:rPr>
        <w:t>Adjusted</w:t>
      </w:r>
      <w:proofErr w:type="spellEnd"/>
      <w:r>
        <w:rPr>
          <w:sz w:val="20"/>
          <w:szCs w:val="20"/>
        </w:rPr>
        <w:t xml:space="preserve"> </w:t>
      </w:r>
      <w:proofErr w:type="spellStart"/>
      <w:r>
        <w:rPr>
          <w:sz w:val="20"/>
          <w:szCs w:val="20"/>
        </w:rPr>
        <w:t>R-Squared</w:t>
      </w:r>
      <w:proofErr w:type="spellEnd"/>
      <w:r>
        <w:rPr>
          <w:sz w:val="20"/>
          <w:szCs w:val="20"/>
        </w:rPr>
        <w:t xml:space="preserve"> is in dit geval .82. Dit is heel hoog, aangezien dit betekent dat ongeveer 82% van de gevonden variantie verklaard kan worden aan de hand van de ingevoerde onafhankelijke variabelen. Uit deze </w:t>
      </w:r>
      <w:proofErr w:type="spellStart"/>
      <w:r>
        <w:rPr>
          <w:sz w:val="20"/>
          <w:szCs w:val="20"/>
        </w:rPr>
        <w:t>regressie-analyse</w:t>
      </w:r>
      <w:proofErr w:type="spellEnd"/>
      <w:r>
        <w:rPr>
          <w:sz w:val="20"/>
          <w:szCs w:val="20"/>
        </w:rPr>
        <w:t xml:space="preserve"> blijkt dat zowel aantrekkelijkheid (</w:t>
      </w:r>
      <w:r>
        <w:rPr>
          <w:rFonts w:cstheme="minorHAnsi"/>
          <w:sz w:val="20"/>
          <w:szCs w:val="20"/>
        </w:rPr>
        <w:t>β</w:t>
      </w:r>
      <w:r>
        <w:rPr>
          <w:sz w:val="20"/>
          <w:szCs w:val="20"/>
        </w:rPr>
        <w:t>=.48; t=9.52; p&lt;.001) en argument (</w:t>
      </w:r>
      <w:r>
        <w:rPr>
          <w:rFonts w:cstheme="minorHAnsi"/>
          <w:sz w:val="20"/>
          <w:szCs w:val="20"/>
        </w:rPr>
        <w:t>β</w:t>
      </w:r>
      <w:r>
        <w:rPr>
          <w:sz w:val="20"/>
          <w:szCs w:val="20"/>
        </w:rPr>
        <w:t>=.46; t=5.74; p&lt;.001) significant van invloed zijn op de geloofwaardigheid van de bron. Evidentie blijkt geen voorspeller van de geloofwaardigheid te zijn, zoals na de reeds besproken resultaten ook de verwachting was (</w:t>
      </w:r>
      <w:r>
        <w:rPr>
          <w:rFonts w:cstheme="minorHAnsi"/>
          <w:sz w:val="20"/>
          <w:szCs w:val="20"/>
        </w:rPr>
        <w:t>β</w:t>
      </w:r>
      <w:r>
        <w:rPr>
          <w:sz w:val="20"/>
          <w:szCs w:val="20"/>
        </w:rPr>
        <w:t xml:space="preserve">=.10; t=1.23; p=.22). De aantrekkelijkheid van de bron en de kwaliteit van het argument blijken een goede voorspeller van de geloofwaardigheid van de bron. </w:t>
      </w:r>
      <w:bookmarkEnd w:id="22"/>
    </w:p>
    <w:p w:rsidR="00BB199B" w:rsidRPr="0062066C" w:rsidRDefault="00BB199B" w:rsidP="00BB199B">
      <w:pPr>
        <w:rPr>
          <w:sz w:val="20"/>
          <w:szCs w:val="20"/>
        </w:rPr>
      </w:pPr>
    </w:p>
    <w:p w:rsidR="00BB199B" w:rsidRDefault="00BB199B" w:rsidP="00BB199B">
      <w:pPr>
        <w:rPr>
          <w:sz w:val="20"/>
          <w:szCs w:val="20"/>
        </w:rPr>
      </w:pPr>
    </w:p>
    <w:p w:rsidR="00BB199B" w:rsidRPr="007F6E3F" w:rsidRDefault="00BB199B" w:rsidP="00BB199B">
      <w:pPr>
        <w:rPr>
          <w:sz w:val="20"/>
          <w:szCs w:val="20"/>
        </w:rPr>
      </w:pPr>
    </w:p>
    <w:p w:rsidR="002B1824" w:rsidRDefault="002B1824" w:rsidP="00FB5830">
      <w:pPr>
        <w:rPr>
          <w:rFonts w:cs="Tahoma"/>
          <w:sz w:val="20"/>
          <w:szCs w:val="20"/>
          <w:shd w:val="clear" w:color="auto" w:fill="FFFFFF"/>
        </w:rPr>
      </w:pPr>
    </w:p>
    <w:p w:rsidR="00156228" w:rsidRDefault="00156228" w:rsidP="00FB5830">
      <w:pPr>
        <w:rPr>
          <w:sz w:val="20"/>
          <w:szCs w:val="20"/>
        </w:rPr>
      </w:pPr>
    </w:p>
    <w:p w:rsidR="00156228" w:rsidRDefault="00156228" w:rsidP="00FB5830">
      <w:pPr>
        <w:rPr>
          <w:sz w:val="20"/>
          <w:szCs w:val="20"/>
        </w:rPr>
      </w:pPr>
    </w:p>
    <w:p w:rsidR="00156228" w:rsidRDefault="00156228" w:rsidP="00FB5830">
      <w:pPr>
        <w:rPr>
          <w:sz w:val="20"/>
          <w:szCs w:val="20"/>
        </w:rPr>
      </w:pPr>
    </w:p>
    <w:p w:rsidR="00FE47D4" w:rsidRDefault="00FE47D4" w:rsidP="00FB5830">
      <w:pPr>
        <w:rPr>
          <w:sz w:val="20"/>
          <w:szCs w:val="20"/>
        </w:rPr>
      </w:pPr>
    </w:p>
    <w:p w:rsidR="0088062F" w:rsidRDefault="0088062F" w:rsidP="00FB5830">
      <w:pPr>
        <w:rPr>
          <w:sz w:val="20"/>
          <w:szCs w:val="20"/>
        </w:rPr>
      </w:pPr>
    </w:p>
    <w:p w:rsidR="009E565E" w:rsidRDefault="009E565E" w:rsidP="0088062F">
      <w:pPr>
        <w:pStyle w:val="Kop1"/>
      </w:pPr>
    </w:p>
    <w:p w:rsidR="009E565E" w:rsidRDefault="009E565E" w:rsidP="005366EA">
      <w:pPr>
        <w:rPr>
          <w:sz w:val="20"/>
          <w:szCs w:val="20"/>
        </w:rPr>
      </w:pPr>
    </w:p>
    <w:p w:rsidR="009E565E" w:rsidRDefault="009E565E" w:rsidP="009E565E">
      <w:pPr>
        <w:pStyle w:val="Kop1"/>
      </w:pPr>
      <w:bookmarkStart w:id="23" w:name="_Toc346802189"/>
      <w:r>
        <w:lastRenderedPageBreak/>
        <w:t>5.</w:t>
      </w:r>
      <w:r>
        <w:tab/>
        <w:t>Conclusie</w:t>
      </w:r>
      <w:bookmarkEnd w:id="23"/>
    </w:p>
    <w:p w:rsidR="009E565E" w:rsidRPr="009E565E" w:rsidRDefault="009E565E" w:rsidP="009E565E"/>
    <w:p w:rsidR="009E565E" w:rsidRDefault="009E565E" w:rsidP="009E565E">
      <w:pPr>
        <w:jc w:val="both"/>
        <w:rPr>
          <w:sz w:val="20"/>
          <w:szCs w:val="20"/>
        </w:rPr>
      </w:pPr>
      <w:r>
        <w:rPr>
          <w:sz w:val="20"/>
          <w:szCs w:val="20"/>
        </w:rPr>
        <w:t>In dit onderzoeksverslag is een poging gedaan om een beter beeld te krijgen van het effect van</w:t>
      </w:r>
      <w:r w:rsidR="006C6D05">
        <w:rPr>
          <w:sz w:val="20"/>
          <w:szCs w:val="20"/>
        </w:rPr>
        <w:t xml:space="preserve"> de</w:t>
      </w:r>
      <w:r>
        <w:rPr>
          <w:sz w:val="20"/>
          <w:szCs w:val="20"/>
        </w:rPr>
        <w:t xml:space="preserve"> bron en het effect van evidentie op de overtuigingskracht. Dit is gedaan aan de hand van de volgende onderzoeksvraag:</w:t>
      </w:r>
    </w:p>
    <w:p w:rsidR="009E565E" w:rsidRDefault="009E565E" w:rsidP="009E565E">
      <w:pPr>
        <w:jc w:val="both"/>
        <w:rPr>
          <w:i/>
          <w:sz w:val="20"/>
          <w:szCs w:val="20"/>
        </w:rPr>
      </w:pPr>
      <w:r w:rsidRPr="00CE3FCD">
        <w:rPr>
          <w:i/>
          <w:sz w:val="20"/>
          <w:szCs w:val="20"/>
        </w:rPr>
        <w:t>Wat is het effect van de bron op de overtuigin</w:t>
      </w:r>
      <w:r>
        <w:rPr>
          <w:i/>
          <w:sz w:val="20"/>
          <w:szCs w:val="20"/>
        </w:rPr>
        <w:t>gskracht van statistische evidentie en van anekdotische evidentie</w:t>
      </w:r>
      <w:r w:rsidRPr="00CE3FCD">
        <w:rPr>
          <w:i/>
          <w:sz w:val="20"/>
          <w:szCs w:val="20"/>
        </w:rPr>
        <w:t>?</w:t>
      </w:r>
    </w:p>
    <w:p w:rsidR="009E565E" w:rsidRDefault="009E565E" w:rsidP="009E565E">
      <w:pPr>
        <w:jc w:val="both"/>
        <w:rPr>
          <w:sz w:val="20"/>
          <w:szCs w:val="20"/>
        </w:rPr>
      </w:pPr>
      <w:r>
        <w:rPr>
          <w:sz w:val="20"/>
          <w:szCs w:val="20"/>
        </w:rPr>
        <w:t xml:space="preserve"> Deze onderzoeksvraag is geoperationaliseerd door de objectiviteit, en dus de geloofwaardigheid, van de bron te manipuleren. Deze onderzoeksvraag is behandeld aan de hand van twee hypotheses, namelijk:</w:t>
      </w:r>
    </w:p>
    <w:p w:rsidR="009E565E" w:rsidRPr="006D6554" w:rsidRDefault="009E565E" w:rsidP="009E565E">
      <w:pPr>
        <w:pStyle w:val="Geenafstand"/>
        <w:rPr>
          <w:i/>
          <w:sz w:val="20"/>
          <w:szCs w:val="20"/>
        </w:rPr>
      </w:pPr>
      <w:r w:rsidRPr="006D6554">
        <w:rPr>
          <w:i/>
          <w:sz w:val="20"/>
          <w:szCs w:val="20"/>
        </w:rPr>
        <w:t>H1: Statistische evidentie is overtuigender dan anekdotische evidentie</w:t>
      </w:r>
      <w:r>
        <w:rPr>
          <w:i/>
          <w:sz w:val="20"/>
          <w:szCs w:val="20"/>
        </w:rPr>
        <w:t>.</w:t>
      </w:r>
    </w:p>
    <w:p w:rsidR="009E565E" w:rsidRPr="006D6554" w:rsidRDefault="009E565E" w:rsidP="009E565E">
      <w:pPr>
        <w:pStyle w:val="Geenafstand"/>
        <w:rPr>
          <w:i/>
          <w:sz w:val="20"/>
          <w:szCs w:val="20"/>
        </w:rPr>
      </w:pPr>
      <w:r w:rsidRPr="006D6554">
        <w:rPr>
          <w:i/>
          <w:sz w:val="20"/>
          <w:szCs w:val="20"/>
        </w:rPr>
        <w:t>H2: Geloofwaardigheid van de bron is een voorspeller voor overtuigingskracht</w:t>
      </w:r>
      <w:r>
        <w:rPr>
          <w:i/>
          <w:sz w:val="20"/>
          <w:szCs w:val="20"/>
        </w:rPr>
        <w:t>.</w:t>
      </w:r>
    </w:p>
    <w:p w:rsidR="009E565E" w:rsidRDefault="009E565E" w:rsidP="009E565E">
      <w:pPr>
        <w:jc w:val="both"/>
        <w:rPr>
          <w:sz w:val="20"/>
          <w:szCs w:val="20"/>
        </w:rPr>
      </w:pPr>
    </w:p>
    <w:p w:rsidR="009E565E" w:rsidRDefault="009E565E" w:rsidP="009E565E">
      <w:pPr>
        <w:pStyle w:val="Kop3"/>
      </w:pPr>
      <w:bookmarkStart w:id="24" w:name="_Toc346802190"/>
      <w:r>
        <w:t xml:space="preserve">5.1 </w:t>
      </w:r>
      <w:r>
        <w:tab/>
        <w:t>Conclusie hypotheses</w:t>
      </w:r>
      <w:bookmarkEnd w:id="24"/>
    </w:p>
    <w:p w:rsidR="009E565E" w:rsidRDefault="009E565E" w:rsidP="009E565E">
      <w:pPr>
        <w:jc w:val="both"/>
        <w:rPr>
          <w:sz w:val="20"/>
          <w:szCs w:val="20"/>
        </w:rPr>
      </w:pPr>
      <w:r>
        <w:rPr>
          <w:sz w:val="20"/>
          <w:szCs w:val="20"/>
        </w:rPr>
        <w:t xml:space="preserve">Hypothese 1 is verworpen, omdat statistische evidentie </w:t>
      </w:r>
      <w:r w:rsidRPr="001C30B7">
        <w:rPr>
          <w:sz w:val="20"/>
          <w:szCs w:val="20"/>
        </w:rPr>
        <w:t xml:space="preserve">niet </w:t>
      </w:r>
      <w:r>
        <w:rPr>
          <w:sz w:val="20"/>
          <w:szCs w:val="20"/>
        </w:rPr>
        <w:t xml:space="preserve">overtuigender bleek te zijn dan anekdotische evidentie. Er is geen verschil gevonden tussen beide typen evidentie als het gaat om de mate waarin ze overtuigend werden gevonden. De bron maakt hierbij geen verschil, in geen enkele conditie was het verschil in overtuigingskracht tussen statistische evidentie en anekdotische evidentie significant. </w:t>
      </w:r>
    </w:p>
    <w:p w:rsidR="009E565E" w:rsidRDefault="009E565E" w:rsidP="009E565E">
      <w:pPr>
        <w:jc w:val="both"/>
      </w:pPr>
      <w:r>
        <w:rPr>
          <w:sz w:val="20"/>
          <w:szCs w:val="20"/>
        </w:rPr>
        <w:t xml:space="preserve">Hypothese 2 is wel aangenomen. Uit de </w:t>
      </w:r>
      <w:proofErr w:type="spellStart"/>
      <w:r>
        <w:rPr>
          <w:sz w:val="20"/>
          <w:szCs w:val="20"/>
        </w:rPr>
        <w:t>regressie-analyse</w:t>
      </w:r>
      <w:proofErr w:type="spellEnd"/>
      <w:r>
        <w:rPr>
          <w:sz w:val="20"/>
          <w:szCs w:val="20"/>
        </w:rPr>
        <w:t xml:space="preserve"> die uitgevoerd en beschreven is in hoofdstuk 4, blijkt dat geloofwaardigheid van de bron een voorspeller is van overtuigingskracht. In deze </w:t>
      </w:r>
      <w:proofErr w:type="spellStart"/>
      <w:r>
        <w:rPr>
          <w:sz w:val="20"/>
          <w:szCs w:val="20"/>
        </w:rPr>
        <w:t>regressie-analyse</w:t>
      </w:r>
      <w:proofErr w:type="spellEnd"/>
      <w:r>
        <w:rPr>
          <w:sz w:val="20"/>
          <w:szCs w:val="20"/>
        </w:rPr>
        <w:t xml:space="preserve"> zijn de onafhankelijke variabelen kwaliteit van het argument, evidentie en geloofwaardigheid van de bron meegenomen. Ook uit deze </w:t>
      </w:r>
      <w:proofErr w:type="spellStart"/>
      <w:r>
        <w:rPr>
          <w:sz w:val="20"/>
          <w:szCs w:val="20"/>
        </w:rPr>
        <w:t>regressie-analyse</w:t>
      </w:r>
      <w:proofErr w:type="spellEnd"/>
      <w:r>
        <w:rPr>
          <w:sz w:val="20"/>
          <w:szCs w:val="20"/>
        </w:rPr>
        <w:t xml:space="preserve"> bleek dat het </w:t>
      </w:r>
      <w:r w:rsidR="00481475">
        <w:rPr>
          <w:sz w:val="20"/>
          <w:szCs w:val="20"/>
        </w:rPr>
        <w:t>type</w:t>
      </w:r>
      <w:r>
        <w:rPr>
          <w:sz w:val="20"/>
          <w:szCs w:val="20"/>
        </w:rPr>
        <w:t xml:space="preserve"> evidentie geen voorspeller is voor de overtuigingskracht en de kwaliteit van het argument evenmin. Echter, de geloofwaardigheid van de bron bleek dit wel te zijn. </w:t>
      </w:r>
      <w:r>
        <w:rPr>
          <w:rFonts w:cs="Tahoma"/>
          <w:sz w:val="20"/>
          <w:szCs w:val="20"/>
          <w:shd w:val="clear" w:color="auto" w:fill="FFFFFF"/>
        </w:rPr>
        <w:t>De mate waarin de respondenten de spreker als geloofwaardig beschouwen blijkt zelfs meer dan acht keer zo belangrijk vo</w:t>
      </w:r>
      <w:r w:rsidR="00481475">
        <w:rPr>
          <w:rFonts w:cs="Tahoma"/>
          <w:sz w:val="20"/>
          <w:szCs w:val="20"/>
          <w:shd w:val="clear" w:color="auto" w:fill="FFFFFF"/>
        </w:rPr>
        <w:t xml:space="preserve">or de overtuigingskracht als het type </w:t>
      </w:r>
      <w:r>
        <w:rPr>
          <w:rFonts w:cs="Tahoma"/>
          <w:sz w:val="20"/>
          <w:szCs w:val="20"/>
          <w:shd w:val="clear" w:color="auto" w:fill="FFFFFF"/>
        </w:rPr>
        <w:t xml:space="preserve">evidentie die de spreker gebruikt. Dit houdt in, dat wanneer de beoordeling van de geloofwaardigheid van de spreker bekend is, men een gerichte voorspelling kan doen wat de overtuigingskracht zal zijn. Dit is in mindere mate het geval bij het argument en bij de evidentie. </w:t>
      </w:r>
    </w:p>
    <w:p w:rsidR="009E565E" w:rsidRDefault="009E565E" w:rsidP="009E565E">
      <w:pPr>
        <w:pStyle w:val="Kop3"/>
      </w:pPr>
      <w:bookmarkStart w:id="25" w:name="_Toc346802191"/>
      <w:r>
        <w:t>5.2</w:t>
      </w:r>
      <w:r>
        <w:tab/>
        <w:t>Antwoord onderzoeksvraag</w:t>
      </w:r>
      <w:bookmarkEnd w:id="25"/>
    </w:p>
    <w:p w:rsidR="009E565E" w:rsidRPr="00235B37" w:rsidRDefault="009E565E" w:rsidP="009E565E">
      <w:pPr>
        <w:jc w:val="both"/>
        <w:rPr>
          <w:sz w:val="20"/>
          <w:szCs w:val="20"/>
        </w:rPr>
      </w:pPr>
      <w:r>
        <w:rPr>
          <w:sz w:val="20"/>
          <w:szCs w:val="20"/>
        </w:rPr>
        <w:t xml:space="preserve">Naar aanleiding hiervan kan antwoord worden gegeven op de onderzoeksvraag. Uit dit onderzoek blijkt namelijk dat de bron geen effect heeft op de overtuigingskracht van het </w:t>
      </w:r>
      <w:r w:rsidR="00481475">
        <w:rPr>
          <w:sz w:val="20"/>
          <w:szCs w:val="20"/>
        </w:rPr>
        <w:t>type</w:t>
      </w:r>
      <w:r>
        <w:rPr>
          <w:sz w:val="20"/>
          <w:szCs w:val="20"/>
        </w:rPr>
        <w:t xml:space="preserve"> evidentie. </w:t>
      </w:r>
      <w:r w:rsidR="004E2B28">
        <w:rPr>
          <w:sz w:val="20"/>
          <w:szCs w:val="20"/>
        </w:rPr>
        <w:t xml:space="preserve">In alle condities werden </w:t>
      </w:r>
      <w:r>
        <w:rPr>
          <w:sz w:val="20"/>
          <w:szCs w:val="20"/>
        </w:rPr>
        <w:t xml:space="preserve">beide </w:t>
      </w:r>
      <w:r w:rsidR="00481475">
        <w:rPr>
          <w:sz w:val="20"/>
          <w:szCs w:val="20"/>
        </w:rPr>
        <w:t>typen</w:t>
      </w:r>
      <w:r>
        <w:rPr>
          <w:sz w:val="20"/>
          <w:szCs w:val="20"/>
        </w:rPr>
        <w:t xml:space="preserve"> evidentie hetzelfde beoordeeld. Echter, de geloofwaardigheid van de bron blijkt wel een goede voorspeller te zijn voor overtuigingskracht. </w:t>
      </w:r>
    </w:p>
    <w:p w:rsidR="009E565E" w:rsidRDefault="009E565E" w:rsidP="005366EA">
      <w:pPr>
        <w:rPr>
          <w:sz w:val="20"/>
          <w:szCs w:val="20"/>
        </w:rPr>
      </w:pPr>
    </w:p>
    <w:p w:rsidR="009E565E" w:rsidRDefault="009E565E" w:rsidP="005366EA">
      <w:pPr>
        <w:rPr>
          <w:sz w:val="20"/>
          <w:szCs w:val="20"/>
        </w:rPr>
      </w:pPr>
    </w:p>
    <w:p w:rsidR="004E2B28" w:rsidRDefault="004E2B28" w:rsidP="009E565E">
      <w:pPr>
        <w:pStyle w:val="Kop1"/>
      </w:pPr>
    </w:p>
    <w:p w:rsidR="004E2B28" w:rsidRDefault="004E2B28" w:rsidP="009E565E">
      <w:pPr>
        <w:pStyle w:val="Kop1"/>
      </w:pPr>
    </w:p>
    <w:p w:rsidR="004E2B28" w:rsidRDefault="004E2B28" w:rsidP="009E565E">
      <w:pPr>
        <w:pStyle w:val="Kop1"/>
      </w:pPr>
    </w:p>
    <w:p w:rsidR="00156228" w:rsidRDefault="00156228" w:rsidP="00FB5830">
      <w:pPr>
        <w:rPr>
          <w:sz w:val="20"/>
          <w:szCs w:val="20"/>
        </w:rPr>
      </w:pPr>
    </w:p>
    <w:p w:rsidR="00156228" w:rsidRDefault="00156228" w:rsidP="00FB5830">
      <w:pPr>
        <w:rPr>
          <w:sz w:val="20"/>
          <w:szCs w:val="20"/>
        </w:rPr>
      </w:pPr>
    </w:p>
    <w:p w:rsidR="004E2B28" w:rsidRDefault="004E2B28" w:rsidP="004E2B28">
      <w:pPr>
        <w:pStyle w:val="Kop1"/>
      </w:pPr>
      <w:bookmarkStart w:id="26" w:name="_Toc346802192"/>
      <w:r>
        <w:lastRenderedPageBreak/>
        <w:t>6.</w:t>
      </w:r>
      <w:r>
        <w:tab/>
        <w:t>Discussie en aanbevelingen</w:t>
      </w:r>
      <w:bookmarkEnd w:id="26"/>
    </w:p>
    <w:p w:rsidR="004E2B28" w:rsidRDefault="004E2B28" w:rsidP="004E2B28">
      <w:pPr>
        <w:rPr>
          <w:sz w:val="20"/>
          <w:szCs w:val="20"/>
        </w:rPr>
      </w:pPr>
    </w:p>
    <w:p w:rsidR="004E2B28" w:rsidRDefault="004E2B28" w:rsidP="004E2B28">
      <w:pPr>
        <w:pStyle w:val="Kop3"/>
      </w:pPr>
      <w:bookmarkStart w:id="27" w:name="_Toc346802193"/>
      <w:r>
        <w:t>6.1</w:t>
      </w:r>
      <w:r>
        <w:tab/>
        <w:t>De respondenten</w:t>
      </w:r>
      <w:bookmarkEnd w:id="27"/>
    </w:p>
    <w:p w:rsidR="004E2B28" w:rsidRDefault="004E2B28" w:rsidP="004E2B28">
      <w:pPr>
        <w:jc w:val="both"/>
        <w:rPr>
          <w:sz w:val="20"/>
          <w:szCs w:val="20"/>
        </w:rPr>
      </w:pPr>
      <w:r>
        <w:rPr>
          <w:sz w:val="20"/>
          <w:szCs w:val="20"/>
        </w:rPr>
        <w:t xml:space="preserve">In dit onderzoek zijn 104 respondenten ondervraagd. Dit is een veel te gering aantal om te kunnen generaliseren. De eerste aanbeveling zal dan ook zijn om er meerdere respondenten bij te betrekken. Op deze manier zal het onderzoek waardevoller worden, omdat er dan voor grotere groepen conclusies kunnen worden getrokken. Daarnaast zijn de respondenten volledig gerandomiseerd over de verschillende condities. Dit is positief, maar wellicht had een selectievere keuze bij kiezen van proefpersonen geleid tot  meer (of andere) resultaten. De bron in de gebruikte video’s was een manager of een medewerker van Ernst&amp;Young en het argument wat deze bron noemde was een ‘besparing in de personeelskosten’. De bedoeling was dat de respondenten op zouden merken dat de manager hier meer belang bij heeft dan de medewerker. De manager zou dus als minder objectief moeten worden gezien, en zodoende als minder geloofwaardig. Hij is namelijk erg betrokken bij het onderwerp. Waarschijnlijk hebben niet alle respondenten deze conclusie getrokken. Het zou dus kunnen helpen om te kiezen voor bijvoorbeeld alleen medewerkers van een soortgelijk bedrijf als Ernst&amp;Young. Deze respondenten hebben dan een nog hogere consequentiebetrokkenheid en hebben misschien meer voorkennis over het onderwerp. Dit zou ervoor kunnen zorgen dat er wel significante verschillen worden gevonden tussen statistische en anekdotische evidentie. </w:t>
      </w:r>
    </w:p>
    <w:p w:rsidR="004E2B28" w:rsidRDefault="004E2B28" w:rsidP="004E2B28">
      <w:pPr>
        <w:pStyle w:val="Kop3"/>
      </w:pPr>
      <w:bookmarkStart w:id="28" w:name="_Toc346802194"/>
      <w:r>
        <w:t xml:space="preserve">6.2 </w:t>
      </w:r>
      <w:r>
        <w:tab/>
        <w:t>De operationalisering</w:t>
      </w:r>
      <w:bookmarkEnd w:id="28"/>
    </w:p>
    <w:p w:rsidR="004E2B28" w:rsidRDefault="004E2B28" w:rsidP="004E2B28">
      <w:pPr>
        <w:jc w:val="both"/>
        <w:rPr>
          <w:sz w:val="20"/>
          <w:szCs w:val="20"/>
        </w:rPr>
      </w:pPr>
      <w:r w:rsidRPr="0085611F">
        <w:rPr>
          <w:sz w:val="20"/>
          <w:szCs w:val="20"/>
        </w:rPr>
        <w:t xml:space="preserve">Over de operationalisering van de onderzoeksvraag aan het begin van dit onderzoek goed nagedacht. De video’s zijn met veel zorg opgenomen en zijn ook met een hoog schoolcijfer beoordeeld door de respondenten. Echter, in dit onderzoek is geen </w:t>
      </w:r>
      <w:r>
        <w:rPr>
          <w:sz w:val="20"/>
          <w:szCs w:val="20"/>
        </w:rPr>
        <w:t>gebruik gemaakt</w:t>
      </w:r>
      <w:r w:rsidRPr="0085611F">
        <w:rPr>
          <w:sz w:val="20"/>
          <w:szCs w:val="20"/>
        </w:rPr>
        <w:t xml:space="preserve"> van professionele opnames.</w:t>
      </w:r>
      <w:r>
        <w:rPr>
          <w:sz w:val="20"/>
          <w:szCs w:val="20"/>
        </w:rPr>
        <w:t xml:space="preserve"> Het zou kunnen dat de video’s dan, bewust of onbewust, beter over komen bij de respondenten. Dit had wellicht voor andere resultaten </w:t>
      </w:r>
      <w:r w:rsidR="000D51BE">
        <w:rPr>
          <w:sz w:val="20"/>
          <w:szCs w:val="20"/>
        </w:rPr>
        <w:t>gezorgd</w:t>
      </w:r>
      <w:bookmarkStart w:id="29" w:name="_GoBack"/>
      <w:bookmarkEnd w:id="29"/>
      <w:r>
        <w:rPr>
          <w:sz w:val="20"/>
          <w:szCs w:val="20"/>
        </w:rPr>
        <w:t>.</w:t>
      </w:r>
    </w:p>
    <w:p w:rsidR="004E2B28" w:rsidRDefault="004E2B28" w:rsidP="004E2B28">
      <w:pPr>
        <w:pStyle w:val="Kop3"/>
      </w:pPr>
      <w:bookmarkStart w:id="30" w:name="_Toc346802195"/>
      <w:r>
        <w:t>6.3</w:t>
      </w:r>
      <w:r>
        <w:tab/>
        <w:t>De vragenlijst</w:t>
      </w:r>
      <w:bookmarkEnd w:id="30"/>
    </w:p>
    <w:p w:rsidR="004E2B28" w:rsidRDefault="004E2B28" w:rsidP="004E2B28">
      <w:pPr>
        <w:jc w:val="both"/>
        <w:rPr>
          <w:sz w:val="20"/>
          <w:szCs w:val="20"/>
        </w:rPr>
      </w:pPr>
      <w:r>
        <w:rPr>
          <w:sz w:val="20"/>
          <w:szCs w:val="20"/>
        </w:rPr>
        <w:t xml:space="preserve">Tenslotte is tijdens het afnemen van de vragenlijsten opgevallen dat een behoorlijk aantal van de respondenten een opmerking over de vragenlijsten heeft gemaakt. Hij was niet te uitgebreid, maar de diversiteit van de vragen was minimaal en dit werd als storend ervaren. Echter, dit is noodzakelijk voor de betrouwbaarheid van de vragen. Als je maar één vraag hebt die een construct meet, dan weet je nooit of die vraag dat ook daadwerkelijk doet. Wat wel </w:t>
      </w:r>
      <w:r w:rsidRPr="00A42638">
        <w:rPr>
          <w:sz w:val="20"/>
          <w:szCs w:val="20"/>
        </w:rPr>
        <w:t>aanbevolen kan worden, is om de vragen die in elkaars verlengde liggen verspreid op de vragenlijst terug te laten komen.</w:t>
      </w:r>
      <w:r>
        <w:rPr>
          <w:sz w:val="20"/>
          <w:szCs w:val="20"/>
        </w:rPr>
        <w:t xml:space="preserve"> Op deze manier merken de respondenten misschien minder snel dat ze een paar keer dezelfde soort vraag krijgen. Verder vonden de proefpersonen het vervelend dat het positieve antwoord het ene keer aan de rechterkant stond en de andere keer weer aan de linkerkant. Ook dit is noodzakelijk, omdat het belangrijk is dat de respondenten alert blijven. Toch heeft dit niet altijd goed gewerkt, bleek wel uit de antwoorden. Zo is het een paar keer voorgekomen dat respondenten het standpunt van de spreker als ‘zeer juist’, ‘zeer onaannemelijk’ en ‘zeer onverstandig’ beschouwden. Het is niet waarschijnlijk dat deze respondenten dit ook daadwerkelijk bedoeld hebben.</w:t>
      </w:r>
    </w:p>
    <w:p w:rsidR="004E2B28" w:rsidRDefault="004E2B28" w:rsidP="004E2B28">
      <w:pPr>
        <w:pStyle w:val="Kop3"/>
      </w:pPr>
      <w:bookmarkStart w:id="31" w:name="_Toc346802196"/>
      <w:r>
        <w:t>6.4</w:t>
      </w:r>
      <w:r>
        <w:tab/>
        <w:t>Betekenis van de resultaten</w:t>
      </w:r>
      <w:bookmarkEnd w:id="31"/>
    </w:p>
    <w:p w:rsidR="004E2B28" w:rsidRDefault="004E2B28" w:rsidP="004E2B28">
      <w:pPr>
        <w:rPr>
          <w:rFonts w:cs="Arial"/>
          <w:sz w:val="20"/>
          <w:szCs w:val="20"/>
          <w:shd w:val="clear" w:color="auto" w:fill="FFFFFF"/>
        </w:rPr>
      </w:pPr>
      <w:r w:rsidRPr="00920492">
        <w:rPr>
          <w:rFonts w:cs="Arial"/>
          <w:sz w:val="20"/>
          <w:szCs w:val="20"/>
          <w:shd w:val="clear" w:color="auto" w:fill="FFFFFF"/>
        </w:rPr>
        <w:t xml:space="preserve">Maar wat is nu eigenlijk de betekenis van de resultaten in het licht van de theorie en eerdere onderzoeken die besproken zijn in hoofdstuk 2? </w:t>
      </w:r>
      <w:r>
        <w:rPr>
          <w:rFonts w:cs="Arial"/>
          <w:sz w:val="20"/>
          <w:szCs w:val="20"/>
          <w:shd w:val="clear" w:color="auto" w:fill="FFFFFF"/>
        </w:rPr>
        <w:t xml:space="preserve">Wat betreft het verschil tussen de twee verschillende </w:t>
      </w:r>
      <w:r w:rsidR="00481475">
        <w:rPr>
          <w:rFonts w:cs="Arial"/>
          <w:sz w:val="20"/>
          <w:szCs w:val="20"/>
          <w:shd w:val="clear" w:color="auto" w:fill="FFFFFF"/>
        </w:rPr>
        <w:t>typen</w:t>
      </w:r>
      <w:r>
        <w:rPr>
          <w:rFonts w:cs="Arial"/>
          <w:sz w:val="20"/>
          <w:szCs w:val="20"/>
          <w:shd w:val="clear" w:color="auto" w:fill="FFFFFF"/>
        </w:rPr>
        <w:t xml:space="preserve"> evidentie, statistische evidentie en anekdotische evidentie, kan er niet veel nieuws worden gezegd. De resultaten van voorgaande onderzoeken waren niet eenduidig: bij het ene onderzoek was statistische evidentie meer overtuigend dan anekdotische evidentie, bij het andere onderzoek was anekdotische evidentie juist meer overtuigend dan statistische evidentie en bij de overige onderzoeken is er geen verschil gevonden tussen de verschillende </w:t>
      </w:r>
      <w:r w:rsidR="00481475">
        <w:rPr>
          <w:rFonts w:cs="Arial"/>
          <w:sz w:val="20"/>
          <w:szCs w:val="20"/>
          <w:shd w:val="clear" w:color="auto" w:fill="FFFFFF"/>
        </w:rPr>
        <w:t>typen</w:t>
      </w:r>
      <w:r>
        <w:rPr>
          <w:rFonts w:cs="Arial"/>
          <w:sz w:val="20"/>
          <w:szCs w:val="20"/>
          <w:shd w:val="clear" w:color="auto" w:fill="FFFFFF"/>
        </w:rPr>
        <w:t xml:space="preserve"> evidenties. Dat laatste was in dit onderzoek ook het geval. Er is wederom niet duidelijker geworden welke vorm van evidentie het meest overtuigend is, of dat het daadwerkelijk geen verschil maakt. Om daar helderheid in te krijgen zullen er nog vele onderzoeken op dit gebied gedaan moeten worden. </w:t>
      </w:r>
    </w:p>
    <w:p w:rsidR="004E2B28" w:rsidRPr="002D7A20" w:rsidRDefault="004E2B28" w:rsidP="004E2B28">
      <w:pPr>
        <w:rPr>
          <w:sz w:val="20"/>
          <w:szCs w:val="20"/>
        </w:rPr>
      </w:pPr>
      <w:r>
        <w:rPr>
          <w:rFonts w:cs="Arial"/>
          <w:sz w:val="20"/>
          <w:szCs w:val="20"/>
          <w:shd w:val="clear" w:color="auto" w:fill="FFFFFF"/>
        </w:rPr>
        <w:lastRenderedPageBreak/>
        <w:t xml:space="preserve">Desondanks zijn er interessante resultaten uit dit onderzoek naar voren gekomen. De geloofwaardigheid van de bron speelt namelijk een rol voor de overtuigingskracht. Dit was al eerder uit verschillende onderzoeken naar gebleken, zoals reeds besproken, en dit is dus weer bevestigd. Als mensen een bron als geloofwaardig beschouwen, zijn ze sneller overtuigd van het standpunt van deze persoon. Echter, het </w:t>
      </w:r>
      <w:r w:rsidR="00481475">
        <w:rPr>
          <w:rFonts w:cs="Arial"/>
          <w:sz w:val="20"/>
          <w:szCs w:val="20"/>
          <w:shd w:val="clear" w:color="auto" w:fill="FFFFFF"/>
        </w:rPr>
        <w:t>type</w:t>
      </w:r>
      <w:r>
        <w:rPr>
          <w:rFonts w:cs="Arial"/>
          <w:sz w:val="20"/>
          <w:szCs w:val="20"/>
          <w:shd w:val="clear" w:color="auto" w:fill="FFFFFF"/>
        </w:rPr>
        <w:t xml:space="preserve"> evidentie speelt hierbij geen rol. Het belang van de geloofwaardigheid van de bron is dus even groot voor statistische evidentie als voor anekdotische evidentie. </w:t>
      </w:r>
    </w:p>
    <w:p w:rsidR="00156228" w:rsidRDefault="00156228" w:rsidP="00FB5830">
      <w:pPr>
        <w:rPr>
          <w:sz w:val="20"/>
          <w:szCs w:val="20"/>
        </w:rPr>
      </w:pPr>
    </w:p>
    <w:p w:rsidR="00156228" w:rsidRDefault="00156228" w:rsidP="00FB5830">
      <w:pPr>
        <w:rPr>
          <w:sz w:val="20"/>
          <w:szCs w:val="20"/>
        </w:rPr>
      </w:pPr>
    </w:p>
    <w:p w:rsidR="00156228" w:rsidRDefault="00156228" w:rsidP="00FB5830">
      <w:pPr>
        <w:rPr>
          <w:sz w:val="20"/>
          <w:szCs w:val="20"/>
        </w:rPr>
      </w:pPr>
    </w:p>
    <w:p w:rsidR="00156228" w:rsidRDefault="00156228" w:rsidP="00FB5830">
      <w:pPr>
        <w:rPr>
          <w:sz w:val="20"/>
          <w:szCs w:val="20"/>
        </w:rPr>
      </w:pPr>
    </w:p>
    <w:p w:rsidR="00156228" w:rsidRDefault="00156228" w:rsidP="00FB5830">
      <w:pPr>
        <w:rPr>
          <w:sz w:val="20"/>
          <w:szCs w:val="20"/>
        </w:rPr>
      </w:pPr>
    </w:p>
    <w:p w:rsidR="004E2B28" w:rsidRDefault="004E2B28" w:rsidP="00C028EE">
      <w:pPr>
        <w:pStyle w:val="Kop1"/>
      </w:pPr>
    </w:p>
    <w:p w:rsidR="004E2B28" w:rsidRDefault="004E2B28" w:rsidP="00C028EE">
      <w:pPr>
        <w:pStyle w:val="Kop1"/>
      </w:pPr>
    </w:p>
    <w:p w:rsidR="004E2B28" w:rsidRDefault="004E2B28" w:rsidP="00C028EE">
      <w:pPr>
        <w:pStyle w:val="Kop1"/>
      </w:pPr>
    </w:p>
    <w:p w:rsidR="004E2B28" w:rsidRDefault="004E2B28" w:rsidP="00C028EE">
      <w:pPr>
        <w:pStyle w:val="Kop1"/>
      </w:pPr>
    </w:p>
    <w:p w:rsidR="004E2B28" w:rsidRDefault="004E2B28" w:rsidP="00C028EE">
      <w:pPr>
        <w:pStyle w:val="Kop1"/>
      </w:pPr>
    </w:p>
    <w:p w:rsidR="004E2B28" w:rsidRDefault="004E2B28" w:rsidP="00C028EE">
      <w:pPr>
        <w:pStyle w:val="Kop1"/>
      </w:pPr>
    </w:p>
    <w:p w:rsidR="004E2B28" w:rsidRDefault="004E2B28" w:rsidP="00C028EE">
      <w:pPr>
        <w:pStyle w:val="Kop1"/>
      </w:pPr>
    </w:p>
    <w:p w:rsidR="004E2B28" w:rsidRDefault="004E2B28" w:rsidP="00C028EE">
      <w:pPr>
        <w:pStyle w:val="Kop1"/>
      </w:pPr>
    </w:p>
    <w:p w:rsidR="004E2B28" w:rsidRDefault="004E2B28" w:rsidP="00C028EE">
      <w:pPr>
        <w:pStyle w:val="Kop1"/>
      </w:pPr>
    </w:p>
    <w:p w:rsidR="004E2B28" w:rsidRDefault="004E2B28" w:rsidP="00C028EE">
      <w:pPr>
        <w:pStyle w:val="Kop1"/>
      </w:pPr>
    </w:p>
    <w:p w:rsidR="004E2B28" w:rsidRDefault="004E2B28" w:rsidP="000E754B">
      <w:pPr>
        <w:rPr>
          <w:color w:val="D34817" w:themeColor="accent1"/>
          <w:sz w:val="20"/>
          <w:szCs w:val="20"/>
        </w:rPr>
      </w:pPr>
    </w:p>
    <w:p w:rsidR="004E2B28" w:rsidRDefault="004E2B28" w:rsidP="000E754B">
      <w:pPr>
        <w:rPr>
          <w:color w:val="D34817" w:themeColor="accent1"/>
          <w:sz w:val="20"/>
          <w:szCs w:val="20"/>
        </w:rPr>
      </w:pPr>
    </w:p>
    <w:p w:rsidR="004E2B28" w:rsidRDefault="004E2B28" w:rsidP="000E754B">
      <w:pPr>
        <w:rPr>
          <w:color w:val="D34817" w:themeColor="accent1"/>
          <w:sz w:val="20"/>
          <w:szCs w:val="20"/>
        </w:rPr>
      </w:pPr>
    </w:p>
    <w:p w:rsidR="004E2B28" w:rsidRDefault="004E2B28" w:rsidP="000E754B">
      <w:pPr>
        <w:rPr>
          <w:color w:val="D34817" w:themeColor="accent1"/>
          <w:sz w:val="20"/>
          <w:szCs w:val="20"/>
        </w:rPr>
      </w:pPr>
    </w:p>
    <w:p w:rsidR="004E2B28" w:rsidRPr="008B53DD" w:rsidRDefault="004E2B28" w:rsidP="004E2B28">
      <w:pPr>
        <w:pStyle w:val="Kop1"/>
      </w:pPr>
      <w:bookmarkStart w:id="32" w:name="_Toc346802197"/>
      <w:r w:rsidRPr="008B53DD">
        <w:lastRenderedPageBreak/>
        <w:t>7.</w:t>
      </w:r>
      <w:r w:rsidRPr="008B53DD">
        <w:tab/>
        <w:t>Literatuurlijst</w:t>
      </w:r>
      <w:bookmarkEnd w:id="32"/>
    </w:p>
    <w:p w:rsidR="004E2B28" w:rsidRPr="008B53DD" w:rsidRDefault="004E2B28" w:rsidP="004E2B28"/>
    <w:p w:rsidR="000E754B" w:rsidRPr="00680EBC" w:rsidRDefault="000E754B" w:rsidP="000E754B">
      <w:pPr>
        <w:rPr>
          <w:sz w:val="20"/>
          <w:szCs w:val="20"/>
          <w:lang w:val="en-US"/>
        </w:rPr>
      </w:pPr>
      <w:r w:rsidRPr="008B53DD">
        <w:rPr>
          <w:color w:val="D34817" w:themeColor="accent1"/>
          <w:sz w:val="20"/>
          <w:szCs w:val="20"/>
        </w:rPr>
        <w:t>Allen, M. et al.</w:t>
      </w:r>
      <w:r w:rsidRPr="008B53DD">
        <w:rPr>
          <w:sz w:val="20"/>
          <w:szCs w:val="20"/>
        </w:rPr>
        <w:t xml:space="preserve"> </w:t>
      </w:r>
      <w:r w:rsidRPr="00680EBC">
        <w:rPr>
          <w:sz w:val="20"/>
          <w:szCs w:val="20"/>
          <w:lang w:val="en-US"/>
        </w:rPr>
        <w:t xml:space="preserve">(2000). Testing the persuasiveness of evidence: combining narrative and statistical forms. </w:t>
      </w:r>
      <w:r w:rsidRPr="00680EBC">
        <w:rPr>
          <w:rFonts w:cs="AGaramond-Italic"/>
          <w:i/>
          <w:iCs/>
          <w:sz w:val="20"/>
          <w:szCs w:val="20"/>
          <w:lang w:val="en-US"/>
        </w:rPr>
        <w:t xml:space="preserve">Communication Research Reports </w:t>
      </w:r>
      <w:r w:rsidRPr="00680EBC">
        <w:rPr>
          <w:sz w:val="20"/>
          <w:szCs w:val="20"/>
          <w:lang w:val="en-US"/>
        </w:rPr>
        <w:t>17, p. 331-336.</w:t>
      </w:r>
    </w:p>
    <w:p w:rsidR="000E754B" w:rsidRPr="00680EBC" w:rsidRDefault="000E754B" w:rsidP="000E754B">
      <w:pPr>
        <w:rPr>
          <w:sz w:val="20"/>
          <w:szCs w:val="20"/>
          <w:lang w:val="en-US"/>
        </w:rPr>
      </w:pPr>
      <w:r w:rsidRPr="000E754B">
        <w:rPr>
          <w:color w:val="D34817" w:themeColor="accent1"/>
          <w:sz w:val="20"/>
          <w:szCs w:val="20"/>
          <w:lang w:val="en-US"/>
        </w:rPr>
        <w:t xml:space="preserve">Allen, M. &amp; </w:t>
      </w:r>
      <w:proofErr w:type="spellStart"/>
      <w:r w:rsidRPr="000E754B">
        <w:rPr>
          <w:color w:val="D34817" w:themeColor="accent1"/>
          <w:sz w:val="20"/>
          <w:szCs w:val="20"/>
          <w:lang w:val="en-US"/>
        </w:rPr>
        <w:t>Preiss</w:t>
      </w:r>
      <w:proofErr w:type="spellEnd"/>
      <w:r w:rsidRPr="000E754B">
        <w:rPr>
          <w:color w:val="D34817" w:themeColor="accent1"/>
          <w:sz w:val="20"/>
          <w:szCs w:val="20"/>
          <w:lang w:val="en-US"/>
        </w:rPr>
        <w:t>, R. W.</w:t>
      </w:r>
      <w:r w:rsidRPr="000E754B">
        <w:rPr>
          <w:sz w:val="20"/>
          <w:szCs w:val="20"/>
          <w:lang w:val="en-US"/>
        </w:rPr>
        <w:t xml:space="preserve"> (1997). </w:t>
      </w:r>
      <w:r w:rsidRPr="00680EBC">
        <w:rPr>
          <w:sz w:val="20"/>
          <w:szCs w:val="20"/>
          <w:lang w:val="en-US"/>
        </w:rPr>
        <w:t xml:space="preserve">Comparing the persuasiveness of narrative and statistical evidence using meta-analysis. </w:t>
      </w:r>
      <w:r w:rsidRPr="00680EBC">
        <w:rPr>
          <w:rFonts w:cs="AGaramond-Italic"/>
          <w:i/>
          <w:iCs/>
          <w:sz w:val="20"/>
          <w:szCs w:val="20"/>
          <w:lang w:val="en-US"/>
        </w:rPr>
        <w:t xml:space="preserve">Communication Research Reports </w:t>
      </w:r>
      <w:r w:rsidRPr="00680EBC">
        <w:rPr>
          <w:sz w:val="20"/>
          <w:szCs w:val="20"/>
          <w:lang w:val="en-US"/>
        </w:rPr>
        <w:t>14, p. 125-131.</w:t>
      </w:r>
    </w:p>
    <w:p w:rsidR="000E754B" w:rsidRPr="00680EBC" w:rsidRDefault="000E754B" w:rsidP="000E754B">
      <w:pPr>
        <w:rPr>
          <w:sz w:val="20"/>
          <w:szCs w:val="20"/>
          <w:lang w:val="en-US"/>
        </w:rPr>
      </w:pPr>
      <w:proofErr w:type="spellStart"/>
      <w:r w:rsidRPr="00B31070">
        <w:rPr>
          <w:color w:val="D34817" w:themeColor="accent1"/>
          <w:sz w:val="20"/>
          <w:szCs w:val="20"/>
          <w:lang w:val="en-US"/>
        </w:rPr>
        <w:t>Baesler</w:t>
      </w:r>
      <w:proofErr w:type="spellEnd"/>
      <w:r w:rsidRPr="00B31070">
        <w:rPr>
          <w:color w:val="D34817" w:themeColor="accent1"/>
          <w:sz w:val="20"/>
          <w:szCs w:val="20"/>
          <w:lang w:val="en-US"/>
        </w:rPr>
        <w:t xml:space="preserve">, E.J. &amp; </w:t>
      </w:r>
      <w:proofErr w:type="spellStart"/>
      <w:r w:rsidRPr="00B31070">
        <w:rPr>
          <w:color w:val="D34817" w:themeColor="accent1"/>
          <w:sz w:val="20"/>
          <w:szCs w:val="20"/>
          <w:lang w:val="en-US"/>
        </w:rPr>
        <w:t>Burgoon</w:t>
      </w:r>
      <w:proofErr w:type="spellEnd"/>
      <w:r w:rsidRPr="00B31070">
        <w:rPr>
          <w:color w:val="D34817" w:themeColor="accent1"/>
          <w:sz w:val="20"/>
          <w:szCs w:val="20"/>
          <w:lang w:val="en-US"/>
        </w:rPr>
        <w:t>, J.K.</w:t>
      </w:r>
      <w:r w:rsidRPr="00680EBC">
        <w:rPr>
          <w:sz w:val="20"/>
          <w:szCs w:val="20"/>
          <w:lang w:val="en-US"/>
        </w:rPr>
        <w:t xml:space="preserve"> (1994). The temporal effects of story and statistical evidence on belief change. </w:t>
      </w:r>
      <w:r w:rsidRPr="00680EBC">
        <w:rPr>
          <w:rFonts w:cs="AGaramond-Italic"/>
          <w:i/>
          <w:iCs/>
          <w:sz w:val="20"/>
          <w:szCs w:val="20"/>
          <w:lang w:val="en-US"/>
        </w:rPr>
        <w:t xml:space="preserve">Communication Research </w:t>
      </w:r>
      <w:r w:rsidRPr="00680EBC">
        <w:rPr>
          <w:sz w:val="20"/>
          <w:szCs w:val="20"/>
          <w:lang w:val="en-US"/>
        </w:rPr>
        <w:t>21, p. 582-602.</w:t>
      </w:r>
    </w:p>
    <w:p w:rsidR="00C17CD8" w:rsidRDefault="00FB3F6A" w:rsidP="00680EBC">
      <w:pPr>
        <w:rPr>
          <w:sz w:val="20"/>
          <w:szCs w:val="20"/>
          <w:lang w:val="en-US"/>
        </w:rPr>
      </w:pPr>
      <w:proofErr w:type="spellStart"/>
      <w:r w:rsidRPr="007B4D6A">
        <w:rPr>
          <w:color w:val="D34817" w:themeColor="accent1"/>
          <w:sz w:val="20"/>
          <w:szCs w:val="20"/>
          <w:lang w:val="en-US"/>
        </w:rPr>
        <w:t>Borgida</w:t>
      </w:r>
      <w:proofErr w:type="spellEnd"/>
      <w:r w:rsidRPr="007B4D6A">
        <w:rPr>
          <w:color w:val="D34817" w:themeColor="accent1"/>
          <w:sz w:val="20"/>
          <w:szCs w:val="20"/>
          <w:lang w:val="en-US"/>
        </w:rPr>
        <w:t xml:space="preserve">, E. &amp; </w:t>
      </w:r>
      <w:proofErr w:type="spellStart"/>
      <w:r w:rsidRPr="007B4D6A">
        <w:rPr>
          <w:color w:val="D34817" w:themeColor="accent1"/>
          <w:sz w:val="20"/>
          <w:szCs w:val="20"/>
          <w:lang w:val="en-US"/>
        </w:rPr>
        <w:t>Nisbett</w:t>
      </w:r>
      <w:proofErr w:type="spellEnd"/>
      <w:r w:rsidR="00C17CD8" w:rsidRPr="007B4D6A">
        <w:rPr>
          <w:color w:val="D34817" w:themeColor="accent1"/>
          <w:sz w:val="20"/>
          <w:szCs w:val="20"/>
          <w:lang w:val="en-US"/>
        </w:rPr>
        <w:t>, R.E.</w:t>
      </w:r>
      <w:r w:rsidR="00C17CD8" w:rsidRPr="00680EBC">
        <w:rPr>
          <w:sz w:val="20"/>
          <w:szCs w:val="20"/>
          <w:lang w:val="en-US"/>
        </w:rPr>
        <w:t xml:space="preserve"> (1977). The differential impact of abstract vs. concrete</w:t>
      </w:r>
      <w:r w:rsidR="00440E57" w:rsidRPr="00680EBC">
        <w:rPr>
          <w:sz w:val="20"/>
          <w:szCs w:val="20"/>
          <w:lang w:val="en-US"/>
        </w:rPr>
        <w:t xml:space="preserve"> </w:t>
      </w:r>
      <w:r w:rsidR="00C17CD8" w:rsidRPr="00680EBC">
        <w:rPr>
          <w:sz w:val="20"/>
          <w:szCs w:val="20"/>
          <w:lang w:val="en-US"/>
        </w:rPr>
        <w:t xml:space="preserve">information on decisions. </w:t>
      </w:r>
      <w:r w:rsidR="00C17CD8" w:rsidRPr="00680EBC">
        <w:rPr>
          <w:rFonts w:cs="AGaramond-Italic"/>
          <w:i/>
          <w:iCs/>
          <w:sz w:val="20"/>
          <w:szCs w:val="20"/>
          <w:lang w:val="en-US"/>
        </w:rPr>
        <w:t xml:space="preserve">Journal of Applied Social Psychology </w:t>
      </w:r>
      <w:r w:rsidR="00646B6F">
        <w:rPr>
          <w:sz w:val="20"/>
          <w:szCs w:val="20"/>
          <w:lang w:val="en-US"/>
        </w:rPr>
        <w:t xml:space="preserve">7, p. </w:t>
      </w:r>
      <w:r w:rsidR="00C17CD8" w:rsidRPr="00680EBC">
        <w:rPr>
          <w:sz w:val="20"/>
          <w:szCs w:val="20"/>
          <w:lang w:val="en-US"/>
        </w:rPr>
        <w:t>258-271.</w:t>
      </w:r>
    </w:p>
    <w:p w:rsidR="000E754B" w:rsidRPr="00054C7D" w:rsidRDefault="000E754B" w:rsidP="000E754B">
      <w:pPr>
        <w:rPr>
          <w:sz w:val="20"/>
          <w:szCs w:val="20"/>
          <w:lang w:val="en-US"/>
        </w:rPr>
      </w:pPr>
      <w:bookmarkStart w:id="33" w:name="Chaiken,_S._(1980)."/>
      <w:proofErr w:type="spellStart"/>
      <w:r w:rsidRPr="00B31070">
        <w:rPr>
          <w:color w:val="D34817" w:themeColor="accent1"/>
          <w:sz w:val="20"/>
          <w:szCs w:val="20"/>
          <w:shd w:val="clear" w:color="auto" w:fill="FFFFFF"/>
          <w:lang w:val="en-US"/>
        </w:rPr>
        <w:t>Chaiken</w:t>
      </w:r>
      <w:proofErr w:type="spellEnd"/>
      <w:r w:rsidRPr="00B31070">
        <w:rPr>
          <w:color w:val="D34817" w:themeColor="accent1"/>
          <w:sz w:val="20"/>
          <w:szCs w:val="20"/>
          <w:shd w:val="clear" w:color="auto" w:fill="FFFFFF"/>
          <w:lang w:val="en-US"/>
        </w:rPr>
        <w:t>, S.</w:t>
      </w:r>
      <w:r w:rsidRPr="004507B1">
        <w:rPr>
          <w:color w:val="000000"/>
          <w:sz w:val="20"/>
          <w:szCs w:val="20"/>
          <w:shd w:val="clear" w:color="auto" w:fill="FFFFFF"/>
          <w:lang w:val="en-US"/>
        </w:rPr>
        <w:t xml:space="preserve"> (1980).</w:t>
      </w:r>
      <w:r w:rsidRPr="004507B1">
        <w:rPr>
          <w:rStyle w:val="apple-converted-space"/>
          <w:color w:val="000000"/>
          <w:sz w:val="20"/>
          <w:szCs w:val="20"/>
          <w:shd w:val="clear" w:color="auto" w:fill="FFFFFF"/>
          <w:lang w:val="en-US"/>
        </w:rPr>
        <w:t> </w:t>
      </w:r>
      <w:bookmarkEnd w:id="33"/>
      <w:r w:rsidRPr="004507B1">
        <w:rPr>
          <w:color w:val="000000"/>
          <w:sz w:val="20"/>
          <w:szCs w:val="20"/>
          <w:shd w:val="clear" w:color="auto" w:fill="FFFFFF"/>
          <w:lang w:val="en-US"/>
        </w:rPr>
        <w:t xml:space="preserve">Heuristic versus systematic information processing and the use of source versus message </w:t>
      </w:r>
      <w:r w:rsidRPr="00054C7D">
        <w:rPr>
          <w:color w:val="000000"/>
          <w:sz w:val="20"/>
          <w:szCs w:val="20"/>
          <w:shd w:val="clear" w:color="auto" w:fill="FFFFFF"/>
          <w:lang w:val="en-US"/>
        </w:rPr>
        <w:t>cues in persuasion.</w:t>
      </w:r>
      <w:r w:rsidRPr="00054C7D">
        <w:rPr>
          <w:rStyle w:val="apple-converted-space"/>
          <w:color w:val="000000"/>
          <w:sz w:val="20"/>
          <w:szCs w:val="20"/>
          <w:shd w:val="clear" w:color="auto" w:fill="FFFFFF"/>
          <w:lang w:val="en-US"/>
        </w:rPr>
        <w:t> </w:t>
      </w:r>
      <w:r w:rsidRPr="00054C7D">
        <w:rPr>
          <w:i/>
          <w:color w:val="000000"/>
          <w:sz w:val="20"/>
          <w:szCs w:val="20"/>
          <w:shd w:val="clear" w:color="auto" w:fill="FFFFFF"/>
          <w:lang w:val="en-US"/>
        </w:rPr>
        <w:t>Journal of Personality and Social Psychology</w:t>
      </w:r>
      <w:r w:rsidRPr="00054C7D">
        <w:rPr>
          <w:color w:val="000000"/>
          <w:sz w:val="20"/>
          <w:szCs w:val="20"/>
          <w:shd w:val="clear" w:color="auto" w:fill="FFFFFF"/>
          <w:lang w:val="en-US"/>
        </w:rPr>
        <w:t xml:space="preserve">  39, p.  752-756</w:t>
      </w:r>
      <w:r>
        <w:rPr>
          <w:color w:val="000000"/>
          <w:sz w:val="20"/>
          <w:szCs w:val="20"/>
          <w:shd w:val="clear" w:color="auto" w:fill="FFFFFF"/>
          <w:lang w:val="en-US"/>
        </w:rPr>
        <w:t>.</w:t>
      </w:r>
    </w:p>
    <w:p w:rsidR="000E754B" w:rsidRPr="004C4F67" w:rsidRDefault="000E754B" w:rsidP="000E754B">
      <w:pPr>
        <w:rPr>
          <w:rFonts w:eastAsia="Times New Roman" w:cs="Arial"/>
          <w:sz w:val="20"/>
          <w:szCs w:val="20"/>
          <w:lang w:val="en-US" w:eastAsia="nl-NL"/>
        </w:rPr>
      </w:pPr>
      <w:proofErr w:type="spellStart"/>
      <w:r>
        <w:rPr>
          <w:rFonts w:eastAsia="Times New Roman" w:cs="Arial"/>
          <w:color w:val="D34817" w:themeColor="accent1"/>
          <w:sz w:val="20"/>
          <w:szCs w:val="20"/>
          <w:lang w:val="en-US" w:eastAsia="nl-NL"/>
        </w:rPr>
        <w:t>Chaiken</w:t>
      </w:r>
      <w:proofErr w:type="spellEnd"/>
      <w:r>
        <w:rPr>
          <w:rFonts w:eastAsia="Times New Roman" w:cs="Arial"/>
          <w:color w:val="D34817" w:themeColor="accent1"/>
          <w:sz w:val="20"/>
          <w:szCs w:val="20"/>
          <w:lang w:val="en-US" w:eastAsia="nl-NL"/>
        </w:rPr>
        <w:t>, S. &amp;</w:t>
      </w:r>
      <w:r w:rsidRPr="00B31070">
        <w:rPr>
          <w:rFonts w:eastAsia="Times New Roman" w:cs="Arial"/>
          <w:color w:val="D34817" w:themeColor="accent1"/>
          <w:sz w:val="20"/>
          <w:szCs w:val="20"/>
          <w:lang w:val="en-US" w:eastAsia="nl-NL"/>
        </w:rPr>
        <w:t xml:space="preserve"> </w:t>
      </w:r>
      <w:proofErr w:type="spellStart"/>
      <w:r w:rsidRPr="00B31070">
        <w:rPr>
          <w:rFonts w:eastAsia="Times New Roman" w:cs="Arial"/>
          <w:color w:val="D34817" w:themeColor="accent1"/>
          <w:sz w:val="20"/>
          <w:szCs w:val="20"/>
          <w:lang w:val="en-US" w:eastAsia="nl-NL"/>
        </w:rPr>
        <w:t>Maheswaran</w:t>
      </w:r>
      <w:proofErr w:type="spellEnd"/>
      <w:r w:rsidRPr="00B31070">
        <w:rPr>
          <w:rFonts w:eastAsia="Times New Roman" w:cs="Arial"/>
          <w:color w:val="D34817" w:themeColor="accent1"/>
          <w:sz w:val="20"/>
          <w:szCs w:val="20"/>
          <w:lang w:val="en-US" w:eastAsia="nl-NL"/>
        </w:rPr>
        <w:t>, D.</w:t>
      </w:r>
      <w:r w:rsidRPr="004C4F67">
        <w:rPr>
          <w:rFonts w:eastAsia="Times New Roman" w:cs="Arial"/>
          <w:sz w:val="20"/>
          <w:szCs w:val="20"/>
          <w:lang w:val="en-US" w:eastAsia="nl-NL"/>
        </w:rPr>
        <w:t xml:space="preserve"> (1994).  </w:t>
      </w:r>
      <w:r w:rsidRPr="004C4F67">
        <w:rPr>
          <w:rFonts w:eastAsia="Times New Roman" w:cs="Arial"/>
          <w:i/>
          <w:sz w:val="20"/>
          <w:szCs w:val="20"/>
          <w:lang w:val="en-US" w:eastAsia="nl-NL"/>
        </w:rPr>
        <w:t>Journal of Personality and Social Psychology</w:t>
      </w:r>
      <w:r w:rsidRPr="004C4F67">
        <w:rPr>
          <w:rFonts w:eastAsia="Times New Roman" w:cs="Arial"/>
          <w:sz w:val="20"/>
          <w:szCs w:val="20"/>
          <w:lang w:val="en-US" w:eastAsia="nl-NL"/>
        </w:rPr>
        <w:t xml:space="preserve"> 66, 3, p.  460-473.</w:t>
      </w:r>
    </w:p>
    <w:p w:rsidR="003B4242" w:rsidRDefault="003B4242" w:rsidP="00680EBC">
      <w:pPr>
        <w:rPr>
          <w:sz w:val="20"/>
          <w:szCs w:val="20"/>
          <w:lang w:val="en-US"/>
        </w:rPr>
      </w:pPr>
      <w:r w:rsidRPr="00267B27">
        <w:rPr>
          <w:color w:val="D34817" w:themeColor="accent1"/>
          <w:sz w:val="20"/>
          <w:szCs w:val="20"/>
          <w:lang w:val="en-US"/>
        </w:rPr>
        <w:t>Dayton</w:t>
      </w:r>
      <w:r w:rsidR="00323712" w:rsidRPr="00267B27">
        <w:rPr>
          <w:color w:val="D34817" w:themeColor="accent1"/>
          <w:sz w:val="20"/>
          <w:szCs w:val="20"/>
          <w:lang w:val="en-US"/>
        </w:rPr>
        <w:t>, E.</w:t>
      </w:r>
      <w:r w:rsidRPr="00267B27">
        <w:rPr>
          <w:color w:val="D34817" w:themeColor="accent1"/>
          <w:sz w:val="20"/>
          <w:szCs w:val="20"/>
          <w:lang w:val="en-US"/>
        </w:rPr>
        <w:t xml:space="preserve"> &amp; </w:t>
      </w:r>
      <w:proofErr w:type="spellStart"/>
      <w:r w:rsidRPr="00267B27">
        <w:rPr>
          <w:color w:val="D34817" w:themeColor="accent1"/>
          <w:sz w:val="20"/>
          <w:szCs w:val="20"/>
          <w:lang w:val="en-US"/>
        </w:rPr>
        <w:t>Hendriksen</w:t>
      </w:r>
      <w:proofErr w:type="spellEnd"/>
      <w:r w:rsidR="00323712" w:rsidRPr="00267B27">
        <w:rPr>
          <w:color w:val="D34817" w:themeColor="accent1"/>
          <w:sz w:val="20"/>
          <w:szCs w:val="20"/>
          <w:lang w:val="en-US"/>
        </w:rPr>
        <w:t>, K.</w:t>
      </w:r>
      <w:r w:rsidR="00323712" w:rsidRPr="00267B27">
        <w:rPr>
          <w:sz w:val="20"/>
          <w:szCs w:val="20"/>
          <w:lang w:val="en-US"/>
        </w:rPr>
        <w:t xml:space="preserve"> (2007). </w:t>
      </w:r>
      <w:r w:rsidR="00323712" w:rsidRPr="00680EBC">
        <w:rPr>
          <w:sz w:val="20"/>
          <w:szCs w:val="20"/>
          <w:lang w:val="en-US"/>
        </w:rPr>
        <w:t xml:space="preserve">Communication failure: basic component, contributing factors, and the call for structure. </w:t>
      </w:r>
      <w:proofErr w:type="spellStart"/>
      <w:r w:rsidR="00323712" w:rsidRPr="00680EBC">
        <w:rPr>
          <w:i/>
          <w:sz w:val="20"/>
          <w:szCs w:val="20"/>
          <w:lang w:val="en-US"/>
        </w:rPr>
        <w:t>Jounal</w:t>
      </w:r>
      <w:proofErr w:type="spellEnd"/>
      <w:r w:rsidR="00323712" w:rsidRPr="00680EBC">
        <w:rPr>
          <w:i/>
          <w:sz w:val="20"/>
          <w:szCs w:val="20"/>
          <w:lang w:val="en-US"/>
        </w:rPr>
        <w:t xml:space="preserve"> on Quality and Patient Safety </w:t>
      </w:r>
      <w:r w:rsidR="00323712" w:rsidRPr="00680EBC">
        <w:rPr>
          <w:sz w:val="20"/>
          <w:szCs w:val="20"/>
          <w:lang w:val="en-US"/>
        </w:rPr>
        <w:t>33, 1, p. 34-</w:t>
      </w:r>
      <w:r w:rsidR="004E07D6" w:rsidRPr="00680EBC">
        <w:rPr>
          <w:sz w:val="20"/>
          <w:szCs w:val="20"/>
          <w:lang w:val="en-US"/>
        </w:rPr>
        <w:t>46.</w:t>
      </w:r>
    </w:p>
    <w:p w:rsidR="00F230B4" w:rsidRDefault="00F230B4" w:rsidP="00F230B4">
      <w:pPr>
        <w:rPr>
          <w:sz w:val="20"/>
          <w:szCs w:val="20"/>
          <w:lang w:val="en-US"/>
        </w:rPr>
      </w:pPr>
      <w:r w:rsidRPr="00B31070">
        <w:rPr>
          <w:color w:val="D34817" w:themeColor="accent1"/>
          <w:sz w:val="20"/>
          <w:szCs w:val="20"/>
          <w:lang w:val="en-US"/>
        </w:rPr>
        <w:t>Dickson, P.R.</w:t>
      </w:r>
      <w:r w:rsidRPr="00680EBC">
        <w:rPr>
          <w:sz w:val="20"/>
          <w:szCs w:val="20"/>
          <w:lang w:val="en-US"/>
        </w:rPr>
        <w:t xml:space="preserve"> (1982). The impact of enriching case and statistical information on consumer judgments. </w:t>
      </w:r>
      <w:r w:rsidRPr="00680EBC">
        <w:rPr>
          <w:rFonts w:cs="AGaramond-Italic"/>
          <w:i/>
          <w:iCs/>
          <w:sz w:val="20"/>
          <w:szCs w:val="20"/>
          <w:lang w:val="en-US"/>
        </w:rPr>
        <w:t xml:space="preserve">Journal of Consumer Research </w:t>
      </w:r>
      <w:r w:rsidRPr="00680EBC">
        <w:rPr>
          <w:sz w:val="20"/>
          <w:szCs w:val="20"/>
          <w:lang w:val="en-US"/>
        </w:rPr>
        <w:t>8, p. 398-406.</w:t>
      </w:r>
    </w:p>
    <w:p w:rsidR="00F230B4" w:rsidRDefault="00F230B4" w:rsidP="00F230B4">
      <w:pPr>
        <w:rPr>
          <w:sz w:val="20"/>
          <w:szCs w:val="20"/>
          <w:lang w:val="en-US"/>
        </w:rPr>
      </w:pPr>
      <w:proofErr w:type="spellStart"/>
      <w:r w:rsidRPr="00B31070">
        <w:rPr>
          <w:color w:val="D34817" w:themeColor="accent1"/>
          <w:sz w:val="20"/>
          <w:szCs w:val="20"/>
          <w:lang w:val="en-US"/>
        </w:rPr>
        <w:t>Eagly</w:t>
      </w:r>
      <w:proofErr w:type="spellEnd"/>
      <w:r w:rsidRPr="00B31070">
        <w:rPr>
          <w:color w:val="D34817" w:themeColor="accent1"/>
          <w:sz w:val="20"/>
          <w:szCs w:val="20"/>
          <w:lang w:val="en-US"/>
        </w:rPr>
        <w:t xml:space="preserve">, A. H., </w:t>
      </w:r>
      <w:proofErr w:type="spellStart"/>
      <w:r w:rsidRPr="00B31070">
        <w:rPr>
          <w:color w:val="D34817" w:themeColor="accent1"/>
          <w:sz w:val="20"/>
          <w:szCs w:val="20"/>
          <w:lang w:val="en-US"/>
        </w:rPr>
        <w:t>Ashmore</w:t>
      </w:r>
      <w:proofErr w:type="spellEnd"/>
      <w:r w:rsidRPr="00B31070">
        <w:rPr>
          <w:color w:val="D34817" w:themeColor="accent1"/>
          <w:sz w:val="20"/>
          <w:szCs w:val="20"/>
          <w:lang w:val="en-US"/>
        </w:rPr>
        <w:t xml:space="preserve">, R. D., </w:t>
      </w:r>
      <w:proofErr w:type="spellStart"/>
      <w:r w:rsidRPr="00B31070">
        <w:rPr>
          <w:color w:val="D34817" w:themeColor="accent1"/>
          <w:sz w:val="20"/>
          <w:szCs w:val="20"/>
          <w:lang w:val="en-US"/>
        </w:rPr>
        <w:t>Makhijani</w:t>
      </w:r>
      <w:proofErr w:type="spellEnd"/>
      <w:r w:rsidRPr="00B31070">
        <w:rPr>
          <w:color w:val="D34817" w:themeColor="accent1"/>
          <w:sz w:val="20"/>
          <w:szCs w:val="20"/>
          <w:lang w:val="en-US"/>
        </w:rPr>
        <w:t>, M. G. &amp; Longo, L. C.</w:t>
      </w:r>
      <w:r w:rsidRPr="004C4F67">
        <w:rPr>
          <w:sz w:val="20"/>
          <w:szCs w:val="20"/>
          <w:lang w:val="en-US"/>
        </w:rPr>
        <w:t xml:space="preserve"> (1991). What is beautiful is good: a meta-analytic review of research on the physical attractiven</w:t>
      </w:r>
      <w:r w:rsidR="00646B6F">
        <w:rPr>
          <w:sz w:val="20"/>
          <w:szCs w:val="20"/>
          <w:lang w:val="en-US"/>
        </w:rPr>
        <w:t>ess stereotype. Psychology Bull</w:t>
      </w:r>
      <w:r w:rsidRPr="004C4F67">
        <w:rPr>
          <w:sz w:val="20"/>
          <w:szCs w:val="20"/>
          <w:lang w:val="en-US"/>
        </w:rPr>
        <w:t xml:space="preserve"> 11, p. </w:t>
      </w:r>
      <w:r>
        <w:rPr>
          <w:sz w:val="20"/>
          <w:szCs w:val="20"/>
          <w:lang w:val="en-US"/>
        </w:rPr>
        <w:t>109–28.</w:t>
      </w:r>
    </w:p>
    <w:p w:rsidR="00F230B4" w:rsidRPr="004C4F67" w:rsidRDefault="00F230B4" w:rsidP="00F230B4">
      <w:pPr>
        <w:rPr>
          <w:sz w:val="20"/>
          <w:szCs w:val="20"/>
          <w:lang w:val="en-US"/>
        </w:rPr>
      </w:pPr>
      <w:proofErr w:type="spellStart"/>
      <w:r w:rsidRPr="003505B6">
        <w:rPr>
          <w:color w:val="D34817" w:themeColor="accent1"/>
          <w:sz w:val="20"/>
          <w:szCs w:val="20"/>
          <w:lang w:val="de-DE"/>
        </w:rPr>
        <w:t>Grewal</w:t>
      </w:r>
      <w:proofErr w:type="spellEnd"/>
      <w:r w:rsidRPr="003505B6">
        <w:rPr>
          <w:color w:val="D34817" w:themeColor="accent1"/>
          <w:sz w:val="20"/>
          <w:szCs w:val="20"/>
          <w:lang w:val="de-DE"/>
        </w:rPr>
        <w:t>, D., Gottlieb, J. &amp; Marmorstein, H.</w:t>
      </w:r>
      <w:r w:rsidRPr="003505B6">
        <w:rPr>
          <w:sz w:val="20"/>
          <w:szCs w:val="20"/>
          <w:lang w:val="de-DE"/>
        </w:rPr>
        <w:t xml:space="preserve"> (1994). </w:t>
      </w:r>
      <w:r w:rsidRPr="004C4F67">
        <w:rPr>
          <w:sz w:val="20"/>
          <w:szCs w:val="20"/>
          <w:lang w:val="en-US"/>
        </w:rPr>
        <w:t>The moderating effects of Framing and source credibility on the price-</w:t>
      </w:r>
      <w:proofErr w:type="spellStart"/>
      <w:r w:rsidRPr="004C4F67">
        <w:rPr>
          <w:sz w:val="20"/>
          <w:szCs w:val="20"/>
          <w:lang w:val="en-US"/>
        </w:rPr>
        <w:t>percieved</w:t>
      </w:r>
      <w:proofErr w:type="spellEnd"/>
      <w:r w:rsidRPr="004C4F67">
        <w:rPr>
          <w:sz w:val="20"/>
          <w:szCs w:val="20"/>
          <w:lang w:val="en-US"/>
        </w:rPr>
        <w:t xml:space="preserve"> risk relationship. </w:t>
      </w:r>
      <w:r w:rsidRPr="004C4F67">
        <w:rPr>
          <w:i/>
          <w:sz w:val="20"/>
          <w:szCs w:val="20"/>
          <w:lang w:val="en-US"/>
        </w:rPr>
        <w:t>Journal of Consumer Research</w:t>
      </w:r>
      <w:r w:rsidRPr="004C4F67">
        <w:rPr>
          <w:sz w:val="20"/>
          <w:szCs w:val="20"/>
          <w:lang w:val="en-US"/>
        </w:rPr>
        <w:t xml:space="preserve"> 2, 3, p. 145-153.</w:t>
      </w:r>
    </w:p>
    <w:p w:rsidR="007A78D9" w:rsidRPr="00680EBC" w:rsidRDefault="007A78D9" w:rsidP="007A78D9">
      <w:pPr>
        <w:rPr>
          <w:sz w:val="20"/>
          <w:szCs w:val="20"/>
          <w:lang w:val="en-US"/>
        </w:rPr>
      </w:pPr>
      <w:proofErr w:type="spellStart"/>
      <w:r w:rsidRPr="00B31070">
        <w:rPr>
          <w:color w:val="D34817" w:themeColor="accent1"/>
          <w:sz w:val="20"/>
          <w:szCs w:val="20"/>
          <w:lang w:val="en-US"/>
        </w:rPr>
        <w:t>Hoeken</w:t>
      </w:r>
      <w:proofErr w:type="spellEnd"/>
      <w:r w:rsidRPr="00B31070">
        <w:rPr>
          <w:color w:val="D34817" w:themeColor="accent1"/>
          <w:sz w:val="20"/>
          <w:szCs w:val="20"/>
          <w:lang w:val="en-US"/>
        </w:rPr>
        <w:t xml:space="preserve">, H. </w:t>
      </w:r>
      <w:r w:rsidRPr="00646B6F">
        <w:rPr>
          <w:sz w:val="20"/>
          <w:szCs w:val="20"/>
          <w:lang w:val="en-US"/>
        </w:rPr>
        <w:t>(2001).</w:t>
      </w:r>
      <w:r w:rsidRPr="00680EBC">
        <w:rPr>
          <w:sz w:val="20"/>
          <w:szCs w:val="20"/>
          <w:lang w:val="en-US"/>
        </w:rPr>
        <w:t xml:space="preserve"> Anecdotal, statistical, and causal evidence: their perceived and actual persuasiveness. </w:t>
      </w:r>
      <w:r w:rsidRPr="00680EBC">
        <w:rPr>
          <w:rFonts w:cs="AGaramond-Italic"/>
          <w:i/>
          <w:iCs/>
          <w:sz w:val="20"/>
          <w:szCs w:val="20"/>
          <w:lang w:val="en-US"/>
        </w:rPr>
        <w:t xml:space="preserve">Argumentation </w:t>
      </w:r>
      <w:r w:rsidRPr="00680EBC">
        <w:rPr>
          <w:sz w:val="20"/>
          <w:szCs w:val="20"/>
          <w:lang w:val="en-US"/>
        </w:rPr>
        <w:t>15, p. 425-437.</w:t>
      </w:r>
    </w:p>
    <w:p w:rsidR="007A78D9" w:rsidRPr="00680EBC" w:rsidRDefault="007A78D9" w:rsidP="007A78D9">
      <w:pPr>
        <w:rPr>
          <w:sz w:val="20"/>
          <w:szCs w:val="20"/>
          <w:lang w:val="en-US"/>
        </w:rPr>
      </w:pPr>
      <w:proofErr w:type="spellStart"/>
      <w:r w:rsidRPr="00B31070">
        <w:rPr>
          <w:color w:val="D34817" w:themeColor="accent1"/>
          <w:sz w:val="20"/>
          <w:szCs w:val="20"/>
          <w:lang w:val="en-US"/>
        </w:rPr>
        <w:t>Hoeken</w:t>
      </w:r>
      <w:proofErr w:type="spellEnd"/>
      <w:r w:rsidRPr="00B31070">
        <w:rPr>
          <w:color w:val="D34817" w:themeColor="accent1"/>
          <w:sz w:val="20"/>
          <w:szCs w:val="20"/>
          <w:lang w:val="en-US"/>
        </w:rPr>
        <w:t xml:space="preserve">, H. &amp; </w:t>
      </w:r>
      <w:proofErr w:type="spellStart"/>
      <w:r w:rsidRPr="00B31070">
        <w:rPr>
          <w:color w:val="D34817" w:themeColor="accent1"/>
          <w:sz w:val="20"/>
          <w:szCs w:val="20"/>
          <w:lang w:val="en-US"/>
        </w:rPr>
        <w:t>Hustinx</w:t>
      </w:r>
      <w:proofErr w:type="spellEnd"/>
      <w:r w:rsidRPr="00B31070">
        <w:rPr>
          <w:color w:val="D34817" w:themeColor="accent1"/>
          <w:sz w:val="20"/>
          <w:szCs w:val="20"/>
          <w:lang w:val="en-US"/>
        </w:rPr>
        <w:t>, L.</w:t>
      </w:r>
      <w:r w:rsidRPr="00680EBC">
        <w:rPr>
          <w:sz w:val="20"/>
          <w:szCs w:val="20"/>
          <w:lang w:val="en-US"/>
        </w:rPr>
        <w:t xml:space="preserve"> (2003). The relative persuasiveness of different types of evidence. In: </w:t>
      </w:r>
      <w:proofErr w:type="spellStart"/>
      <w:r w:rsidRPr="00680EBC">
        <w:rPr>
          <w:sz w:val="20"/>
          <w:szCs w:val="20"/>
          <w:lang w:val="en-US"/>
        </w:rPr>
        <w:t>Eemeren</w:t>
      </w:r>
      <w:proofErr w:type="spellEnd"/>
      <w:r w:rsidRPr="00680EBC">
        <w:rPr>
          <w:sz w:val="20"/>
          <w:szCs w:val="20"/>
          <w:lang w:val="en-US"/>
        </w:rPr>
        <w:t>, F.H. Van et al. (eds.). Proceedings of the fifth conference of the International Society for the Study of Argumentation, Amsterdam: Sic Sat.</w:t>
      </w:r>
    </w:p>
    <w:p w:rsidR="00054BB4" w:rsidRPr="00680EBC" w:rsidRDefault="00054BB4" w:rsidP="00054BB4">
      <w:pPr>
        <w:rPr>
          <w:sz w:val="20"/>
          <w:szCs w:val="20"/>
          <w:lang w:val="en-US"/>
        </w:rPr>
      </w:pPr>
      <w:proofErr w:type="spellStart"/>
      <w:r w:rsidRPr="00054BB4">
        <w:rPr>
          <w:rFonts w:cs="Arial"/>
          <w:bCs/>
          <w:color w:val="D34817" w:themeColor="accent1"/>
          <w:sz w:val="20"/>
          <w:szCs w:val="20"/>
          <w:shd w:val="clear" w:color="auto" w:fill="FFFFFF"/>
          <w:lang w:val="en-US"/>
        </w:rPr>
        <w:t>Hoeken</w:t>
      </w:r>
      <w:proofErr w:type="spellEnd"/>
      <w:r w:rsidRPr="00054BB4">
        <w:rPr>
          <w:rFonts w:cs="Arial"/>
          <w:bCs/>
          <w:color w:val="D34817" w:themeColor="accent1"/>
          <w:sz w:val="20"/>
          <w:szCs w:val="20"/>
          <w:shd w:val="clear" w:color="auto" w:fill="FFFFFF"/>
          <w:lang w:val="en-US"/>
        </w:rPr>
        <w:t xml:space="preserve">, H. &amp; </w:t>
      </w:r>
      <w:proofErr w:type="spellStart"/>
      <w:r w:rsidRPr="00054BB4">
        <w:rPr>
          <w:rFonts w:cs="Arial"/>
          <w:bCs/>
          <w:color w:val="D34817" w:themeColor="accent1"/>
          <w:sz w:val="20"/>
          <w:szCs w:val="20"/>
          <w:shd w:val="clear" w:color="auto" w:fill="FFFFFF"/>
          <w:lang w:val="en-US"/>
        </w:rPr>
        <w:t>Hustinx</w:t>
      </w:r>
      <w:proofErr w:type="spellEnd"/>
      <w:r w:rsidRPr="00054BB4">
        <w:rPr>
          <w:rFonts w:cs="Arial"/>
          <w:bCs/>
          <w:color w:val="D34817" w:themeColor="accent1"/>
          <w:sz w:val="20"/>
          <w:szCs w:val="20"/>
          <w:shd w:val="clear" w:color="auto" w:fill="FFFFFF"/>
          <w:lang w:val="en-US"/>
        </w:rPr>
        <w:t>, L.</w:t>
      </w:r>
      <w:r w:rsidRPr="00054BB4">
        <w:rPr>
          <w:rFonts w:cs="Arial"/>
          <w:bCs/>
          <w:sz w:val="20"/>
          <w:szCs w:val="20"/>
          <w:shd w:val="clear" w:color="auto" w:fill="FFFFFF"/>
          <w:lang w:val="en-US"/>
        </w:rPr>
        <w:t xml:space="preserve"> (2009)</w:t>
      </w:r>
      <w:r w:rsidRPr="00054BB4">
        <w:rPr>
          <w:rFonts w:cs="Arial"/>
          <w:sz w:val="20"/>
          <w:szCs w:val="20"/>
          <w:shd w:val="clear" w:color="auto" w:fill="FFFFFF"/>
          <w:lang w:val="en-US"/>
        </w:rPr>
        <w:t xml:space="preserve">. </w:t>
      </w:r>
      <w:r w:rsidRPr="00680EBC">
        <w:rPr>
          <w:rFonts w:cs="Arial"/>
          <w:sz w:val="20"/>
          <w:szCs w:val="20"/>
          <w:shd w:val="clear" w:color="auto" w:fill="FFFFFF"/>
          <w:lang w:val="en-US"/>
        </w:rPr>
        <w:t>When is statistical evidence superior to anecdotal evidence in supporting probability claims? The role of argument type.</w:t>
      </w:r>
      <w:r w:rsidRPr="00680EBC">
        <w:rPr>
          <w:rStyle w:val="apple-converted-space"/>
          <w:rFonts w:cs="Arial"/>
          <w:sz w:val="20"/>
          <w:szCs w:val="20"/>
          <w:shd w:val="clear" w:color="auto" w:fill="FFFFFF"/>
          <w:lang w:val="en-US"/>
        </w:rPr>
        <w:t> </w:t>
      </w:r>
      <w:r w:rsidRPr="00680EBC">
        <w:rPr>
          <w:rFonts w:cs="Arial"/>
          <w:i/>
          <w:iCs/>
          <w:sz w:val="20"/>
          <w:szCs w:val="20"/>
          <w:shd w:val="clear" w:color="auto" w:fill="FFFFFF"/>
          <w:lang w:val="en-US"/>
        </w:rPr>
        <w:t>Human communication research</w:t>
      </w:r>
      <w:r w:rsidRPr="00680EBC">
        <w:rPr>
          <w:rFonts w:cs="Arial"/>
          <w:sz w:val="20"/>
          <w:szCs w:val="20"/>
          <w:shd w:val="clear" w:color="auto" w:fill="FFFFFF"/>
          <w:lang w:val="en-US"/>
        </w:rPr>
        <w:t xml:space="preserve"> 35, p.  491-510</w:t>
      </w:r>
      <w:r w:rsidRPr="00680EBC">
        <w:rPr>
          <w:sz w:val="20"/>
          <w:szCs w:val="20"/>
          <w:lang w:val="en-US"/>
        </w:rPr>
        <w:t xml:space="preserve"> </w:t>
      </w:r>
    </w:p>
    <w:p w:rsidR="00054BB4" w:rsidRPr="00680EBC" w:rsidRDefault="00054BB4" w:rsidP="00054BB4">
      <w:pPr>
        <w:rPr>
          <w:sz w:val="20"/>
          <w:szCs w:val="20"/>
          <w:lang w:val="en-US"/>
        </w:rPr>
      </w:pPr>
      <w:proofErr w:type="spellStart"/>
      <w:r w:rsidRPr="00294ADB">
        <w:rPr>
          <w:rFonts w:cs="Arial"/>
          <w:bCs/>
          <w:color w:val="D34817" w:themeColor="accent1"/>
          <w:sz w:val="20"/>
          <w:szCs w:val="20"/>
          <w:shd w:val="clear" w:color="auto" w:fill="FFFFFF"/>
          <w:lang w:val="en-US"/>
        </w:rPr>
        <w:t>Hornikx</w:t>
      </w:r>
      <w:proofErr w:type="spellEnd"/>
      <w:r w:rsidRPr="00294ADB">
        <w:rPr>
          <w:rFonts w:cs="Arial"/>
          <w:bCs/>
          <w:color w:val="D34817" w:themeColor="accent1"/>
          <w:sz w:val="20"/>
          <w:szCs w:val="20"/>
          <w:shd w:val="clear" w:color="auto" w:fill="FFFFFF"/>
          <w:lang w:val="en-US"/>
        </w:rPr>
        <w:t>, J.</w:t>
      </w:r>
      <w:r w:rsidRPr="00680EBC">
        <w:rPr>
          <w:rFonts w:cs="Arial"/>
          <w:bCs/>
          <w:sz w:val="20"/>
          <w:szCs w:val="20"/>
          <w:shd w:val="clear" w:color="auto" w:fill="FFFFFF"/>
          <w:lang w:val="en-US"/>
        </w:rPr>
        <w:t xml:space="preserve"> (2005).</w:t>
      </w:r>
      <w:r w:rsidRPr="00680EBC">
        <w:rPr>
          <w:rStyle w:val="apple-converted-space"/>
          <w:rFonts w:cs="Arial"/>
          <w:sz w:val="20"/>
          <w:szCs w:val="20"/>
          <w:shd w:val="clear" w:color="auto" w:fill="FFFFFF"/>
          <w:lang w:val="en-US"/>
        </w:rPr>
        <w:t> </w:t>
      </w:r>
      <w:r w:rsidRPr="00680EBC">
        <w:rPr>
          <w:rFonts w:cs="Arial"/>
          <w:sz w:val="20"/>
          <w:szCs w:val="20"/>
          <w:shd w:val="clear" w:color="auto" w:fill="FFFFFF"/>
          <w:lang w:val="en-US"/>
        </w:rPr>
        <w:t xml:space="preserve">A review of experimental research on the relative persuasiveness of </w:t>
      </w:r>
      <w:proofErr w:type="spellStart"/>
      <w:r w:rsidRPr="00680EBC">
        <w:rPr>
          <w:rFonts w:cs="Arial"/>
          <w:sz w:val="20"/>
          <w:szCs w:val="20"/>
          <w:shd w:val="clear" w:color="auto" w:fill="FFFFFF"/>
          <w:lang w:val="en-US"/>
        </w:rPr>
        <w:t>anectodal</w:t>
      </w:r>
      <w:proofErr w:type="spellEnd"/>
      <w:r w:rsidRPr="00680EBC">
        <w:rPr>
          <w:rFonts w:cs="Arial"/>
          <w:sz w:val="20"/>
          <w:szCs w:val="20"/>
          <w:shd w:val="clear" w:color="auto" w:fill="FFFFFF"/>
          <w:lang w:val="en-US"/>
        </w:rPr>
        <w:t>, statistical, causal and expert evidence.</w:t>
      </w:r>
      <w:r w:rsidRPr="00680EBC">
        <w:rPr>
          <w:rStyle w:val="apple-converted-space"/>
          <w:rFonts w:cs="Arial"/>
          <w:sz w:val="20"/>
          <w:szCs w:val="20"/>
          <w:shd w:val="clear" w:color="auto" w:fill="FFFFFF"/>
          <w:lang w:val="en-US"/>
        </w:rPr>
        <w:t> </w:t>
      </w:r>
      <w:r w:rsidRPr="00680EBC">
        <w:rPr>
          <w:rFonts w:cs="Arial"/>
          <w:i/>
          <w:iCs/>
          <w:sz w:val="20"/>
          <w:szCs w:val="20"/>
          <w:shd w:val="clear" w:color="auto" w:fill="FFFFFF"/>
          <w:lang w:val="en-US"/>
        </w:rPr>
        <w:t>Studies in Communication Sciences</w:t>
      </w:r>
      <w:r w:rsidRPr="00680EBC">
        <w:rPr>
          <w:rFonts w:cs="Arial"/>
          <w:sz w:val="20"/>
          <w:szCs w:val="20"/>
          <w:shd w:val="clear" w:color="auto" w:fill="FFFFFF"/>
          <w:lang w:val="en-US"/>
        </w:rPr>
        <w:t xml:space="preserve"> 5.1, p. 205-216</w:t>
      </w:r>
      <w:r w:rsidRPr="00680EBC">
        <w:rPr>
          <w:sz w:val="20"/>
          <w:szCs w:val="20"/>
          <w:lang w:val="en-US"/>
        </w:rPr>
        <w:t xml:space="preserve"> </w:t>
      </w:r>
    </w:p>
    <w:p w:rsidR="00020934" w:rsidRPr="004C4F67" w:rsidRDefault="00020934" w:rsidP="00020934">
      <w:pPr>
        <w:rPr>
          <w:sz w:val="20"/>
          <w:szCs w:val="20"/>
          <w:shd w:val="clear" w:color="auto" w:fill="FFFFFF"/>
          <w:lang w:val="en-US"/>
        </w:rPr>
      </w:pPr>
      <w:proofErr w:type="spellStart"/>
      <w:r w:rsidRPr="008B53DD">
        <w:rPr>
          <w:color w:val="D34817" w:themeColor="accent1"/>
          <w:sz w:val="20"/>
          <w:szCs w:val="20"/>
          <w:shd w:val="clear" w:color="auto" w:fill="FFFFFF"/>
          <w:lang w:val="en-US"/>
        </w:rPr>
        <w:t>Hovland</w:t>
      </w:r>
      <w:proofErr w:type="spellEnd"/>
      <w:r w:rsidRPr="008B53DD">
        <w:rPr>
          <w:color w:val="D34817" w:themeColor="accent1"/>
          <w:sz w:val="20"/>
          <w:szCs w:val="20"/>
          <w:shd w:val="clear" w:color="auto" w:fill="FFFFFF"/>
          <w:lang w:val="en-US"/>
        </w:rPr>
        <w:t>, C. I., Janis, I. L. &amp; Kelley, H. H.</w:t>
      </w:r>
      <w:r w:rsidRPr="008B53DD">
        <w:rPr>
          <w:sz w:val="20"/>
          <w:szCs w:val="20"/>
          <w:shd w:val="clear" w:color="auto" w:fill="FFFFFF"/>
          <w:lang w:val="en-US"/>
        </w:rPr>
        <w:t xml:space="preserve"> (1953).</w:t>
      </w:r>
      <w:r w:rsidRPr="008B53DD">
        <w:rPr>
          <w:rStyle w:val="apple-converted-space"/>
          <w:color w:val="000000"/>
          <w:sz w:val="20"/>
          <w:szCs w:val="20"/>
          <w:shd w:val="clear" w:color="auto" w:fill="FFFFFF"/>
          <w:lang w:val="en-US"/>
        </w:rPr>
        <w:t> </w:t>
      </w:r>
      <w:r w:rsidRPr="004C4F67">
        <w:rPr>
          <w:i/>
          <w:iCs/>
          <w:sz w:val="20"/>
          <w:szCs w:val="20"/>
          <w:shd w:val="clear" w:color="auto" w:fill="FFFFFF"/>
          <w:lang w:val="en-US"/>
        </w:rPr>
        <w:t>Communications and persuasion: Psychological studies in opinion change</w:t>
      </w:r>
      <w:r w:rsidRPr="004C4F67">
        <w:rPr>
          <w:sz w:val="20"/>
          <w:szCs w:val="20"/>
          <w:shd w:val="clear" w:color="auto" w:fill="FFFFFF"/>
          <w:lang w:val="en-US"/>
        </w:rPr>
        <w:t>, New Haven, CT: Yale University Press</w:t>
      </w:r>
    </w:p>
    <w:p w:rsidR="00020934" w:rsidRPr="00680EBC" w:rsidRDefault="00020934" w:rsidP="00020934">
      <w:pPr>
        <w:rPr>
          <w:sz w:val="20"/>
          <w:szCs w:val="20"/>
          <w:lang w:val="en-US"/>
        </w:rPr>
      </w:pPr>
      <w:proofErr w:type="spellStart"/>
      <w:r w:rsidRPr="00B31070">
        <w:rPr>
          <w:color w:val="D34817" w:themeColor="accent1"/>
          <w:sz w:val="20"/>
          <w:szCs w:val="20"/>
          <w:lang w:val="en-US"/>
        </w:rPr>
        <w:t>Koballa</w:t>
      </w:r>
      <w:proofErr w:type="spellEnd"/>
      <w:r w:rsidRPr="00B31070">
        <w:rPr>
          <w:color w:val="D34817" w:themeColor="accent1"/>
          <w:sz w:val="20"/>
          <w:szCs w:val="20"/>
          <w:lang w:val="en-US"/>
        </w:rPr>
        <w:t>, T.</w:t>
      </w:r>
      <w:r>
        <w:rPr>
          <w:color w:val="D34817" w:themeColor="accent1"/>
          <w:sz w:val="20"/>
          <w:szCs w:val="20"/>
          <w:lang w:val="en-US"/>
        </w:rPr>
        <w:t xml:space="preserve"> </w:t>
      </w:r>
      <w:r w:rsidRPr="00B31070">
        <w:rPr>
          <w:color w:val="D34817" w:themeColor="accent1"/>
          <w:sz w:val="20"/>
          <w:szCs w:val="20"/>
          <w:lang w:val="en-US"/>
        </w:rPr>
        <w:t>R.</w:t>
      </w:r>
      <w:r w:rsidRPr="00680EBC">
        <w:rPr>
          <w:sz w:val="20"/>
          <w:szCs w:val="20"/>
          <w:lang w:val="en-US"/>
        </w:rPr>
        <w:t xml:space="preserve"> (1986). Persuading teachers to reexamine the innovative elementary science programs of yesterday: the effect of anecdotal versus data-summary communications. </w:t>
      </w:r>
      <w:r w:rsidRPr="00680EBC">
        <w:rPr>
          <w:rFonts w:cs="AGaramond-Italic"/>
          <w:i/>
          <w:iCs/>
          <w:sz w:val="20"/>
          <w:szCs w:val="20"/>
          <w:lang w:val="en-US"/>
        </w:rPr>
        <w:t xml:space="preserve">Journal of Research in Science Teaching </w:t>
      </w:r>
      <w:r w:rsidRPr="00680EBC">
        <w:rPr>
          <w:sz w:val="20"/>
          <w:szCs w:val="20"/>
          <w:lang w:val="en-US"/>
        </w:rPr>
        <w:t>23, p. 437-449.</w:t>
      </w:r>
    </w:p>
    <w:p w:rsidR="00020934" w:rsidRDefault="00020934" w:rsidP="00020934">
      <w:pPr>
        <w:rPr>
          <w:sz w:val="20"/>
          <w:szCs w:val="20"/>
          <w:lang w:val="en-US"/>
        </w:rPr>
      </w:pPr>
      <w:r w:rsidRPr="007B4D6A">
        <w:rPr>
          <w:color w:val="D34817" w:themeColor="accent1"/>
          <w:sz w:val="20"/>
          <w:szCs w:val="20"/>
          <w:lang w:val="en-US"/>
        </w:rPr>
        <w:t>Laurence, D.</w:t>
      </w:r>
      <w:r w:rsidRPr="00680EBC">
        <w:rPr>
          <w:sz w:val="20"/>
          <w:szCs w:val="20"/>
          <w:lang w:val="en-US"/>
        </w:rPr>
        <w:t xml:space="preserve"> (2005). Safety rules and regulations on mine sites: the problem and a solution. </w:t>
      </w:r>
      <w:proofErr w:type="spellStart"/>
      <w:r w:rsidRPr="00680EBC">
        <w:rPr>
          <w:i/>
          <w:sz w:val="20"/>
          <w:szCs w:val="20"/>
          <w:lang w:val="en-US"/>
        </w:rPr>
        <w:t>Jounal</w:t>
      </w:r>
      <w:proofErr w:type="spellEnd"/>
      <w:r w:rsidRPr="00680EBC">
        <w:rPr>
          <w:i/>
          <w:sz w:val="20"/>
          <w:szCs w:val="20"/>
          <w:lang w:val="en-US"/>
        </w:rPr>
        <w:t xml:space="preserve"> of Safety Research </w:t>
      </w:r>
      <w:r w:rsidRPr="00680EBC">
        <w:rPr>
          <w:sz w:val="20"/>
          <w:szCs w:val="20"/>
          <w:lang w:val="en-US"/>
        </w:rPr>
        <w:t>36, 1, 39-50.</w:t>
      </w:r>
    </w:p>
    <w:p w:rsidR="00F61C8E" w:rsidRPr="004C4F67" w:rsidRDefault="00F61C8E" w:rsidP="00F61C8E">
      <w:pPr>
        <w:rPr>
          <w:rFonts w:cs="Arial"/>
          <w:color w:val="222222"/>
          <w:sz w:val="20"/>
          <w:szCs w:val="20"/>
          <w:shd w:val="clear" w:color="auto" w:fill="FFFFFF"/>
          <w:lang w:val="en-US"/>
        </w:rPr>
      </w:pPr>
      <w:proofErr w:type="spellStart"/>
      <w:r w:rsidRPr="00B31070">
        <w:rPr>
          <w:rStyle w:val="Nadruk"/>
          <w:rFonts w:cs="Arial"/>
          <w:bCs/>
          <w:i w:val="0"/>
          <w:iCs w:val="0"/>
          <w:color w:val="D34817" w:themeColor="accent1"/>
          <w:sz w:val="20"/>
          <w:szCs w:val="20"/>
          <w:shd w:val="clear" w:color="auto" w:fill="FFFFFF"/>
          <w:lang w:val="en-US"/>
        </w:rPr>
        <w:lastRenderedPageBreak/>
        <w:t>Mazursky</w:t>
      </w:r>
      <w:proofErr w:type="spellEnd"/>
      <w:r w:rsidRPr="00B31070">
        <w:rPr>
          <w:rStyle w:val="Nadruk"/>
          <w:rFonts w:cs="Arial"/>
          <w:bCs/>
          <w:i w:val="0"/>
          <w:iCs w:val="0"/>
          <w:color w:val="D34817" w:themeColor="accent1"/>
          <w:sz w:val="20"/>
          <w:szCs w:val="20"/>
          <w:shd w:val="clear" w:color="auto" w:fill="FFFFFF"/>
          <w:lang w:val="en-US"/>
        </w:rPr>
        <w:t>,</w:t>
      </w:r>
      <w:r w:rsidRPr="00B31070">
        <w:rPr>
          <w:rStyle w:val="apple-converted-space"/>
          <w:rFonts w:cs="Arial"/>
          <w:color w:val="D34817" w:themeColor="accent1"/>
          <w:sz w:val="20"/>
          <w:szCs w:val="20"/>
          <w:shd w:val="clear" w:color="auto" w:fill="FFFFFF"/>
          <w:lang w:val="en-US"/>
        </w:rPr>
        <w:t> </w:t>
      </w:r>
      <w:r w:rsidRPr="00B31070">
        <w:rPr>
          <w:rFonts w:cs="Arial"/>
          <w:color w:val="D34817" w:themeColor="accent1"/>
          <w:sz w:val="20"/>
          <w:szCs w:val="20"/>
          <w:shd w:val="clear" w:color="auto" w:fill="FFFFFF"/>
          <w:lang w:val="en-US"/>
        </w:rPr>
        <w:t>D.</w:t>
      </w:r>
      <w:r>
        <w:rPr>
          <w:rFonts w:cs="Arial"/>
          <w:color w:val="D34817" w:themeColor="accent1"/>
          <w:sz w:val="20"/>
          <w:szCs w:val="20"/>
          <w:shd w:val="clear" w:color="auto" w:fill="FFFFFF"/>
          <w:lang w:val="en-US"/>
        </w:rPr>
        <w:t xml:space="preserve"> &amp; </w:t>
      </w:r>
      <w:proofErr w:type="spellStart"/>
      <w:r w:rsidRPr="00B31070">
        <w:rPr>
          <w:rStyle w:val="Nadruk"/>
          <w:rFonts w:cs="Arial"/>
          <w:bCs/>
          <w:i w:val="0"/>
          <w:iCs w:val="0"/>
          <w:color w:val="D34817" w:themeColor="accent1"/>
          <w:sz w:val="20"/>
          <w:szCs w:val="20"/>
          <w:shd w:val="clear" w:color="auto" w:fill="FFFFFF"/>
          <w:lang w:val="en-US"/>
        </w:rPr>
        <w:t>Schul</w:t>
      </w:r>
      <w:proofErr w:type="spellEnd"/>
      <w:r w:rsidRPr="00B31070">
        <w:rPr>
          <w:rStyle w:val="Nadruk"/>
          <w:rFonts w:cs="Arial"/>
          <w:bCs/>
          <w:i w:val="0"/>
          <w:iCs w:val="0"/>
          <w:color w:val="D34817" w:themeColor="accent1"/>
          <w:sz w:val="20"/>
          <w:szCs w:val="20"/>
          <w:shd w:val="clear" w:color="auto" w:fill="FFFFFF"/>
          <w:lang w:val="en-US"/>
        </w:rPr>
        <w:t>,</w:t>
      </w:r>
      <w:r w:rsidRPr="00B31070">
        <w:rPr>
          <w:rStyle w:val="apple-converted-space"/>
          <w:rFonts w:cs="Arial"/>
          <w:color w:val="D34817" w:themeColor="accent1"/>
          <w:sz w:val="20"/>
          <w:szCs w:val="20"/>
          <w:shd w:val="clear" w:color="auto" w:fill="FFFFFF"/>
          <w:lang w:val="en-US"/>
        </w:rPr>
        <w:t> </w:t>
      </w:r>
      <w:r w:rsidRPr="00B31070">
        <w:rPr>
          <w:rFonts w:cs="Arial"/>
          <w:color w:val="D34817" w:themeColor="accent1"/>
          <w:sz w:val="20"/>
          <w:szCs w:val="20"/>
          <w:shd w:val="clear" w:color="auto" w:fill="FFFFFF"/>
          <w:lang w:val="en-US"/>
        </w:rPr>
        <w:t>Y.</w:t>
      </w:r>
      <w:r w:rsidRPr="004C4F67">
        <w:rPr>
          <w:rFonts w:cs="Arial"/>
          <w:color w:val="222222"/>
          <w:sz w:val="20"/>
          <w:szCs w:val="20"/>
          <w:shd w:val="clear" w:color="auto" w:fill="FFFFFF"/>
          <w:lang w:val="en-US"/>
        </w:rPr>
        <w:t xml:space="preserve"> (</w:t>
      </w:r>
      <w:r w:rsidRPr="004C4F67">
        <w:rPr>
          <w:rStyle w:val="Nadruk"/>
          <w:rFonts w:cs="Arial"/>
          <w:bCs/>
          <w:i w:val="0"/>
          <w:iCs w:val="0"/>
          <w:color w:val="000000"/>
          <w:sz w:val="20"/>
          <w:szCs w:val="20"/>
          <w:shd w:val="clear" w:color="auto" w:fill="FFFFFF"/>
          <w:lang w:val="en-US"/>
        </w:rPr>
        <w:t>1992</w:t>
      </w:r>
      <w:r w:rsidRPr="004C4F67">
        <w:rPr>
          <w:rFonts w:cs="Arial"/>
          <w:color w:val="222222"/>
          <w:sz w:val="20"/>
          <w:szCs w:val="20"/>
          <w:shd w:val="clear" w:color="auto" w:fill="FFFFFF"/>
          <w:lang w:val="en-US"/>
        </w:rPr>
        <w:t xml:space="preserve">). Learning from the Ad or Relying on the Past: The Moderating Role of Involvement, </w:t>
      </w:r>
      <w:r w:rsidRPr="004C4F67">
        <w:rPr>
          <w:rFonts w:cs="Arial"/>
          <w:i/>
          <w:color w:val="222222"/>
          <w:sz w:val="20"/>
          <w:szCs w:val="20"/>
          <w:shd w:val="clear" w:color="auto" w:fill="FFFFFF"/>
          <w:lang w:val="en-US"/>
        </w:rPr>
        <w:t>Journal of Business Research</w:t>
      </w:r>
      <w:r w:rsidRPr="004C4F67">
        <w:rPr>
          <w:rFonts w:cs="Arial"/>
          <w:color w:val="222222"/>
          <w:sz w:val="20"/>
          <w:szCs w:val="20"/>
          <w:shd w:val="clear" w:color="auto" w:fill="FFFFFF"/>
          <w:lang w:val="en-US"/>
        </w:rPr>
        <w:t xml:space="preserve"> 25, 1, p. 81-94.</w:t>
      </w:r>
    </w:p>
    <w:p w:rsidR="00862C34" w:rsidRPr="00680EBC" w:rsidRDefault="00862C34" w:rsidP="00862C34">
      <w:pPr>
        <w:rPr>
          <w:sz w:val="20"/>
          <w:szCs w:val="20"/>
          <w:lang w:val="en-US"/>
        </w:rPr>
      </w:pPr>
      <w:r w:rsidRPr="007B4D6A">
        <w:rPr>
          <w:color w:val="D34817" w:themeColor="accent1"/>
          <w:sz w:val="20"/>
          <w:szCs w:val="20"/>
          <w:lang w:val="en-US"/>
        </w:rPr>
        <w:t>Miller, K.</w:t>
      </w:r>
      <w:r w:rsidRPr="00680EBC">
        <w:rPr>
          <w:sz w:val="20"/>
          <w:szCs w:val="20"/>
          <w:lang w:val="en-US"/>
        </w:rPr>
        <w:t xml:space="preserve"> (2011</w:t>
      </w:r>
      <w:r w:rsidRPr="00680EBC">
        <w:rPr>
          <w:i/>
          <w:sz w:val="20"/>
          <w:szCs w:val="20"/>
          <w:lang w:val="en-US"/>
        </w:rPr>
        <w:t>). Organizational Communication; Approaches and Processes</w:t>
      </w:r>
      <w:r w:rsidRPr="00680EBC">
        <w:rPr>
          <w:sz w:val="20"/>
          <w:szCs w:val="20"/>
          <w:lang w:val="en-US"/>
        </w:rPr>
        <w:t xml:space="preserve">. Wadsworth: </w:t>
      </w:r>
      <w:proofErr w:type="spellStart"/>
      <w:r w:rsidRPr="00680EBC">
        <w:rPr>
          <w:sz w:val="20"/>
          <w:szCs w:val="20"/>
          <w:lang w:val="en-US"/>
        </w:rPr>
        <w:t>Cengage</w:t>
      </w:r>
      <w:proofErr w:type="spellEnd"/>
    </w:p>
    <w:p w:rsidR="00862C34" w:rsidRPr="00680EBC" w:rsidRDefault="00862C34" w:rsidP="00862C34">
      <w:pPr>
        <w:rPr>
          <w:sz w:val="20"/>
          <w:szCs w:val="20"/>
          <w:lang w:val="en-US"/>
        </w:rPr>
      </w:pPr>
      <w:r w:rsidRPr="007B4D6A">
        <w:rPr>
          <w:color w:val="D34817" w:themeColor="accent1"/>
          <w:sz w:val="20"/>
          <w:szCs w:val="20"/>
          <w:lang w:val="en-US"/>
        </w:rPr>
        <w:t xml:space="preserve">Murphy, </w:t>
      </w:r>
      <w:r>
        <w:rPr>
          <w:color w:val="D34817" w:themeColor="accent1"/>
          <w:sz w:val="20"/>
          <w:szCs w:val="20"/>
          <w:lang w:val="en-US"/>
        </w:rPr>
        <w:t xml:space="preserve"> A. </w:t>
      </w:r>
      <w:r w:rsidRPr="00294ADB">
        <w:rPr>
          <w:color w:val="D34817" w:themeColor="accent1"/>
          <w:sz w:val="20"/>
          <w:szCs w:val="20"/>
          <w:lang w:val="en-US"/>
        </w:rPr>
        <w:t>G.</w:t>
      </w:r>
      <w:r w:rsidRPr="00680EBC">
        <w:rPr>
          <w:sz w:val="20"/>
          <w:szCs w:val="20"/>
          <w:lang w:val="en-US"/>
        </w:rPr>
        <w:t xml:space="preserve"> (2001). The flight attendant dilemma: an analysis of communication and </w:t>
      </w:r>
      <w:proofErr w:type="spellStart"/>
      <w:r w:rsidRPr="00680EBC">
        <w:rPr>
          <w:sz w:val="20"/>
          <w:szCs w:val="20"/>
          <w:lang w:val="en-US"/>
        </w:rPr>
        <w:t>sensemaking</w:t>
      </w:r>
      <w:proofErr w:type="spellEnd"/>
      <w:r w:rsidRPr="00680EBC">
        <w:rPr>
          <w:sz w:val="20"/>
          <w:szCs w:val="20"/>
          <w:lang w:val="en-US"/>
        </w:rPr>
        <w:t xml:space="preserve"> during in-flight emergencies. </w:t>
      </w:r>
      <w:r w:rsidRPr="00680EBC">
        <w:rPr>
          <w:i/>
          <w:sz w:val="20"/>
          <w:szCs w:val="20"/>
          <w:lang w:val="en-US"/>
        </w:rPr>
        <w:t xml:space="preserve">Journal of applied communication Research </w:t>
      </w:r>
      <w:r w:rsidRPr="00680EBC">
        <w:rPr>
          <w:sz w:val="20"/>
          <w:szCs w:val="20"/>
          <w:lang w:val="en-US"/>
        </w:rPr>
        <w:t>29, 1, p. 30-53</w:t>
      </w:r>
      <w:r>
        <w:rPr>
          <w:sz w:val="20"/>
          <w:szCs w:val="20"/>
          <w:lang w:val="en-US"/>
        </w:rPr>
        <w:t>.</w:t>
      </w:r>
    </w:p>
    <w:p w:rsidR="00F61C8E" w:rsidRPr="00680EBC" w:rsidRDefault="00F61C8E" w:rsidP="00F61C8E">
      <w:pPr>
        <w:rPr>
          <w:sz w:val="20"/>
          <w:szCs w:val="20"/>
          <w:lang w:val="en-US"/>
        </w:rPr>
      </w:pPr>
      <w:r w:rsidRPr="00294ADB">
        <w:rPr>
          <w:color w:val="D34817" w:themeColor="accent1"/>
          <w:sz w:val="20"/>
          <w:szCs w:val="20"/>
          <w:shd w:val="clear" w:color="auto" w:fill="FFFFFF"/>
          <w:lang w:val="en-US"/>
        </w:rPr>
        <w:t>O’Keefe, D. J.</w:t>
      </w:r>
      <w:r w:rsidRPr="00680EBC">
        <w:rPr>
          <w:sz w:val="20"/>
          <w:szCs w:val="20"/>
          <w:shd w:val="clear" w:color="auto" w:fill="FFFFFF"/>
          <w:lang w:val="en-US"/>
        </w:rPr>
        <w:t xml:space="preserve"> (2002).</w:t>
      </w:r>
      <w:r w:rsidRPr="00680EBC">
        <w:rPr>
          <w:rStyle w:val="apple-converted-space"/>
          <w:sz w:val="20"/>
          <w:szCs w:val="20"/>
          <w:shd w:val="clear" w:color="auto" w:fill="FFFFFF"/>
          <w:lang w:val="en-US"/>
        </w:rPr>
        <w:t> </w:t>
      </w:r>
      <w:r w:rsidRPr="00680EBC">
        <w:rPr>
          <w:i/>
          <w:iCs/>
          <w:sz w:val="20"/>
          <w:szCs w:val="20"/>
          <w:shd w:val="clear" w:color="auto" w:fill="FFFFFF"/>
          <w:lang w:val="en-US"/>
        </w:rPr>
        <w:t>Persuasion: Theory and Research.</w:t>
      </w:r>
      <w:r w:rsidRPr="00680EBC">
        <w:rPr>
          <w:rStyle w:val="apple-converted-space"/>
          <w:i/>
          <w:iCs/>
          <w:sz w:val="20"/>
          <w:szCs w:val="20"/>
          <w:shd w:val="clear" w:color="auto" w:fill="FFFFFF"/>
          <w:lang w:val="en-US"/>
        </w:rPr>
        <w:t> </w:t>
      </w:r>
      <w:r w:rsidRPr="00680EBC">
        <w:rPr>
          <w:sz w:val="20"/>
          <w:szCs w:val="20"/>
          <w:shd w:val="clear" w:color="auto" w:fill="FFFFFF"/>
          <w:lang w:val="en-US"/>
        </w:rPr>
        <w:t xml:space="preserve">Sage, Thousand Oaks, </w:t>
      </w:r>
      <w:proofErr w:type="spellStart"/>
      <w:r w:rsidRPr="00680EBC">
        <w:rPr>
          <w:sz w:val="20"/>
          <w:szCs w:val="20"/>
          <w:shd w:val="clear" w:color="auto" w:fill="FFFFFF"/>
          <w:lang w:val="en-US"/>
        </w:rPr>
        <w:t>Californië</w:t>
      </w:r>
      <w:proofErr w:type="spellEnd"/>
      <w:r w:rsidRPr="00680EBC">
        <w:rPr>
          <w:sz w:val="20"/>
          <w:szCs w:val="20"/>
          <w:shd w:val="clear" w:color="auto" w:fill="FFFFFF"/>
          <w:lang w:val="en-US"/>
        </w:rPr>
        <w:t>. p. 5</w:t>
      </w:r>
      <w:r>
        <w:rPr>
          <w:sz w:val="20"/>
          <w:szCs w:val="20"/>
          <w:shd w:val="clear" w:color="auto" w:fill="FFFFFF"/>
          <w:lang w:val="en-US"/>
        </w:rPr>
        <w:t>.</w:t>
      </w:r>
    </w:p>
    <w:p w:rsidR="00F61C8E" w:rsidRPr="00054C7D" w:rsidRDefault="00F61C8E" w:rsidP="00F61C8E">
      <w:pPr>
        <w:rPr>
          <w:sz w:val="20"/>
          <w:szCs w:val="20"/>
          <w:lang w:val="en-US"/>
        </w:rPr>
      </w:pPr>
      <w:bookmarkStart w:id="34" w:name="Petty,_R._E.,_Cacioppo,_J._T.,_&amp;_Goldman"/>
      <w:r w:rsidRPr="00B31070">
        <w:rPr>
          <w:color w:val="D34817" w:themeColor="accent1"/>
          <w:sz w:val="20"/>
          <w:szCs w:val="20"/>
          <w:shd w:val="clear" w:color="auto" w:fill="FFFFFF"/>
          <w:lang w:val="en-US"/>
        </w:rPr>
        <w:t xml:space="preserve">Petty, R. E., </w:t>
      </w:r>
      <w:proofErr w:type="spellStart"/>
      <w:r w:rsidRPr="00B31070">
        <w:rPr>
          <w:color w:val="D34817" w:themeColor="accent1"/>
          <w:sz w:val="20"/>
          <w:szCs w:val="20"/>
          <w:shd w:val="clear" w:color="auto" w:fill="FFFFFF"/>
          <w:lang w:val="en-US"/>
        </w:rPr>
        <w:t>Cacioppo</w:t>
      </w:r>
      <w:proofErr w:type="spellEnd"/>
      <w:r w:rsidRPr="00B31070">
        <w:rPr>
          <w:color w:val="D34817" w:themeColor="accent1"/>
          <w:sz w:val="20"/>
          <w:szCs w:val="20"/>
          <w:shd w:val="clear" w:color="auto" w:fill="FFFFFF"/>
          <w:lang w:val="en-US"/>
        </w:rPr>
        <w:t>, J. T., &amp; Goldman, R.</w:t>
      </w:r>
      <w:r w:rsidRPr="00054C7D">
        <w:rPr>
          <w:sz w:val="20"/>
          <w:szCs w:val="20"/>
          <w:shd w:val="clear" w:color="auto" w:fill="FFFFFF"/>
          <w:lang w:val="en-US"/>
        </w:rPr>
        <w:t xml:space="preserve"> (1981).</w:t>
      </w:r>
      <w:r w:rsidRPr="00054C7D">
        <w:rPr>
          <w:rStyle w:val="apple-converted-space"/>
          <w:color w:val="000000"/>
          <w:sz w:val="20"/>
          <w:szCs w:val="20"/>
          <w:shd w:val="clear" w:color="auto" w:fill="FFFFFF"/>
          <w:lang w:val="en-US"/>
        </w:rPr>
        <w:t> </w:t>
      </w:r>
      <w:bookmarkEnd w:id="34"/>
      <w:r w:rsidRPr="00054C7D">
        <w:rPr>
          <w:sz w:val="20"/>
          <w:szCs w:val="20"/>
          <w:shd w:val="clear" w:color="auto" w:fill="FFFFFF"/>
          <w:lang w:val="en-US"/>
        </w:rPr>
        <w:t>Personal involvement as a determinant of argument-based persuasion.</w:t>
      </w:r>
      <w:r w:rsidRPr="00054C7D">
        <w:rPr>
          <w:rStyle w:val="apple-converted-space"/>
          <w:color w:val="000000"/>
          <w:sz w:val="20"/>
          <w:szCs w:val="20"/>
          <w:shd w:val="clear" w:color="auto" w:fill="FFFFFF"/>
          <w:lang w:val="en-US"/>
        </w:rPr>
        <w:t> </w:t>
      </w:r>
      <w:r w:rsidRPr="00054C7D">
        <w:rPr>
          <w:i/>
          <w:sz w:val="20"/>
          <w:szCs w:val="20"/>
          <w:shd w:val="clear" w:color="auto" w:fill="FFFFFF"/>
          <w:lang w:val="en-US"/>
        </w:rPr>
        <w:t>Journal of Personality and Social Psychology</w:t>
      </w:r>
      <w:r w:rsidRPr="00054C7D">
        <w:rPr>
          <w:sz w:val="20"/>
          <w:szCs w:val="20"/>
          <w:shd w:val="clear" w:color="auto" w:fill="FFFFFF"/>
          <w:lang w:val="en-US"/>
        </w:rPr>
        <w:t xml:space="preserve"> 41,p.  847-55</w:t>
      </w:r>
      <w:r>
        <w:rPr>
          <w:sz w:val="20"/>
          <w:szCs w:val="20"/>
          <w:shd w:val="clear" w:color="auto" w:fill="FFFFFF"/>
          <w:lang w:val="en-US"/>
        </w:rPr>
        <w:t>.</w:t>
      </w:r>
    </w:p>
    <w:p w:rsidR="00F61C8E" w:rsidRPr="00F61C8E" w:rsidRDefault="00F61C8E" w:rsidP="00F61C8E">
      <w:pPr>
        <w:spacing w:after="120"/>
        <w:rPr>
          <w:sz w:val="20"/>
          <w:szCs w:val="20"/>
          <w:lang w:val="en-US"/>
        </w:rPr>
      </w:pPr>
      <w:r w:rsidRPr="00B31070">
        <w:rPr>
          <w:color w:val="D34817" w:themeColor="accent1"/>
          <w:sz w:val="20"/>
          <w:szCs w:val="20"/>
          <w:lang w:val="en-US"/>
        </w:rPr>
        <w:t>Pornpitakpan, C.</w:t>
      </w:r>
      <w:r w:rsidRPr="004C4F67">
        <w:rPr>
          <w:sz w:val="20"/>
          <w:szCs w:val="20"/>
          <w:lang w:val="en-US"/>
        </w:rPr>
        <w:t xml:space="preserve"> (2004). The Persuasiveness of Source Credibility: A Critical Review of Five Decades’ Evidence. </w:t>
      </w:r>
      <w:r w:rsidRPr="00F61C8E">
        <w:rPr>
          <w:i/>
          <w:sz w:val="20"/>
          <w:szCs w:val="20"/>
          <w:lang w:val="en-US"/>
        </w:rPr>
        <w:t>Journal of Applied Social</w:t>
      </w:r>
      <w:r w:rsidRPr="00F61C8E">
        <w:rPr>
          <w:sz w:val="20"/>
          <w:szCs w:val="20"/>
          <w:lang w:val="en-US"/>
        </w:rPr>
        <w:t xml:space="preserve"> </w:t>
      </w:r>
      <w:r w:rsidRPr="00F61C8E">
        <w:rPr>
          <w:i/>
          <w:sz w:val="20"/>
          <w:szCs w:val="20"/>
          <w:lang w:val="en-US"/>
        </w:rPr>
        <w:t>Psychology</w:t>
      </w:r>
      <w:r w:rsidRPr="00F61C8E">
        <w:rPr>
          <w:sz w:val="20"/>
          <w:szCs w:val="20"/>
          <w:lang w:val="en-US"/>
        </w:rPr>
        <w:t>, 34, 2, p. 43-281.</w:t>
      </w:r>
    </w:p>
    <w:p w:rsidR="00054BB4" w:rsidRPr="00680EBC" w:rsidRDefault="00054BB4" w:rsidP="00054BB4">
      <w:pPr>
        <w:rPr>
          <w:sz w:val="20"/>
          <w:szCs w:val="20"/>
          <w:lang w:val="en-US"/>
        </w:rPr>
      </w:pPr>
      <w:proofErr w:type="spellStart"/>
      <w:r w:rsidRPr="00294ADB">
        <w:rPr>
          <w:color w:val="D34817" w:themeColor="accent1"/>
          <w:sz w:val="20"/>
          <w:szCs w:val="20"/>
          <w:lang w:val="en-US"/>
        </w:rPr>
        <w:t>Rieke</w:t>
      </w:r>
      <w:proofErr w:type="spellEnd"/>
      <w:r w:rsidRPr="00294ADB">
        <w:rPr>
          <w:color w:val="D34817" w:themeColor="accent1"/>
          <w:sz w:val="20"/>
          <w:szCs w:val="20"/>
          <w:lang w:val="en-US"/>
        </w:rPr>
        <w:t xml:space="preserve">, R. &amp; </w:t>
      </w:r>
      <w:proofErr w:type="spellStart"/>
      <w:r w:rsidRPr="00294ADB">
        <w:rPr>
          <w:color w:val="D34817" w:themeColor="accent1"/>
          <w:sz w:val="20"/>
          <w:szCs w:val="20"/>
          <w:lang w:val="en-US"/>
        </w:rPr>
        <w:t>Sillars</w:t>
      </w:r>
      <w:proofErr w:type="spellEnd"/>
      <w:r w:rsidRPr="00294ADB">
        <w:rPr>
          <w:color w:val="D34817" w:themeColor="accent1"/>
          <w:sz w:val="20"/>
          <w:szCs w:val="20"/>
          <w:lang w:val="en-US"/>
        </w:rPr>
        <w:t>, M. O.</w:t>
      </w:r>
      <w:r w:rsidRPr="00680EBC">
        <w:rPr>
          <w:sz w:val="20"/>
          <w:szCs w:val="20"/>
          <w:lang w:val="en-US"/>
        </w:rPr>
        <w:t xml:space="preserve"> (1984). Argumentation and the decision making process, New York: Harper Collins.</w:t>
      </w:r>
    </w:p>
    <w:p w:rsidR="00F61C8E" w:rsidRPr="00680EBC" w:rsidRDefault="00F61C8E" w:rsidP="00F61C8E">
      <w:pPr>
        <w:rPr>
          <w:sz w:val="20"/>
          <w:szCs w:val="20"/>
          <w:lang w:val="en-US"/>
        </w:rPr>
      </w:pPr>
      <w:r w:rsidRPr="00B31070">
        <w:rPr>
          <w:color w:val="D34817" w:themeColor="accent1"/>
          <w:sz w:val="20"/>
          <w:szCs w:val="20"/>
          <w:lang w:val="en-US"/>
        </w:rPr>
        <w:t xml:space="preserve">Slater, M.D. &amp; </w:t>
      </w:r>
      <w:proofErr w:type="spellStart"/>
      <w:r w:rsidRPr="00B31070">
        <w:rPr>
          <w:color w:val="D34817" w:themeColor="accent1"/>
          <w:sz w:val="20"/>
          <w:szCs w:val="20"/>
          <w:lang w:val="en-US"/>
        </w:rPr>
        <w:t>Rouner</w:t>
      </w:r>
      <w:proofErr w:type="spellEnd"/>
      <w:r w:rsidRPr="00B31070">
        <w:rPr>
          <w:color w:val="D34817" w:themeColor="accent1"/>
          <w:sz w:val="20"/>
          <w:szCs w:val="20"/>
          <w:lang w:val="en-US"/>
        </w:rPr>
        <w:t>, D.</w:t>
      </w:r>
      <w:r w:rsidRPr="00680EBC">
        <w:rPr>
          <w:sz w:val="20"/>
          <w:szCs w:val="20"/>
          <w:lang w:val="en-US"/>
        </w:rPr>
        <w:t xml:space="preserve"> (1996). Value-affirmative and value-protective processing of alcohol education messages that include statistical evidence or anecdotes. </w:t>
      </w:r>
      <w:r w:rsidRPr="00680EBC">
        <w:rPr>
          <w:rFonts w:cs="AGaramond-Italic"/>
          <w:i/>
          <w:iCs/>
          <w:sz w:val="20"/>
          <w:szCs w:val="20"/>
          <w:lang w:val="en-US"/>
        </w:rPr>
        <w:t xml:space="preserve">Communication Research </w:t>
      </w:r>
      <w:r w:rsidRPr="00680EBC">
        <w:rPr>
          <w:sz w:val="20"/>
          <w:szCs w:val="20"/>
          <w:lang w:val="en-US"/>
        </w:rPr>
        <w:t>23, p. 210-235.</w:t>
      </w:r>
    </w:p>
    <w:p w:rsidR="00181A57" w:rsidRPr="0074214E" w:rsidRDefault="007E2762" w:rsidP="0074214E">
      <w:pPr>
        <w:rPr>
          <w:rFonts w:cs="Arial"/>
          <w:bCs/>
          <w:sz w:val="20"/>
          <w:szCs w:val="20"/>
          <w:shd w:val="clear" w:color="auto" w:fill="FFFFFF"/>
        </w:rPr>
      </w:pPr>
      <w:proofErr w:type="spellStart"/>
      <w:r w:rsidRPr="008B53DD">
        <w:rPr>
          <w:rFonts w:cs="Arial"/>
          <w:bCs/>
          <w:color w:val="D34817" w:themeColor="accent1"/>
          <w:sz w:val="20"/>
          <w:szCs w:val="20"/>
          <w:shd w:val="clear" w:color="auto" w:fill="FFFFFF"/>
          <w:lang w:val="en-US"/>
        </w:rPr>
        <w:t>Wiegman</w:t>
      </w:r>
      <w:proofErr w:type="spellEnd"/>
      <w:r w:rsidRPr="008B53DD">
        <w:rPr>
          <w:rFonts w:cs="Arial"/>
          <w:bCs/>
          <w:color w:val="D34817" w:themeColor="accent1"/>
          <w:sz w:val="20"/>
          <w:szCs w:val="20"/>
          <w:shd w:val="clear" w:color="auto" w:fill="FFFFFF"/>
          <w:lang w:val="en-US"/>
        </w:rPr>
        <w:t xml:space="preserve">, O., </w:t>
      </w:r>
      <w:proofErr w:type="spellStart"/>
      <w:r w:rsidRPr="008B53DD">
        <w:rPr>
          <w:rFonts w:cs="Arial"/>
          <w:bCs/>
          <w:color w:val="D34817" w:themeColor="accent1"/>
          <w:sz w:val="20"/>
          <w:szCs w:val="20"/>
          <w:shd w:val="clear" w:color="auto" w:fill="FFFFFF"/>
          <w:lang w:val="en-US"/>
        </w:rPr>
        <w:t>Roon</w:t>
      </w:r>
      <w:proofErr w:type="spellEnd"/>
      <w:r w:rsidRPr="008B53DD">
        <w:rPr>
          <w:rFonts w:cs="Arial"/>
          <w:bCs/>
          <w:color w:val="D34817" w:themeColor="accent1"/>
          <w:sz w:val="20"/>
          <w:szCs w:val="20"/>
          <w:shd w:val="clear" w:color="auto" w:fill="FFFFFF"/>
          <w:lang w:val="en-US"/>
        </w:rPr>
        <w:t>, de A.</w:t>
      </w:r>
      <w:r w:rsidR="00C255DD" w:rsidRPr="008B53DD">
        <w:rPr>
          <w:rFonts w:cs="Arial"/>
          <w:bCs/>
          <w:color w:val="D34817" w:themeColor="accent1"/>
          <w:sz w:val="20"/>
          <w:szCs w:val="20"/>
          <w:shd w:val="clear" w:color="auto" w:fill="FFFFFF"/>
          <w:lang w:val="en-US"/>
        </w:rPr>
        <w:t xml:space="preserve"> </w:t>
      </w:r>
      <w:r w:rsidRPr="008B53DD">
        <w:rPr>
          <w:rFonts w:cs="Arial"/>
          <w:bCs/>
          <w:color w:val="D34817" w:themeColor="accent1"/>
          <w:sz w:val="20"/>
          <w:szCs w:val="20"/>
          <w:shd w:val="clear" w:color="auto" w:fill="FFFFFF"/>
          <w:lang w:val="en-US"/>
        </w:rPr>
        <w:t xml:space="preserve">D. &amp; </w:t>
      </w:r>
      <w:proofErr w:type="spellStart"/>
      <w:r w:rsidRPr="008B53DD">
        <w:rPr>
          <w:rFonts w:cs="Arial"/>
          <w:bCs/>
          <w:color w:val="D34817" w:themeColor="accent1"/>
          <w:sz w:val="20"/>
          <w:szCs w:val="20"/>
          <w:shd w:val="clear" w:color="auto" w:fill="FFFFFF"/>
          <w:lang w:val="en-US"/>
        </w:rPr>
        <w:t>Snijders</w:t>
      </w:r>
      <w:proofErr w:type="spellEnd"/>
      <w:r w:rsidRPr="008B53DD">
        <w:rPr>
          <w:rFonts w:cs="Arial"/>
          <w:bCs/>
          <w:color w:val="D34817" w:themeColor="accent1"/>
          <w:sz w:val="20"/>
          <w:szCs w:val="20"/>
          <w:shd w:val="clear" w:color="auto" w:fill="FFFFFF"/>
          <w:lang w:val="en-US"/>
        </w:rPr>
        <w:t>, Th.</w:t>
      </w:r>
      <w:r w:rsidRPr="008B53DD">
        <w:rPr>
          <w:rFonts w:cs="Arial"/>
          <w:bCs/>
          <w:sz w:val="20"/>
          <w:szCs w:val="20"/>
          <w:shd w:val="clear" w:color="auto" w:fill="FFFFFF"/>
          <w:lang w:val="en-US"/>
        </w:rPr>
        <w:t xml:space="preserve"> </w:t>
      </w:r>
      <w:r w:rsidRPr="00680EBC">
        <w:rPr>
          <w:rFonts w:cs="Arial"/>
          <w:bCs/>
          <w:sz w:val="20"/>
          <w:szCs w:val="20"/>
          <w:shd w:val="clear" w:color="auto" w:fill="FFFFFF"/>
        </w:rPr>
        <w:t>(1981)</w:t>
      </w:r>
      <w:r w:rsidRPr="00680EBC">
        <w:rPr>
          <w:rFonts w:cs="Arial"/>
          <w:sz w:val="20"/>
          <w:szCs w:val="20"/>
          <w:shd w:val="clear" w:color="auto" w:fill="FFFFFF"/>
        </w:rPr>
        <w:t xml:space="preserve">. Meningen en Media. Politieke opponenten in een  realistisch experiment. Van </w:t>
      </w:r>
      <w:proofErr w:type="spellStart"/>
      <w:r w:rsidRPr="00680EBC">
        <w:rPr>
          <w:rFonts w:cs="Arial"/>
          <w:sz w:val="20"/>
          <w:szCs w:val="20"/>
          <w:shd w:val="clear" w:color="auto" w:fill="FFFFFF"/>
        </w:rPr>
        <w:t>Loghum</w:t>
      </w:r>
      <w:proofErr w:type="spellEnd"/>
      <w:r w:rsidRPr="00680EBC">
        <w:rPr>
          <w:rFonts w:cs="Arial"/>
          <w:sz w:val="20"/>
          <w:szCs w:val="20"/>
          <w:shd w:val="clear" w:color="auto" w:fill="FFFFFF"/>
        </w:rPr>
        <w:t xml:space="preserve"> </w:t>
      </w:r>
      <w:proofErr w:type="spellStart"/>
      <w:r w:rsidRPr="00680EBC">
        <w:rPr>
          <w:rFonts w:cs="Arial"/>
          <w:sz w:val="20"/>
          <w:szCs w:val="20"/>
          <w:shd w:val="clear" w:color="auto" w:fill="FFFFFF"/>
        </w:rPr>
        <w:t>Slaterus</w:t>
      </w:r>
      <w:proofErr w:type="spellEnd"/>
      <w:r w:rsidRPr="00680EBC">
        <w:rPr>
          <w:rFonts w:cs="Arial"/>
          <w:sz w:val="20"/>
          <w:szCs w:val="20"/>
          <w:shd w:val="clear" w:color="auto" w:fill="FFFFFF"/>
        </w:rPr>
        <w:t>, Deventer</w:t>
      </w:r>
    </w:p>
    <w:sectPr w:rsidR="00181A57" w:rsidRPr="0074214E" w:rsidSect="0034099A">
      <w:footerReference w:type="default" r:id="rId13"/>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5F" w:rsidRDefault="008E445F" w:rsidP="00291B95">
      <w:pPr>
        <w:spacing w:after="0" w:line="240" w:lineRule="auto"/>
      </w:pPr>
      <w:r>
        <w:separator/>
      </w:r>
    </w:p>
  </w:endnote>
  <w:endnote w:type="continuationSeparator" w:id="0">
    <w:p w:rsidR="008E445F" w:rsidRDefault="008E445F" w:rsidP="00291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0573"/>
      <w:docPartObj>
        <w:docPartGallery w:val="Page Numbers (Bottom of Page)"/>
        <w:docPartUnique/>
      </w:docPartObj>
    </w:sdtPr>
    <w:sdtContent>
      <w:p w:rsidR="00B31BC1" w:rsidRDefault="00A74349">
        <w:pPr>
          <w:pStyle w:val="Voettekst"/>
          <w:jc w:val="center"/>
        </w:pPr>
        <w:r>
          <w:pict>
            <v:shapetype id="_x0000_t110" coordsize="21600,21600" o:spt="110" path="m10800,l,10800,10800,21600,21600,10800xe">
              <v:stroke joinstyle="miter"/>
              <v:path gradientshapeok="t" o:connecttype="rect" textboxrect="5400,5400,16200,16200"/>
            </v:shapetype>
            <v:shape id="_x0000_s1126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B31BC1" w:rsidRDefault="00836C71">
        <w:pPr>
          <w:pStyle w:val="Voettekst"/>
          <w:jc w:val="center"/>
        </w:pPr>
        <w:r w:rsidRPr="00AE4287">
          <w:rPr>
            <w:sz w:val="16"/>
            <w:szCs w:val="16"/>
          </w:rPr>
          <w:fldChar w:fldCharType="begin"/>
        </w:r>
        <w:r w:rsidR="00B31BC1" w:rsidRPr="00AE4287">
          <w:rPr>
            <w:sz w:val="16"/>
            <w:szCs w:val="16"/>
          </w:rPr>
          <w:instrText xml:space="preserve"> PAGE    \* MERGEFORMAT </w:instrText>
        </w:r>
        <w:r w:rsidRPr="00AE4287">
          <w:rPr>
            <w:sz w:val="16"/>
            <w:szCs w:val="16"/>
          </w:rPr>
          <w:fldChar w:fldCharType="separate"/>
        </w:r>
        <w:r w:rsidR="00A74349">
          <w:rPr>
            <w:noProof/>
            <w:sz w:val="16"/>
            <w:szCs w:val="16"/>
          </w:rPr>
          <w:t>2</w:t>
        </w:r>
        <w:r w:rsidRPr="00AE4287">
          <w:rPr>
            <w:sz w:val="16"/>
            <w:szCs w:val="16"/>
          </w:rPr>
          <w:fldChar w:fldCharType="end"/>
        </w:r>
      </w:p>
    </w:sdtContent>
  </w:sdt>
  <w:p w:rsidR="00B31BC1" w:rsidRDefault="00B31BC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5F" w:rsidRDefault="008E445F" w:rsidP="00291B95">
      <w:pPr>
        <w:spacing w:after="0" w:line="240" w:lineRule="auto"/>
      </w:pPr>
      <w:r>
        <w:separator/>
      </w:r>
    </w:p>
  </w:footnote>
  <w:footnote w:type="continuationSeparator" w:id="0">
    <w:p w:rsidR="008E445F" w:rsidRDefault="008E445F" w:rsidP="00291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7410"/>
    <o:shapelayout v:ext="edit">
      <o:idmap v:ext="edit" data="11"/>
    </o:shapelayout>
  </w:hdrShapeDefaults>
  <w:footnotePr>
    <w:footnote w:id="-1"/>
    <w:footnote w:id="0"/>
  </w:footnotePr>
  <w:endnotePr>
    <w:endnote w:id="-1"/>
    <w:endnote w:id="0"/>
  </w:endnotePr>
  <w:compat/>
  <w:rsids>
    <w:rsidRoot w:val="00247CDC"/>
    <w:rsid w:val="000004EE"/>
    <w:rsid w:val="00002530"/>
    <w:rsid w:val="00011175"/>
    <w:rsid w:val="000159A7"/>
    <w:rsid w:val="00020934"/>
    <w:rsid w:val="00021194"/>
    <w:rsid w:val="00025129"/>
    <w:rsid w:val="00041D22"/>
    <w:rsid w:val="0005311D"/>
    <w:rsid w:val="00054799"/>
    <w:rsid w:val="00054BB4"/>
    <w:rsid w:val="00054C7D"/>
    <w:rsid w:val="00055627"/>
    <w:rsid w:val="000610D3"/>
    <w:rsid w:val="000656C0"/>
    <w:rsid w:val="00065F9D"/>
    <w:rsid w:val="00073AAC"/>
    <w:rsid w:val="000827DB"/>
    <w:rsid w:val="00083155"/>
    <w:rsid w:val="00084F98"/>
    <w:rsid w:val="00094BA8"/>
    <w:rsid w:val="000A0C9A"/>
    <w:rsid w:val="000A2AB1"/>
    <w:rsid w:val="000A461B"/>
    <w:rsid w:val="000A4FCA"/>
    <w:rsid w:val="000B2040"/>
    <w:rsid w:val="000B25DF"/>
    <w:rsid w:val="000B29FA"/>
    <w:rsid w:val="000B35E0"/>
    <w:rsid w:val="000B3F2D"/>
    <w:rsid w:val="000B4345"/>
    <w:rsid w:val="000C349A"/>
    <w:rsid w:val="000C6C62"/>
    <w:rsid w:val="000D26C3"/>
    <w:rsid w:val="000D2772"/>
    <w:rsid w:val="000D3D3B"/>
    <w:rsid w:val="000D3FDB"/>
    <w:rsid w:val="000D468F"/>
    <w:rsid w:val="000D51BE"/>
    <w:rsid w:val="000D69BF"/>
    <w:rsid w:val="000D6B4E"/>
    <w:rsid w:val="000E15DA"/>
    <w:rsid w:val="000E3790"/>
    <w:rsid w:val="000E754B"/>
    <w:rsid w:val="000F0208"/>
    <w:rsid w:val="001043EC"/>
    <w:rsid w:val="001062C2"/>
    <w:rsid w:val="00107AF5"/>
    <w:rsid w:val="0011091A"/>
    <w:rsid w:val="001139C2"/>
    <w:rsid w:val="00116BAB"/>
    <w:rsid w:val="00117076"/>
    <w:rsid w:val="00120260"/>
    <w:rsid w:val="001305C4"/>
    <w:rsid w:val="00131224"/>
    <w:rsid w:val="00131BB3"/>
    <w:rsid w:val="00132A44"/>
    <w:rsid w:val="00133E59"/>
    <w:rsid w:val="00134EE9"/>
    <w:rsid w:val="001354C8"/>
    <w:rsid w:val="00142C74"/>
    <w:rsid w:val="001433A8"/>
    <w:rsid w:val="00144086"/>
    <w:rsid w:val="00144555"/>
    <w:rsid w:val="00146866"/>
    <w:rsid w:val="00156228"/>
    <w:rsid w:val="001569F5"/>
    <w:rsid w:val="00156C2E"/>
    <w:rsid w:val="001574FF"/>
    <w:rsid w:val="00167246"/>
    <w:rsid w:val="001707C3"/>
    <w:rsid w:val="00173B27"/>
    <w:rsid w:val="0017779D"/>
    <w:rsid w:val="00181A57"/>
    <w:rsid w:val="00181FD6"/>
    <w:rsid w:val="00185A96"/>
    <w:rsid w:val="0019274C"/>
    <w:rsid w:val="0019548C"/>
    <w:rsid w:val="001A0CEE"/>
    <w:rsid w:val="001A166B"/>
    <w:rsid w:val="001A6D4A"/>
    <w:rsid w:val="001B26FC"/>
    <w:rsid w:val="001B3ACF"/>
    <w:rsid w:val="001B6354"/>
    <w:rsid w:val="001C1B57"/>
    <w:rsid w:val="001C30B7"/>
    <w:rsid w:val="001C7A1C"/>
    <w:rsid w:val="001D227F"/>
    <w:rsid w:val="001D4242"/>
    <w:rsid w:val="001D5899"/>
    <w:rsid w:val="001D7A82"/>
    <w:rsid w:val="001E14A1"/>
    <w:rsid w:val="001E6013"/>
    <w:rsid w:val="001E65B3"/>
    <w:rsid w:val="001E66F0"/>
    <w:rsid w:val="001E7CD5"/>
    <w:rsid w:val="001F306B"/>
    <w:rsid w:val="001F4B0F"/>
    <w:rsid w:val="001F4F23"/>
    <w:rsid w:val="001F7339"/>
    <w:rsid w:val="001F7D40"/>
    <w:rsid w:val="002006D1"/>
    <w:rsid w:val="00201463"/>
    <w:rsid w:val="0020188D"/>
    <w:rsid w:val="00201D4A"/>
    <w:rsid w:val="00202070"/>
    <w:rsid w:val="0020227E"/>
    <w:rsid w:val="002050D4"/>
    <w:rsid w:val="00205722"/>
    <w:rsid w:val="00215BE1"/>
    <w:rsid w:val="002165C1"/>
    <w:rsid w:val="002232D8"/>
    <w:rsid w:val="00223FAB"/>
    <w:rsid w:val="0022402D"/>
    <w:rsid w:val="0022416C"/>
    <w:rsid w:val="00231050"/>
    <w:rsid w:val="002317D1"/>
    <w:rsid w:val="00231973"/>
    <w:rsid w:val="00235813"/>
    <w:rsid w:val="0023626C"/>
    <w:rsid w:val="00242A9B"/>
    <w:rsid w:val="00245A05"/>
    <w:rsid w:val="00245BA9"/>
    <w:rsid w:val="002470F1"/>
    <w:rsid w:val="00247CDC"/>
    <w:rsid w:val="0025061D"/>
    <w:rsid w:val="00252D67"/>
    <w:rsid w:val="0025725F"/>
    <w:rsid w:val="002675A6"/>
    <w:rsid w:val="00267B27"/>
    <w:rsid w:val="00270CE9"/>
    <w:rsid w:val="00273A30"/>
    <w:rsid w:val="00273D3A"/>
    <w:rsid w:val="002771FD"/>
    <w:rsid w:val="00282403"/>
    <w:rsid w:val="002825AB"/>
    <w:rsid w:val="002902C5"/>
    <w:rsid w:val="00290AEA"/>
    <w:rsid w:val="00291B95"/>
    <w:rsid w:val="00293D0C"/>
    <w:rsid w:val="00294ADB"/>
    <w:rsid w:val="002971E6"/>
    <w:rsid w:val="002A26C4"/>
    <w:rsid w:val="002B06EC"/>
    <w:rsid w:val="002B1824"/>
    <w:rsid w:val="002B1ACF"/>
    <w:rsid w:val="002B3BDE"/>
    <w:rsid w:val="002C2E62"/>
    <w:rsid w:val="002C3E1A"/>
    <w:rsid w:val="002D63BD"/>
    <w:rsid w:val="002D6CF9"/>
    <w:rsid w:val="002D6E96"/>
    <w:rsid w:val="002E3028"/>
    <w:rsid w:val="002E5820"/>
    <w:rsid w:val="002E6AFC"/>
    <w:rsid w:val="002F051F"/>
    <w:rsid w:val="002F1454"/>
    <w:rsid w:val="002F24D4"/>
    <w:rsid w:val="002F300D"/>
    <w:rsid w:val="002F3AE7"/>
    <w:rsid w:val="002F4C05"/>
    <w:rsid w:val="002F7657"/>
    <w:rsid w:val="00300048"/>
    <w:rsid w:val="00300AF1"/>
    <w:rsid w:val="003010FF"/>
    <w:rsid w:val="00304A62"/>
    <w:rsid w:val="0030791E"/>
    <w:rsid w:val="00307BA0"/>
    <w:rsid w:val="0031384E"/>
    <w:rsid w:val="00323712"/>
    <w:rsid w:val="00323A0F"/>
    <w:rsid w:val="00323DEB"/>
    <w:rsid w:val="00326DC9"/>
    <w:rsid w:val="00336892"/>
    <w:rsid w:val="0033695A"/>
    <w:rsid w:val="00337DBD"/>
    <w:rsid w:val="0034099A"/>
    <w:rsid w:val="00340C3B"/>
    <w:rsid w:val="003505B6"/>
    <w:rsid w:val="00351802"/>
    <w:rsid w:val="00360AF0"/>
    <w:rsid w:val="00363398"/>
    <w:rsid w:val="00364E0F"/>
    <w:rsid w:val="00365509"/>
    <w:rsid w:val="00371FBC"/>
    <w:rsid w:val="00374689"/>
    <w:rsid w:val="00383EF1"/>
    <w:rsid w:val="00385795"/>
    <w:rsid w:val="00385D8A"/>
    <w:rsid w:val="00385E08"/>
    <w:rsid w:val="0038731E"/>
    <w:rsid w:val="003918C1"/>
    <w:rsid w:val="0039207B"/>
    <w:rsid w:val="00392FEA"/>
    <w:rsid w:val="003938CA"/>
    <w:rsid w:val="003942F8"/>
    <w:rsid w:val="0039436D"/>
    <w:rsid w:val="003A0A36"/>
    <w:rsid w:val="003A0D18"/>
    <w:rsid w:val="003A2D57"/>
    <w:rsid w:val="003A5A58"/>
    <w:rsid w:val="003A6EEC"/>
    <w:rsid w:val="003B2184"/>
    <w:rsid w:val="003B4242"/>
    <w:rsid w:val="003B7A5A"/>
    <w:rsid w:val="003C1F3D"/>
    <w:rsid w:val="003C709F"/>
    <w:rsid w:val="003C7AD1"/>
    <w:rsid w:val="003D67A3"/>
    <w:rsid w:val="003D7514"/>
    <w:rsid w:val="003E03B4"/>
    <w:rsid w:val="003E34B5"/>
    <w:rsid w:val="003E4E81"/>
    <w:rsid w:val="003E53A6"/>
    <w:rsid w:val="003E5742"/>
    <w:rsid w:val="003E7D3E"/>
    <w:rsid w:val="003F333C"/>
    <w:rsid w:val="003F3546"/>
    <w:rsid w:val="00401437"/>
    <w:rsid w:val="004040E4"/>
    <w:rsid w:val="004129F6"/>
    <w:rsid w:val="00422D04"/>
    <w:rsid w:val="004242BE"/>
    <w:rsid w:val="004273D7"/>
    <w:rsid w:val="00434645"/>
    <w:rsid w:val="00434CD0"/>
    <w:rsid w:val="0044098F"/>
    <w:rsid w:val="00440E57"/>
    <w:rsid w:val="00442AAF"/>
    <w:rsid w:val="004436F5"/>
    <w:rsid w:val="00447311"/>
    <w:rsid w:val="004507B1"/>
    <w:rsid w:val="00451069"/>
    <w:rsid w:val="00451449"/>
    <w:rsid w:val="004544BF"/>
    <w:rsid w:val="00454F72"/>
    <w:rsid w:val="00461A81"/>
    <w:rsid w:val="00463E25"/>
    <w:rsid w:val="00464A1B"/>
    <w:rsid w:val="00466A4B"/>
    <w:rsid w:val="00466DD3"/>
    <w:rsid w:val="00467603"/>
    <w:rsid w:val="00467662"/>
    <w:rsid w:val="00467F65"/>
    <w:rsid w:val="00470BF4"/>
    <w:rsid w:val="00470C00"/>
    <w:rsid w:val="00473B44"/>
    <w:rsid w:val="00474DA2"/>
    <w:rsid w:val="00475D48"/>
    <w:rsid w:val="0047677F"/>
    <w:rsid w:val="00476BCA"/>
    <w:rsid w:val="00481475"/>
    <w:rsid w:val="00486686"/>
    <w:rsid w:val="00486C2E"/>
    <w:rsid w:val="004903B4"/>
    <w:rsid w:val="00496457"/>
    <w:rsid w:val="00496781"/>
    <w:rsid w:val="004A006F"/>
    <w:rsid w:val="004A0D08"/>
    <w:rsid w:val="004A7028"/>
    <w:rsid w:val="004B34EA"/>
    <w:rsid w:val="004B6548"/>
    <w:rsid w:val="004B74EC"/>
    <w:rsid w:val="004B7F01"/>
    <w:rsid w:val="004C0992"/>
    <w:rsid w:val="004C256E"/>
    <w:rsid w:val="004C41E0"/>
    <w:rsid w:val="004C4281"/>
    <w:rsid w:val="004C4D93"/>
    <w:rsid w:val="004C4F67"/>
    <w:rsid w:val="004C64B1"/>
    <w:rsid w:val="004D3058"/>
    <w:rsid w:val="004D346D"/>
    <w:rsid w:val="004D76D7"/>
    <w:rsid w:val="004E07D6"/>
    <w:rsid w:val="004E1D7C"/>
    <w:rsid w:val="004E2B28"/>
    <w:rsid w:val="004E6B56"/>
    <w:rsid w:val="004F222C"/>
    <w:rsid w:val="004F6B16"/>
    <w:rsid w:val="004F7E2F"/>
    <w:rsid w:val="0050177F"/>
    <w:rsid w:val="005039FD"/>
    <w:rsid w:val="005060DA"/>
    <w:rsid w:val="0051490A"/>
    <w:rsid w:val="005150A8"/>
    <w:rsid w:val="00515BEF"/>
    <w:rsid w:val="00516FB0"/>
    <w:rsid w:val="00517CCA"/>
    <w:rsid w:val="0052047D"/>
    <w:rsid w:val="005216DA"/>
    <w:rsid w:val="00521998"/>
    <w:rsid w:val="00523FE1"/>
    <w:rsid w:val="00524507"/>
    <w:rsid w:val="00526075"/>
    <w:rsid w:val="0053361E"/>
    <w:rsid w:val="005366EA"/>
    <w:rsid w:val="00536DAE"/>
    <w:rsid w:val="00541499"/>
    <w:rsid w:val="005414B1"/>
    <w:rsid w:val="00543F47"/>
    <w:rsid w:val="005443BA"/>
    <w:rsid w:val="00547E59"/>
    <w:rsid w:val="005502CD"/>
    <w:rsid w:val="005508A8"/>
    <w:rsid w:val="005514C4"/>
    <w:rsid w:val="005533A8"/>
    <w:rsid w:val="00554AB7"/>
    <w:rsid w:val="00562CC2"/>
    <w:rsid w:val="00563D6F"/>
    <w:rsid w:val="00567508"/>
    <w:rsid w:val="0057365D"/>
    <w:rsid w:val="00573E55"/>
    <w:rsid w:val="005767BB"/>
    <w:rsid w:val="00577EF5"/>
    <w:rsid w:val="00580BAA"/>
    <w:rsid w:val="00583958"/>
    <w:rsid w:val="00585887"/>
    <w:rsid w:val="00586BB4"/>
    <w:rsid w:val="00587F10"/>
    <w:rsid w:val="005956E8"/>
    <w:rsid w:val="005A1D78"/>
    <w:rsid w:val="005B0C19"/>
    <w:rsid w:val="005B1FAA"/>
    <w:rsid w:val="005B6E9A"/>
    <w:rsid w:val="005B78E3"/>
    <w:rsid w:val="005C0307"/>
    <w:rsid w:val="005C1117"/>
    <w:rsid w:val="005C31FE"/>
    <w:rsid w:val="005D0B1F"/>
    <w:rsid w:val="005D6793"/>
    <w:rsid w:val="005D6D62"/>
    <w:rsid w:val="005D6FF7"/>
    <w:rsid w:val="005D79DF"/>
    <w:rsid w:val="005E100C"/>
    <w:rsid w:val="005E406B"/>
    <w:rsid w:val="005E4105"/>
    <w:rsid w:val="005E6E2B"/>
    <w:rsid w:val="005E6EFC"/>
    <w:rsid w:val="005E7A9D"/>
    <w:rsid w:val="005F14A4"/>
    <w:rsid w:val="00602E39"/>
    <w:rsid w:val="006030B2"/>
    <w:rsid w:val="006075C2"/>
    <w:rsid w:val="00613A91"/>
    <w:rsid w:val="00613EB4"/>
    <w:rsid w:val="006158FF"/>
    <w:rsid w:val="0062233A"/>
    <w:rsid w:val="00622AF4"/>
    <w:rsid w:val="0062516B"/>
    <w:rsid w:val="0063178B"/>
    <w:rsid w:val="00633482"/>
    <w:rsid w:val="00635029"/>
    <w:rsid w:val="0063641A"/>
    <w:rsid w:val="00636CD1"/>
    <w:rsid w:val="0063726C"/>
    <w:rsid w:val="006373BF"/>
    <w:rsid w:val="00644B25"/>
    <w:rsid w:val="00646B6F"/>
    <w:rsid w:val="00651AFE"/>
    <w:rsid w:val="00656DCF"/>
    <w:rsid w:val="00660050"/>
    <w:rsid w:val="00662C99"/>
    <w:rsid w:val="00662CC3"/>
    <w:rsid w:val="006661D9"/>
    <w:rsid w:val="00667A18"/>
    <w:rsid w:val="006700D6"/>
    <w:rsid w:val="00670132"/>
    <w:rsid w:val="00671DE5"/>
    <w:rsid w:val="00675099"/>
    <w:rsid w:val="00676205"/>
    <w:rsid w:val="00677288"/>
    <w:rsid w:val="00680EBC"/>
    <w:rsid w:val="00685238"/>
    <w:rsid w:val="00686341"/>
    <w:rsid w:val="006907F8"/>
    <w:rsid w:val="00690F46"/>
    <w:rsid w:val="00691AA5"/>
    <w:rsid w:val="00692052"/>
    <w:rsid w:val="00693652"/>
    <w:rsid w:val="006970D0"/>
    <w:rsid w:val="006A095D"/>
    <w:rsid w:val="006A1087"/>
    <w:rsid w:val="006A19F3"/>
    <w:rsid w:val="006A30A8"/>
    <w:rsid w:val="006A3A10"/>
    <w:rsid w:val="006A535C"/>
    <w:rsid w:val="006A53E5"/>
    <w:rsid w:val="006B10DA"/>
    <w:rsid w:val="006B3AA1"/>
    <w:rsid w:val="006B5C4C"/>
    <w:rsid w:val="006C180A"/>
    <w:rsid w:val="006C4207"/>
    <w:rsid w:val="006C5ECE"/>
    <w:rsid w:val="006C6D05"/>
    <w:rsid w:val="006D7B92"/>
    <w:rsid w:val="006D7BC7"/>
    <w:rsid w:val="006F33C9"/>
    <w:rsid w:val="006F4EA1"/>
    <w:rsid w:val="006F5AF0"/>
    <w:rsid w:val="00700D44"/>
    <w:rsid w:val="00703288"/>
    <w:rsid w:val="007046CA"/>
    <w:rsid w:val="0070637C"/>
    <w:rsid w:val="007064AC"/>
    <w:rsid w:val="0070798D"/>
    <w:rsid w:val="00707D83"/>
    <w:rsid w:val="00712932"/>
    <w:rsid w:val="007144F2"/>
    <w:rsid w:val="007178DA"/>
    <w:rsid w:val="00717CF7"/>
    <w:rsid w:val="00723AF4"/>
    <w:rsid w:val="00724792"/>
    <w:rsid w:val="00724EFD"/>
    <w:rsid w:val="00726EB5"/>
    <w:rsid w:val="007342F0"/>
    <w:rsid w:val="007352ED"/>
    <w:rsid w:val="00736368"/>
    <w:rsid w:val="0074006F"/>
    <w:rsid w:val="007403D8"/>
    <w:rsid w:val="0074214E"/>
    <w:rsid w:val="00743032"/>
    <w:rsid w:val="00745DF2"/>
    <w:rsid w:val="00746A4C"/>
    <w:rsid w:val="0074730C"/>
    <w:rsid w:val="00747579"/>
    <w:rsid w:val="0075367C"/>
    <w:rsid w:val="0075779C"/>
    <w:rsid w:val="007645A6"/>
    <w:rsid w:val="00766B56"/>
    <w:rsid w:val="007678D9"/>
    <w:rsid w:val="00771712"/>
    <w:rsid w:val="00772985"/>
    <w:rsid w:val="00773482"/>
    <w:rsid w:val="00773851"/>
    <w:rsid w:val="00774BCB"/>
    <w:rsid w:val="0077777F"/>
    <w:rsid w:val="007807BB"/>
    <w:rsid w:val="0078107E"/>
    <w:rsid w:val="00783974"/>
    <w:rsid w:val="00784788"/>
    <w:rsid w:val="00784DE1"/>
    <w:rsid w:val="00791677"/>
    <w:rsid w:val="0079419D"/>
    <w:rsid w:val="00796C22"/>
    <w:rsid w:val="00797805"/>
    <w:rsid w:val="00797B0F"/>
    <w:rsid w:val="007A78D9"/>
    <w:rsid w:val="007B1265"/>
    <w:rsid w:val="007B285F"/>
    <w:rsid w:val="007B4D6A"/>
    <w:rsid w:val="007C3723"/>
    <w:rsid w:val="007C7275"/>
    <w:rsid w:val="007D0FE5"/>
    <w:rsid w:val="007D5C5C"/>
    <w:rsid w:val="007E2762"/>
    <w:rsid w:val="007E292E"/>
    <w:rsid w:val="007E5CDA"/>
    <w:rsid w:val="007E706D"/>
    <w:rsid w:val="007F01FD"/>
    <w:rsid w:val="007F3FC4"/>
    <w:rsid w:val="007F4E7F"/>
    <w:rsid w:val="00800562"/>
    <w:rsid w:val="00801E12"/>
    <w:rsid w:val="008021FA"/>
    <w:rsid w:val="00803C57"/>
    <w:rsid w:val="00804178"/>
    <w:rsid w:val="0081064C"/>
    <w:rsid w:val="00811446"/>
    <w:rsid w:val="00814049"/>
    <w:rsid w:val="008146BF"/>
    <w:rsid w:val="00821A9B"/>
    <w:rsid w:val="00823492"/>
    <w:rsid w:val="00823EF3"/>
    <w:rsid w:val="00826A1E"/>
    <w:rsid w:val="00827697"/>
    <w:rsid w:val="008316AD"/>
    <w:rsid w:val="00836C71"/>
    <w:rsid w:val="00840D0E"/>
    <w:rsid w:val="00841060"/>
    <w:rsid w:val="0084327E"/>
    <w:rsid w:val="008434DB"/>
    <w:rsid w:val="00844997"/>
    <w:rsid w:val="00845560"/>
    <w:rsid w:val="00846C32"/>
    <w:rsid w:val="00847187"/>
    <w:rsid w:val="0085478B"/>
    <w:rsid w:val="00854A05"/>
    <w:rsid w:val="008561EE"/>
    <w:rsid w:val="00856395"/>
    <w:rsid w:val="00862C34"/>
    <w:rsid w:val="00870554"/>
    <w:rsid w:val="00872188"/>
    <w:rsid w:val="00874DA7"/>
    <w:rsid w:val="00877DEB"/>
    <w:rsid w:val="0088062F"/>
    <w:rsid w:val="008813FF"/>
    <w:rsid w:val="00885E22"/>
    <w:rsid w:val="00886689"/>
    <w:rsid w:val="00886A1D"/>
    <w:rsid w:val="008906A4"/>
    <w:rsid w:val="00892D20"/>
    <w:rsid w:val="00892FA2"/>
    <w:rsid w:val="00893256"/>
    <w:rsid w:val="00895185"/>
    <w:rsid w:val="00895872"/>
    <w:rsid w:val="00895A20"/>
    <w:rsid w:val="008975C6"/>
    <w:rsid w:val="008A06A0"/>
    <w:rsid w:val="008A0FE7"/>
    <w:rsid w:val="008A3728"/>
    <w:rsid w:val="008A3CA3"/>
    <w:rsid w:val="008A734D"/>
    <w:rsid w:val="008B3CC1"/>
    <w:rsid w:val="008B53DD"/>
    <w:rsid w:val="008B5D4B"/>
    <w:rsid w:val="008B66A1"/>
    <w:rsid w:val="008B762D"/>
    <w:rsid w:val="008C1A68"/>
    <w:rsid w:val="008C7D0F"/>
    <w:rsid w:val="008D5B0C"/>
    <w:rsid w:val="008E05D2"/>
    <w:rsid w:val="008E445F"/>
    <w:rsid w:val="008E7CEF"/>
    <w:rsid w:val="008F0B40"/>
    <w:rsid w:val="008F2E14"/>
    <w:rsid w:val="008F36BB"/>
    <w:rsid w:val="008F4745"/>
    <w:rsid w:val="00900935"/>
    <w:rsid w:val="00901950"/>
    <w:rsid w:val="009038E0"/>
    <w:rsid w:val="0090511D"/>
    <w:rsid w:val="00905A49"/>
    <w:rsid w:val="00905DA2"/>
    <w:rsid w:val="009101DA"/>
    <w:rsid w:val="009127FB"/>
    <w:rsid w:val="009170CB"/>
    <w:rsid w:val="00920F1C"/>
    <w:rsid w:val="0092228E"/>
    <w:rsid w:val="0092793B"/>
    <w:rsid w:val="00930BE9"/>
    <w:rsid w:val="00934399"/>
    <w:rsid w:val="0093681E"/>
    <w:rsid w:val="00940ADC"/>
    <w:rsid w:val="009436E0"/>
    <w:rsid w:val="009445A5"/>
    <w:rsid w:val="00944603"/>
    <w:rsid w:val="009447E1"/>
    <w:rsid w:val="00945FFD"/>
    <w:rsid w:val="00950743"/>
    <w:rsid w:val="00954614"/>
    <w:rsid w:val="00955A8A"/>
    <w:rsid w:val="00961905"/>
    <w:rsid w:val="009670F5"/>
    <w:rsid w:val="00973598"/>
    <w:rsid w:val="00977BEC"/>
    <w:rsid w:val="0098189B"/>
    <w:rsid w:val="00987DB0"/>
    <w:rsid w:val="009924EB"/>
    <w:rsid w:val="009936F3"/>
    <w:rsid w:val="0099734B"/>
    <w:rsid w:val="009A2145"/>
    <w:rsid w:val="009A67D3"/>
    <w:rsid w:val="009A6844"/>
    <w:rsid w:val="009B3F02"/>
    <w:rsid w:val="009B50BA"/>
    <w:rsid w:val="009B554E"/>
    <w:rsid w:val="009B5614"/>
    <w:rsid w:val="009B6FA0"/>
    <w:rsid w:val="009C4FDA"/>
    <w:rsid w:val="009C5933"/>
    <w:rsid w:val="009D0442"/>
    <w:rsid w:val="009D1497"/>
    <w:rsid w:val="009D4600"/>
    <w:rsid w:val="009D5641"/>
    <w:rsid w:val="009D7C6A"/>
    <w:rsid w:val="009E29B3"/>
    <w:rsid w:val="009E565E"/>
    <w:rsid w:val="009E701A"/>
    <w:rsid w:val="009F059C"/>
    <w:rsid w:val="009F231E"/>
    <w:rsid w:val="009F4A54"/>
    <w:rsid w:val="00A02209"/>
    <w:rsid w:val="00A02249"/>
    <w:rsid w:val="00A06953"/>
    <w:rsid w:val="00A170D0"/>
    <w:rsid w:val="00A173EC"/>
    <w:rsid w:val="00A23FDD"/>
    <w:rsid w:val="00A242A4"/>
    <w:rsid w:val="00A25571"/>
    <w:rsid w:val="00A2648B"/>
    <w:rsid w:val="00A26D17"/>
    <w:rsid w:val="00A303B9"/>
    <w:rsid w:val="00A311E1"/>
    <w:rsid w:val="00A31FC4"/>
    <w:rsid w:val="00A32DB5"/>
    <w:rsid w:val="00A33911"/>
    <w:rsid w:val="00A37524"/>
    <w:rsid w:val="00A37580"/>
    <w:rsid w:val="00A446E6"/>
    <w:rsid w:val="00A45C17"/>
    <w:rsid w:val="00A466ED"/>
    <w:rsid w:val="00A5117F"/>
    <w:rsid w:val="00A56ABB"/>
    <w:rsid w:val="00A56CF3"/>
    <w:rsid w:val="00A6145A"/>
    <w:rsid w:val="00A6334E"/>
    <w:rsid w:val="00A668C4"/>
    <w:rsid w:val="00A67041"/>
    <w:rsid w:val="00A70F7B"/>
    <w:rsid w:val="00A7259B"/>
    <w:rsid w:val="00A727A7"/>
    <w:rsid w:val="00A74349"/>
    <w:rsid w:val="00A75197"/>
    <w:rsid w:val="00A76151"/>
    <w:rsid w:val="00A836B7"/>
    <w:rsid w:val="00A83AF8"/>
    <w:rsid w:val="00A83D3E"/>
    <w:rsid w:val="00A9049B"/>
    <w:rsid w:val="00A91EC5"/>
    <w:rsid w:val="00A94455"/>
    <w:rsid w:val="00AA0297"/>
    <w:rsid w:val="00AA1732"/>
    <w:rsid w:val="00AA214B"/>
    <w:rsid w:val="00AA7842"/>
    <w:rsid w:val="00AA7A0A"/>
    <w:rsid w:val="00AB05BC"/>
    <w:rsid w:val="00AB0952"/>
    <w:rsid w:val="00AB16E9"/>
    <w:rsid w:val="00AB2049"/>
    <w:rsid w:val="00AB26F6"/>
    <w:rsid w:val="00AB45E9"/>
    <w:rsid w:val="00AB4B3E"/>
    <w:rsid w:val="00AB4C69"/>
    <w:rsid w:val="00AB6311"/>
    <w:rsid w:val="00AB6B1C"/>
    <w:rsid w:val="00AC0E20"/>
    <w:rsid w:val="00AC33DD"/>
    <w:rsid w:val="00AD23D7"/>
    <w:rsid w:val="00AE4287"/>
    <w:rsid w:val="00AE4E30"/>
    <w:rsid w:val="00AE7418"/>
    <w:rsid w:val="00AF32EC"/>
    <w:rsid w:val="00AF3BD4"/>
    <w:rsid w:val="00AF56EF"/>
    <w:rsid w:val="00AF5E4D"/>
    <w:rsid w:val="00B0102A"/>
    <w:rsid w:val="00B03265"/>
    <w:rsid w:val="00B03E18"/>
    <w:rsid w:val="00B05F43"/>
    <w:rsid w:val="00B07BDB"/>
    <w:rsid w:val="00B111A4"/>
    <w:rsid w:val="00B1300B"/>
    <w:rsid w:val="00B20255"/>
    <w:rsid w:val="00B2245E"/>
    <w:rsid w:val="00B24AA6"/>
    <w:rsid w:val="00B30D51"/>
    <w:rsid w:val="00B31070"/>
    <w:rsid w:val="00B31BC1"/>
    <w:rsid w:val="00B4415F"/>
    <w:rsid w:val="00B46B2E"/>
    <w:rsid w:val="00B46E31"/>
    <w:rsid w:val="00B54B94"/>
    <w:rsid w:val="00B56C7D"/>
    <w:rsid w:val="00B570AB"/>
    <w:rsid w:val="00B60C94"/>
    <w:rsid w:val="00B743CA"/>
    <w:rsid w:val="00B7592C"/>
    <w:rsid w:val="00B76C95"/>
    <w:rsid w:val="00B77935"/>
    <w:rsid w:val="00B822D6"/>
    <w:rsid w:val="00B8344A"/>
    <w:rsid w:val="00B86EC2"/>
    <w:rsid w:val="00B8774D"/>
    <w:rsid w:val="00B90FCA"/>
    <w:rsid w:val="00B92186"/>
    <w:rsid w:val="00B94CD0"/>
    <w:rsid w:val="00B94D11"/>
    <w:rsid w:val="00BA33F9"/>
    <w:rsid w:val="00BA64DD"/>
    <w:rsid w:val="00BB199B"/>
    <w:rsid w:val="00BB3510"/>
    <w:rsid w:val="00BB6FAA"/>
    <w:rsid w:val="00BD184F"/>
    <w:rsid w:val="00BD5E44"/>
    <w:rsid w:val="00BE5EE5"/>
    <w:rsid w:val="00BE6194"/>
    <w:rsid w:val="00BE7124"/>
    <w:rsid w:val="00BE7323"/>
    <w:rsid w:val="00BF37F3"/>
    <w:rsid w:val="00C028EE"/>
    <w:rsid w:val="00C07C10"/>
    <w:rsid w:val="00C1070F"/>
    <w:rsid w:val="00C1754D"/>
    <w:rsid w:val="00C17CD8"/>
    <w:rsid w:val="00C24634"/>
    <w:rsid w:val="00C255DD"/>
    <w:rsid w:val="00C26165"/>
    <w:rsid w:val="00C3084F"/>
    <w:rsid w:val="00C33089"/>
    <w:rsid w:val="00C341D4"/>
    <w:rsid w:val="00C41F8D"/>
    <w:rsid w:val="00C44FA8"/>
    <w:rsid w:val="00C475B8"/>
    <w:rsid w:val="00C52084"/>
    <w:rsid w:val="00C53DCA"/>
    <w:rsid w:val="00C57EBF"/>
    <w:rsid w:val="00C62143"/>
    <w:rsid w:val="00C636F2"/>
    <w:rsid w:val="00C65476"/>
    <w:rsid w:val="00C727E7"/>
    <w:rsid w:val="00C73544"/>
    <w:rsid w:val="00C76349"/>
    <w:rsid w:val="00C8041D"/>
    <w:rsid w:val="00C83FA0"/>
    <w:rsid w:val="00C84C1A"/>
    <w:rsid w:val="00C94C36"/>
    <w:rsid w:val="00CA03F4"/>
    <w:rsid w:val="00CA2A5C"/>
    <w:rsid w:val="00CA2BB1"/>
    <w:rsid w:val="00CA2D27"/>
    <w:rsid w:val="00CB08C7"/>
    <w:rsid w:val="00CB08D9"/>
    <w:rsid w:val="00CB51FB"/>
    <w:rsid w:val="00CB6CB8"/>
    <w:rsid w:val="00CC340A"/>
    <w:rsid w:val="00CC3667"/>
    <w:rsid w:val="00CC4821"/>
    <w:rsid w:val="00CD0CFE"/>
    <w:rsid w:val="00CD108C"/>
    <w:rsid w:val="00CD3730"/>
    <w:rsid w:val="00CD3785"/>
    <w:rsid w:val="00CD3D54"/>
    <w:rsid w:val="00CE3FCD"/>
    <w:rsid w:val="00CE43C3"/>
    <w:rsid w:val="00CF1E5D"/>
    <w:rsid w:val="00CF6BB4"/>
    <w:rsid w:val="00CF7357"/>
    <w:rsid w:val="00D04652"/>
    <w:rsid w:val="00D048D3"/>
    <w:rsid w:val="00D067E9"/>
    <w:rsid w:val="00D154E0"/>
    <w:rsid w:val="00D22320"/>
    <w:rsid w:val="00D246DE"/>
    <w:rsid w:val="00D24D57"/>
    <w:rsid w:val="00D25C35"/>
    <w:rsid w:val="00D266A9"/>
    <w:rsid w:val="00D3293A"/>
    <w:rsid w:val="00D32B8F"/>
    <w:rsid w:val="00D363B4"/>
    <w:rsid w:val="00D453CD"/>
    <w:rsid w:val="00D46FAA"/>
    <w:rsid w:val="00D4729C"/>
    <w:rsid w:val="00D47B79"/>
    <w:rsid w:val="00D506F0"/>
    <w:rsid w:val="00D53EF2"/>
    <w:rsid w:val="00D557AD"/>
    <w:rsid w:val="00D64AAB"/>
    <w:rsid w:val="00D66F4E"/>
    <w:rsid w:val="00D8237A"/>
    <w:rsid w:val="00D83BD3"/>
    <w:rsid w:val="00D87C8E"/>
    <w:rsid w:val="00D90890"/>
    <w:rsid w:val="00D91451"/>
    <w:rsid w:val="00D92A72"/>
    <w:rsid w:val="00D96D36"/>
    <w:rsid w:val="00DA11C0"/>
    <w:rsid w:val="00DA20BF"/>
    <w:rsid w:val="00DA2BEC"/>
    <w:rsid w:val="00DA64A2"/>
    <w:rsid w:val="00DB11BC"/>
    <w:rsid w:val="00DB7961"/>
    <w:rsid w:val="00DC0C3B"/>
    <w:rsid w:val="00DC1D04"/>
    <w:rsid w:val="00DC520A"/>
    <w:rsid w:val="00DD224C"/>
    <w:rsid w:val="00DD2F3C"/>
    <w:rsid w:val="00DD59C9"/>
    <w:rsid w:val="00DE09E7"/>
    <w:rsid w:val="00DE20E5"/>
    <w:rsid w:val="00DE299D"/>
    <w:rsid w:val="00DE2ACE"/>
    <w:rsid w:val="00DE5EFF"/>
    <w:rsid w:val="00DE6EBA"/>
    <w:rsid w:val="00DF2081"/>
    <w:rsid w:val="00DF2452"/>
    <w:rsid w:val="00DF4E26"/>
    <w:rsid w:val="00DF5D1D"/>
    <w:rsid w:val="00DF5EA0"/>
    <w:rsid w:val="00DF7B0B"/>
    <w:rsid w:val="00E00C15"/>
    <w:rsid w:val="00E037BE"/>
    <w:rsid w:val="00E05EEF"/>
    <w:rsid w:val="00E07C14"/>
    <w:rsid w:val="00E116E8"/>
    <w:rsid w:val="00E11758"/>
    <w:rsid w:val="00E139E1"/>
    <w:rsid w:val="00E15B9E"/>
    <w:rsid w:val="00E161C2"/>
    <w:rsid w:val="00E20B7B"/>
    <w:rsid w:val="00E243BB"/>
    <w:rsid w:val="00E31FC0"/>
    <w:rsid w:val="00E40B06"/>
    <w:rsid w:val="00E41902"/>
    <w:rsid w:val="00E429C7"/>
    <w:rsid w:val="00E508DC"/>
    <w:rsid w:val="00E54529"/>
    <w:rsid w:val="00E55178"/>
    <w:rsid w:val="00E568A9"/>
    <w:rsid w:val="00E56E38"/>
    <w:rsid w:val="00E57881"/>
    <w:rsid w:val="00E57A55"/>
    <w:rsid w:val="00E57BF3"/>
    <w:rsid w:val="00E61438"/>
    <w:rsid w:val="00E62C80"/>
    <w:rsid w:val="00E65CEC"/>
    <w:rsid w:val="00E726B8"/>
    <w:rsid w:val="00E73ACA"/>
    <w:rsid w:val="00E74CB3"/>
    <w:rsid w:val="00E8062B"/>
    <w:rsid w:val="00E83C91"/>
    <w:rsid w:val="00E849A2"/>
    <w:rsid w:val="00E87FF3"/>
    <w:rsid w:val="00EA1E70"/>
    <w:rsid w:val="00EA24C0"/>
    <w:rsid w:val="00EA2E64"/>
    <w:rsid w:val="00EA603D"/>
    <w:rsid w:val="00EA61E5"/>
    <w:rsid w:val="00EB0639"/>
    <w:rsid w:val="00EB0B5D"/>
    <w:rsid w:val="00EB1812"/>
    <w:rsid w:val="00EB18D5"/>
    <w:rsid w:val="00EB257D"/>
    <w:rsid w:val="00EB3284"/>
    <w:rsid w:val="00EB658F"/>
    <w:rsid w:val="00EC01E3"/>
    <w:rsid w:val="00EC09EA"/>
    <w:rsid w:val="00EC15B1"/>
    <w:rsid w:val="00EC21BE"/>
    <w:rsid w:val="00ED1EC2"/>
    <w:rsid w:val="00ED21C0"/>
    <w:rsid w:val="00ED2C0F"/>
    <w:rsid w:val="00ED7BAE"/>
    <w:rsid w:val="00EE22E6"/>
    <w:rsid w:val="00EE665B"/>
    <w:rsid w:val="00EE7F0C"/>
    <w:rsid w:val="00EF019B"/>
    <w:rsid w:val="00EF4879"/>
    <w:rsid w:val="00F01CCD"/>
    <w:rsid w:val="00F028CB"/>
    <w:rsid w:val="00F02C51"/>
    <w:rsid w:val="00F04795"/>
    <w:rsid w:val="00F05B41"/>
    <w:rsid w:val="00F1028B"/>
    <w:rsid w:val="00F1556F"/>
    <w:rsid w:val="00F167F8"/>
    <w:rsid w:val="00F16FD8"/>
    <w:rsid w:val="00F177C9"/>
    <w:rsid w:val="00F17F05"/>
    <w:rsid w:val="00F230B4"/>
    <w:rsid w:val="00F25D5E"/>
    <w:rsid w:val="00F307E5"/>
    <w:rsid w:val="00F31892"/>
    <w:rsid w:val="00F42F7C"/>
    <w:rsid w:val="00F45AE7"/>
    <w:rsid w:val="00F50352"/>
    <w:rsid w:val="00F55F6F"/>
    <w:rsid w:val="00F61C8E"/>
    <w:rsid w:val="00F66255"/>
    <w:rsid w:val="00F66D98"/>
    <w:rsid w:val="00F709DA"/>
    <w:rsid w:val="00F81240"/>
    <w:rsid w:val="00F813D3"/>
    <w:rsid w:val="00F81C56"/>
    <w:rsid w:val="00F82E93"/>
    <w:rsid w:val="00F8500F"/>
    <w:rsid w:val="00F868F6"/>
    <w:rsid w:val="00F91694"/>
    <w:rsid w:val="00F92281"/>
    <w:rsid w:val="00F928BA"/>
    <w:rsid w:val="00F944AD"/>
    <w:rsid w:val="00F96C22"/>
    <w:rsid w:val="00F97F02"/>
    <w:rsid w:val="00FA2403"/>
    <w:rsid w:val="00FA5E69"/>
    <w:rsid w:val="00FA7E09"/>
    <w:rsid w:val="00FB033E"/>
    <w:rsid w:val="00FB27E3"/>
    <w:rsid w:val="00FB326D"/>
    <w:rsid w:val="00FB3DBB"/>
    <w:rsid w:val="00FB3F6A"/>
    <w:rsid w:val="00FB4129"/>
    <w:rsid w:val="00FB5830"/>
    <w:rsid w:val="00FB7A6B"/>
    <w:rsid w:val="00FC0DA1"/>
    <w:rsid w:val="00FC2F3B"/>
    <w:rsid w:val="00FC4C2F"/>
    <w:rsid w:val="00FC7054"/>
    <w:rsid w:val="00FD075E"/>
    <w:rsid w:val="00FD35C4"/>
    <w:rsid w:val="00FD445B"/>
    <w:rsid w:val="00FD507D"/>
    <w:rsid w:val="00FD5804"/>
    <w:rsid w:val="00FE26BB"/>
    <w:rsid w:val="00FE47D4"/>
    <w:rsid w:val="00FE7149"/>
    <w:rsid w:val="00FF34AF"/>
    <w:rsid w:val="00FF37E8"/>
    <w:rsid w:val="00FF3A8B"/>
    <w:rsid w:val="00FF44B9"/>
    <w:rsid w:val="00FF62C2"/>
    <w:rsid w:val="00FF7E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105"/>
  </w:style>
  <w:style w:type="paragraph" w:styleId="Kop1">
    <w:name w:val="heading 1"/>
    <w:basedOn w:val="Standaard"/>
    <w:next w:val="Standaard"/>
    <w:link w:val="Kop1Char"/>
    <w:uiPriority w:val="9"/>
    <w:qFormat/>
    <w:rsid w:val="00930BE9"/>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Kop2">
    <w:name w:val="heading 2"/>
    <w:basedOn w:val="Standaard"/>
    <w:next w:val="Standaard"/>
    <w:link w:val="Kop2Char"/>
    <w:uiPriority w:val="9"/>
    <w:unhideWhenUsed/>
    <w:qFormat/>
    <w:rsid w:val="00247CDC"/>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unhideWhenUsed/>
    <w:qFormat/>
    <w:rsid w:val="00CE43C3"/>
    <w:pPr>
      <w:keepNext/>
      <w:keepLines/>
      <w:spacing w:before="200" w:after="0"/>
      <w:outlineLvl w:val="2"/>
    </w:pPr>
    <w:rPr>
      <w:rFonts w:asciiTheme="majorHAnsi" w:eastAsiaTheme="majorEastAsia" w:hAnsiTheme="majorHAnsi" w:cstheme="majorBidi"/>
      <w:b/>
      <w:bCs/>
      <w:color w:val="D34817" w:themeColor="accent1"/>
    </w:rPr>
  </w:style>
  <w:style w:type="paragraph" w:styleId="Kop4">
    <w:name w:val="heading 4"/>
    <w:basedOn w:val="Standaard"/>
    <w:next w:val="Standaard"/>
    <w:link w:val="Kop4Char"/>
    <w:uiPriority w:val="9"/>
    <w:unhideWhenUsed/>
    <w:qFormat/>
    <w:rsid w:val="00AC33DD"/>
    <w:pPr>
      <w:keepNext/>
      <w:keepLines/>
      <w:spacing w:before="200" w:after="0"/>
      <w:outlineLvl w:val="3"/>
    </w:pPr>
    <w:rPr>
      <w:rFonts w:asciiTheme="majorHAnsi" w:eastAsiaTheme="majorEastAsia" w:hAnsiTheme="majorHAnsi" w:cstheme="majorBidi"/>
      <w:b/>
      <w:bCs/>
      <w:i/>
      <w:iCs/>
      <w:color w:val="D3481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47CDC"/>
    <w:pPr>
      <w:spacing w:after="0" w:line="240" w:lineRule="auto"/>
    </w:pPr>
  </w:style>
  <w:style w:type="character" w:customStyle="1" w:styleId="Kop2Char">
    <w:name w:val="Kop 2 Char"/>
    <w:basedOn w:val="Standaardalinea-lettertype"/>
    <w:link w:val="Kop2"/>
    <w:uiPriority w:val="9"/>
    <w:rsid w:val="00247CDC"/>
    <w:rPr>
      <w:rFonts w:asciiTheme="majorHAnsi" w:eastAsiaTheme="majorEastAsia" w:hAnsiTheme="majorHAnsi" w:cstheme="majorBidi"/>
      <w:b/>
      <w:bCs/>
      <w:color w:val="D34817" w:themeColor="accent1"/>
      <w:sz w:val="26"/>
      <w:szCs w:val="26"/>
    </w:rPr>
  </w:style>
  <w:style w:type="character" w:customStyle="1" w:styleId="Kop3Char">
    <w:name w:val="Kop 3 Char"/>
    <w:basedOn w:val="Standaardalinea-lettertype"/>
    <w:link w:val="Kop3"/>
    <w:uiPriority w:val="9"/>
    <w:rsid w:val="00CE43C3"/>
    <w:rPr>
      <w:rFonts w:asciiTheme="majorHAnsi" w:eastAsiaTheme="majorEastAsia" w:hAnsiTheme="majorHAnsi" w:cstheme="majorBidi"/>
      <w:b/>
      <w:bCs/>
      <w:color w:val="D34817" w:themeColor="accent1"/>
    </w:rPr>
  </w:style>
  <w:style w:type="character" w:customStyle="1" w:styleId="GeenafstandChar">
    <w:name w:val="Geen afstand Char"/>
    <w:basedOn w:val="Standaardalinea-lettertype"/>
    <w:link w:val="Geenafstand"/>
    <w:uiPriority w:val="1"/>
    <w:rsid w:val="00CE43C3"/>
  </w:style>
  <w:style w:type="paragraph" w:customStyle="1" w:styleId="Geenafstand1">
    <w:name w:val="Geen afstand1"/>
    <w:rsid w:val="002F24D4"/>
    <w:pPr>
      <w:suppressAutoHyphens/>
      <w:spacing w:after="0" w:line="100" w:lineRule="atLeast"/>
    </w:pPr>
    <w:rPr>
      <w:rFonts w:ascii="Times New Roman" w:eastAsia="SimSun" w:hAnsi="Times New Roman" w:cs="Mangal"/>
      <w:kern w:val="1"/>
      <w:sz w:val="24"/>
      <w:szCs w:val="24"/>
      <w:lang w:eastAsia="hi-IN" w:bidi="hi-IN"/>
    </w:rPr>
  </w:style>
  <w:style w:type="paragraph" w:styleId="Ballontekst">
    <w:name w:val="Balloon Text"/>
    <w:basedOn w:val="Standaard"/>
    <w:link w:val="BallontekstChar"/>
    <w:uiPriority w:val="99"/>
    <w:semiHidden/>
    <w:unhideWhenUsed/>
    <w:rsid w:val="00371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FBC"/>
    <w:rPr>
      <w:rFonts w:ascii="Tahoma" w:hAnsi="Tahoma" w:cs="Tahoma"/>
      <w:sz w:val="16"/>
      <w:szCs w:val="16"/>
    </w:rPr>
  </w:style>
  <w:style w:type="paragraph" w:styleId="Bijschrift">
    <w:name w:val="caption"/>
    <w:basedOn w:val="Standaard"/>
    <w:next w:val="Standaard"/>
    <w:uiPriority w:val="35"/>
    <w:unhideWhenUsed/>
    <w:qFormat/>
    <w:rsid w:val="002675A6"/>
    <w:pPr>
      <w:spacing w:line="240" w:lineRule="auto"/>
    </w:pPr>
    <w:rPr>
      <w:b/>
      <w:bCs/>
      <w:color w:val="D34817" w:themeColor="accent1"/>
      <w:sz w:val="18"/>
      <w:szCs w:val="18"/>
    </w:rPr>
  </w:style>
  <w:style w:type="character" w:customStyle="1" w:styleId="Kop1Char">
    <w:name w:val="Kop 1 Char"/>
    <w:basedOn w:val="Standaardalinea-lettertype"/>
    <w:link w:val="Kop1"/>
    <w:uiPriority w:val="9"/>
    <w:rsid w:val="00930BE9"/>
    <w:rPr>
      <w:rFonts w:asciiTheme="majorHAnsi" w:eastAsiaTheme="majorEastAsia" w:hAnsiTheme="majorHAnsi" w:cstheme="majorBidi"/>
      <w:b/>
      <w:bCs/>
      <w:color w:val="9D3511" w:themeColor="accent1" w:themeShade="BF"/>
      <w:sz w:val="28"/>
      <w:szCs w:val="28"/>
    </w:rPr>
  </w:style>
  <w:style w:type="character" w:customStyle="1" w:styleId="apple-converted-space">
    <w:name w:val="apple-converted-space"/>
    <w:basedOn w:val="Standaardalinea-lettertype"/>
    <w:rsid w:val="002F7657"/>
  </w:style>
  <w:style w:type="character" w:customStyle="1" w:styleId="Kop4Char">
    <w:name w:val="Kop 4 Char"/>
    <w:basedOn w:val="Standaardalinea-lettertype"/>
    <w:link w:val="Kop4"/>
    <w:uiPriority w:val="9"/>
    <w:rsid w:val="00AC33DD"/>
    <w:rPr>
      <w:rFonts w:asciiTheme="majorHAnsi" w:eastAsiaTheme="majorEastAsia" w:hAnsiTheme="majorHAnsi" w:cstheme="majorBidi"/>
      <w:b/>
      <w:bCs/>
      <w:i/>
      <w:iCs/>
      <w:color w:val="D34817" w:themeColor="accent1"/>
    </w:rPr>
  </w:style>
  <w:style w:type="paragraph" w:styleId="Voetnoottekst">
    <w:name w:val="footnote text"/>
    <w:basedOn w:val="Standaard"/>
    <w:link w:val="VoetnoottekstChar"/>
    <w:uiPriority w:val="99"/>
    <w:semiHidden/>
    <w:unhideWhenUsed/>
    <w:rsid w:val="00291B95"/>
    <w:pPr>
      <w:tabs>
        <w:tab w:val="left" w:pos="680"/>
        <w:tab w:val="left" w:pos="7371"/>
      </w:tabs>
      <w:spacing w:after="0" w:line="240" w:lineRule="auto"/>
    </w:pPr>
    <w:rPr>
      <w:rFonts w:ascii="Verdana" w:eastAsia="Times" w:hAnsi="Verdana" w:cs="Times New Roman"/>
      <w:sz w:val="20"/>
      <w:szCs w:val="20"/>
      <w:lang w:val="en-US"/>
    </w:rPr>
  </w:style>
  <w:style w:type="character" w:customStyle="1" w:styleId="VoetnoottekstChar">
    <w:name w:val="Voetnoottekst Char"/>
    <w:basedOn w:val="Standaardalinea-lettertype"/>
    <w:link w:val="Voetnoottekst"/>
    <w:uiPriority w:val="99"/>
    <w:semiHidden/>
    <w:rsid w:val="00291B95"/>
    <w:rPr>
      <w:rFonts w:ascii="Verdana" w:eastAsia="Times" w:hAnsi="Verdana" w:cs="Times New Roman"/>
      <w:sz w:val="20"/>
      <w:szCs w:val="20"/>
      <w:lang w:val="en-US"/>
    </w:rPr>
  </w:style>
  <w:style w:type="character" w:styleId="Voetnootmarkering">
    <w:name w:val="footnote reference"/>
    <w:basedOn w:val="Standaardalinea-lettertype"/>
    <w:uiPriority w:val="99"/>
    <w:semiHidden/>
    <w:unhideWhenUsed/>
    <w:rsid w:val="00291B95"/>
    <w:rPr>
      <w:vertAlign w:val="superscript"/>
    </w:rPr>
  </w:style>
  <w:style w:type="table" w:styleId="Tabelraster">
    <w:name w:val="Table Grid"/>
    <w:basedOn w:val="Standaardtabel"/>
    <w:uiPriority w:val="59"/>
    <w:rsid w:val="007D0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lijst21">
    <w:name w:val="Gemiddelde lijst 21"/>
    <w:basedOn w:val="Standaardtabel"/>
    <w:uiPriority w:val="66"/>
    <w:rsid w:val="007D0F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3C1F3D"/>
    <w:pPr>
      <w:autoSpaceDE w:val="0"/>
      <w:autoSpaceDN w:val="0"/>
      <w:adjustRightInd w:val="0"/>
      <w:spacing w:after="0" w:line="240" w:lineRule="auto"/>
    </w:pPr>
    <w:rPr>
      <w:rFonts w:ascii="Cambria" w:hAnsi="Cambria" w:cs="Cambria"/>
      <w:color w:val="000000"/>
      <w:sz w:val="24"/>
      <w:szCs w:val="24"/>
    </w:rPr>
  </w:style>
  <w:style w:type="table" w:customStyle="1" w:styleId="Lichtelijst1">
    <w:name w:val="Lichte lijst1"/>
    <w:basedOn w:val="Standaardtabel"/>
    <w:uiPriority w:val="61"/>
    <w:rsid w:val="00662C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2">
    <w:name w:val="Lichte lijst2"/>
    <w:basedOn w:val="Standaardtabel"/>
    <w:uiPriority w:val="61"/>
    <w:rsid w:val="005C030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tekst">
    <w:name w:val="header"/>
    <w:basedOn w:val="Standaard"/>
    <w:link w:val="KoptekstChar"/>
    <w:uiPriority w:val="99"/>
    <w:semiHidden/>
    <w:unhideWhenUsed/>
    <w:rsid w:val="008F47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F4745"/>
  </w:style>
  <w:style w:type="paragraph" w:styleId="Voettekst">
    <w:name w:val="footer"/>
    <w:basedOn w:val="Standaard"/>
    <w:link w:val="VoettekstChar"/>
    <w:uiPriority w:val="99"/>
    <w:unhideWhenUsed/>
    <w:rsid w:val="008F47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4745"/>
  </w:style>
  <w:style w:type="table" w:customStyle="1" w:styleId="Lichtelijst3">
    <w:name w:val="Lichte lijst3"/>
    <w:basedOn w:val="Standaardtabel"/>
    <w:uiPriority w:val="61"/>
    <w:rsid w:val="009C593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vaninhoudsopgave">
    <w:name w:val="TOC Heading"/>
    <w:basedOn w:val="Kop1"/>
    <w:next w:val="Standaard"/>
    <w:uiPriority w:val="39"/>
    <w:semiHidden/>
    <w:unhideWhenUsed/>
    <w:qFormat/>
    <w:rsid w:val="00131224"/>
    <w:pPr>
      <w:outlineLvl w:val="9"/>
    </w:pPr>
  </w:style>
  <w:style w:type="paragraph" w:styleId="Inhopg3">
    <w:name w:val="toc 3"/>
    <w:basedOn w:val="Standaard"/>
    <w:next w:val="Standaard"/>
    <w:autoRedefine/>
    <w:uiPriority w:val="39"/>
    <w:unhideWhenUsed/>
    <w:rsid w:val="00131224"/>
    <w:pPr>
      <w:spacing w:after="100"/>
      <w:ind w:left="440"/>
    </w:pPr>
  </w:style>
  <w:style w:type="paragraph" w:styleId="Inhopg1">
    <w:name w:val="toc 1"/>
    <w:basedOn w:val="Standaard"/>
    <w:next w:val="Standaard"/>
    <w:autoRedefine/>
    <w:uiPriority w:val="39"/>
    <w:unhideWhenUsed/>
    <w:rsid w:val="00131224"/>
    <w:pPr>
      <w:spacing w:after="100"/>
    </w:pPr>
  </w:style>
  <w:style w:type="paragraph" w:styleId="Inhopg2">
    <w:name w:val="toc 2"/>
    <w:basedOn w:val="Standaard"/>
    <w:next w:val="Standaard"/>
    <w:autoRedefine/>
    <w:uiPriority w:val="39"/>
    <w:unhideWhenUsed/>
    <w:rsid w:val="00131224"/>
    <w:pPr>
      <w:spacing w:after="100"/>
      <w:ind w:left="220"/>
    </w:pPr>
  </w:style>
  <w:style w:type="character" w:styleId="Hyperlink">
    <w:name w:val="Hyperlink"/>
    <w:basedOn w:val="Standaardalinea-lettertype"/>
    <w:uiPriority w:val="99"/>
    <w:unhideWhenUsed/>
    <w:rsid w:val="00131224"/>
    <w:rPr>
      <w:color w:val="CC9900" w:themeColor="hyperlink"/>
      <w:u w:val="single"/>
    </w:rPr>
  </w:style>
  <w:style w:type="character" w:styleId="Nadruk">
    <w:name w:val="Emphasis"/>
    <w:basedOn w:val="Standaardalinea-lettertype"/>
    <w:uiPriority w:val="20"/>
    <w:qFormat/>
    <w:rsid w:val="00D66F4E"/>
    <w:rPr>
      <w:i/>
      <w:iCs/>
    </w:rPr>
  </w:style>
  <w:style w:type="paragraph" w:styleId="Documentstructuur">
    <w:name w:val="Document Map"/>
    <w:basedOn w:val="Standaard"/>
    <w:link w:val="DocumentstructuurChar"/>
    <w:uiPriority w:val="99"/>
    <w:semiHidden/>
    <w:unhideWhenUsed/>
    <w:rsid w:val="0075779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57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citaten.net/zoeken/citaten_van-francois_de_la_rochefoucauld.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F221976665425590D5649303B4A9D3"/>
        <w:category>
          <w:name w:val="Algemeen"/>
          <w:gallery w:val="placeholder"/>
        </w:category>
        <w:types>
          <w:type w:val="bbPlcHdr"/>
        </w:types>
        <w:behaviors>
          <w:behavior w:val="content"/>
        </w:behaviors>
        <w:guid w:val="{4C3ADD35-626C-4349-A6CF-2663C25E7816}"/>
      </w:docPartPr>
      <w:docPartBody>
        <w:p w:rsidR="009C6910" w:rsidRDefault="000146D4" w:rsidP="000146D4">
          <w:pPr>
            <w:pStyle w:val="C3F221976665425590D5649303B4A9D3"/>
          </w:pPr>
          <w:r>
            <w:rPr>
              <w:b/>
              <w:bCs/>
              <w:color w:val="808080" w:themeColor="text1" w:themeTint="7F"/>
              <w:sz w:val="32"/>
              <w:szCs w:val="32"/>
            </w:rPr>
            <w:t>[Geef de naam van het bedrijf op]</w:t>
          </w:r>
        </w:p>
      </w:docPartBody>
    </w:docPart>
    <w:docPart>
      <w:docPartPr>
        <w:name w:val="260B22CC487B4988AAFCEE26288C82A8"/>
        <w:category>
          <w:name w:val="Algemeen"/>
          <w:gallery w:val="placeholder"/>
        </w:category>
        <w:types>
          <w:type w:val="bbPlcHdr"/>
        </w:types>
        <w:behaviors>
          <w:behavior w:val="content"/>
        </w:behaviors>
        <w:guid w:val="{54CBF0CA-AF9B-4C83-9365-75AE0156AF67}"/>
      </w:docPartPr>
      <w:docPartBody>
        <w:p w:rsidR="009C6910" w:rsidRDefault="000146D4" w:rsidP="000146D4">
          <w:pPr>
            <w:pStyle w:val="260B22CC487B4988AAFCEE26288C82A8"/>
          </w:pPr>
          <w:r>
            <w:rPr>
              <w:sz w:val="96"/>
              <w:szCs w:val="96"/>
            </w:rPr>
            <w:t>[Jaar]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Italic">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46D4"/>
    <w:rsid w:val="000146D4"/>
    <w:rsid w:val="003E4703"/>
    <w:rsid w:val="009C69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9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19A15A05B5B4EAC896567D202581C4B">
    <w:name w:val="519A15A05B5B4EAC896567D202581C4B"/>
    <w:rsid w:val="000146D4"/>
  </w:style>
  <w:style w:type="paragraph" w:customStyle="1" w:styleId="BF4000B4F17744978EE8BAECFF60F7A6">
    <w:name w:val="BF4000B4F17744978EE8BAECFF60F7A6"/>
    <w:rsid w:val="000146D4"/>
  </w:style>
  <w:style w:type="paragraph" w:customStyle="1" w:styleId="C0D6652545DE48EAB1A9785C9D81A170">
    <w:name w:val="C0D6652545DE48EAB1A9785C9D81A170"/>
    <w:rsid w:val="000146D4"/>
  </w:style>
  <w:style w:type="paragraph" w:customStyle="1" w:styleId="0D74586735A142D2B694636031091D79">
    <w:name w:val="0D74586735A142D2B694636031091D79"/>
    <w:rsid w:val="000146D4"/>
  </w:style>
  <w:style w:type="paragraph" w:customStyle="1" w:styleId="CFF609A8EA3942BAA0BA2915D4169FCC">
    <w:name w:val="CFF609A8EA3942BAA0BA2915D4169FCC"/>
    <w:rsid w:val="000146D4"/>
  </w:style>
  <w:style w:type="paragraph" w:customStyle="1" w:styleId="C3F221976665425590D5649303B4A9D3">
    <w:name w:val="C3F221976665425590D5649303B4A9D3"/>
    <w:rsid w:val="000146D4"/>
  </w:style>
  <w:style w:type="paragraph" w:customStyle="1" w:styleId="260B22CC487B4988AAFCEE26288C82A8">
    <w:name w:val="260B22CC487B4988AAFCEE26288C82A8"/>
    <w:rsid w:val="000146D4"/>
  </w:style>
  <w:style w:type="paragraph" w:customStyle="1" w:styleId="9893DF0B4D404773AAD014E4805EFEB7">
    <w:name w:val="9893DF0B4D404773AAD014E4805EFEB7"/>
    <w:rsid w:val="000146D4"/>
  </w:style>
  <w:style w:type="paragraph" w:customStyle="1" w:styleId="3CD318E3507F4DEB8731A2D7F00F2D5C">
    <w:name w:val="3CD318E3507F4DEB8731A2D7F00F2D5C"/>
    <w:rsid w:val="000146D4"/>
  </w:style>
  <w:style w:type="paragraph" w:customStyle="1" w:styleId="DB197D219F474329820C0D80FB05280E">
    <w:name w:val="DB197D219F474329820C0D80FB05280E"/>
    <w:rsid w:val="000146D4"/>
  </w:style>
  <w:style w:type="paragraph" w:customStyle="1" w:styleId="E45E7A406E5047659F919854A257D84B">
    <w:name w:val="E45E7A406E5047659F919854A257D84B"/>
    <w:rsid w:val="000146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Vermogen">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Studentnummer: 3642887 m.b.c.braat@students.uu.nl                                                        Docent: D.M.L. Janssen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D98449-452A-4395-8181-5FCBB883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21</Pages>
  <Words>8807</Words>
  <Characters>48444</Characters>
  <Application>Microsoft Office Word</Application>
  <DocSecurity>0</DocSecurity>
  <Lines>403</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“Uit onderzoek is gebleken..”</vt:lpstr>
      <vt:lpstr>“Uit onderzoek is gebleken..”</vt:lpstr>
    </vt:vector>
  </TitlesOfParts>
  <Company>BA Eindwerkstuk Communicatie- en Informatiewetenschappen</Company>
  <LinksUpToDate>false</LinksUpToDate>
  <CharactersWithSpaces>57137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 onderzoek is gebleken..”</dc:title>
  <dc:subject>Een experimenteel onderzoek naar de overtuigingskracht van verschillende typen evidentie</dc:subject>
  <dc:creator>Door: Manon Braat</dc:creator>
  <cp:lastModifiedBy>Manon Braat</cp:lastModifiedBy>
  <cp:revision>71</cp:revision>
  <cp:lastPrinted>2013-01-24T13:53:00Z</cp:lastPrinted>
  <dcterms:created xsi:type="dcterms:W3CDTF">2013-01-24T17:07:00Z</dcterms:created>
  <dcterms:modified xsi:type="dcterms:W3CDTF">2013-01-24T21:00:00Z</dcterms:modified>
</cp:coreProperties>
</file>